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212725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214630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ind w:left="920"/>
              <w:spacing w:after="0"/>
              <w:rPr>
                <w:sz w:val="20"/>
                <w:szCs w:val="20"/>
                <w:color w:val="auto"/>
              </w:rPr>
            </w:pPr>
            <w:r>
              <w:rPr>
                <w:rFonts w:ascii="Arial" w:cs="Arial" w:eastAsia="Arial" w:hAnsi="Arial"/>
                <w:sz w:val="18"/>
                <w:szCs w:val="18"/>
                <w:b w:val="1"/>
                <w:bCs w:val="1"/>
                <w:color w:val="auto"/>
              </w:rPr>
              <w:t>001-39539</w:t>
            </w:r>
          </w:p>
        </w:tc>
        <w:tc>
          <w:tcPr>
            <w:tcW w:w="2280" w:type="dxa"/>
            <w:vAlign w:val="bottom"/>
          </w:tcPr>
          <w:p>
            <w:pPr>
              <w:jc w:val="right"/>
              <w:ind w:right="4"/>
              <w:spacing w:after="0"/>
              <w:rPr>
                <w:sz w:val="20"/>
                <w:szCs w:val="20"/>
                <w:color w:val="auto"/>
              </w:rPr>
            </w:pPr>
            <w:r>
              <w:rPr>
                <w:rFonts w:ascii="Arial" w:cs="Arial" w:eastAsia="Arial" w:hAnsi="Arial"/>
                <w:sz w:val="18"/>
                <w:szCs w:val="18"/>
                <w:b w:val="1"/>
                <w:bCs w:val="1"/>
                <w:color w:val="auto"/>
              </w:rPr>
              <w:t>46-3218129</w:t>
            </w:r>
          </w:p>
        </w:tc>
      </w:tr>
      <w:tr>
        <w:trPr>
          <w:trHeight w:val="163"/>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5"/>
              </w:rPr>
              <w:t>(State or Other Jurisdiction</w:t>
            </w:r>
          </w:p>
        </w:tc>
        <w:tc>
          <w:tcPr>
            <w:tcW w:w="2920" w:type="dxa"/>
            <w:vAlign w:val="bottom"/>
          </w:tcPr>
          <w:p>
            <w:pPr>
              <w:ind w:left="940"/>
              <w:spacing w:after="0"/>
              <w:rPr>
                <w:sz w:val="20"/>
                <w:szCs w:val="20"/>
                <w:color w:val="auto"/>
              </w:rPr>
            </w:pPr>
            <w:r>
              <w:rPr>
                <w:rFonts w:ascii="Arial" w:cs="Arial" w:eastAsia="Arial" w:hAnsi="Arial"/>
                <w:sz w:val="13"/>
                <w:szCs w:val="13"/>
                <w:b w:val="1"/>
                <w:bCs w:val="1"/>
                <w:color w:val="auto"/>
              </w:rPr>
              <w:t>(Commission</w:t>
            </w: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8"/>
              </w:rPr>
              <w:t>(IRS Employer</w:t>
            </w:r>
          </w:p>
        </w:tc>
      </w:tr>
      <w:tr>
        <w:trPr>
          <w:trHeight w:val="188"/>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6"/>
              </w:rPr>
              <w:t>of Incorporation)</w:t>
            </w:r>
          </w:p>
        </w:tc>
        <w:tc>
          <w:tcPr>
            <w:tcW w:w="2920" w:type="dxa"/>
            <w:vAlign w:val="bottom"/>
          </w:tcPr>
          <w:p>
            <w:pPr>
              <w:ind w:left="920"/>
              <w:spacing w:after="0"/>
              <w:rPr>
                <w:sz w:val="20"/>
                <w:szCs w:val="20"/>
                <w:color w:val="auto"/>
              </w:rPr>
            </w:pPr>
            <w:r>
              <w:rPr>
                <w:rFonts w:ascii="Arial" w:cs="Arial" w:eastAsia="Arial" w:hAnsi="Arial"/>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4"/>
              </w:rPr>
              <w:t>Identification No.)</w:t>
            </w:r>
          </w:p>
        </w:tc>
      </w:tr>
      <w:tr>
        <w:trPr>
          <w:trHeight w:val="387"/>
        </w:trPr>
        <w:tc>
          <w:tcPr>
            <w:tcW w:w="3220" w:type="dxa"/>
            <w:vAlign w:val="bottom"/>
          </w:tcPr>
          <w:p>
            <w:pPr>
              <w:jc w:val="center"/>
              <w:ind w:right="841"/>
              <w:spacing w:after="0"/>
              <w:rPr>
                <w:sz w:val="20"/>
                <w:szCs w:val="20"/>
                <w:color w:val="auto"/>
              </w:rPr>
            </w:pPr>
            <w:r>
              <w:rPr>
                <w:rFonts w:ascii="Arial" w:cs="Arial" w:eastAsia="Arial" w:hAnsi="Arial"/>
                <w:sz w:val="18"/>
                <w:szCs w:val="18"/>
                <w:b w:val="1"/>
                <w:bCs w:val="1"/>
                <w:color w:val="auto"/>
                <w:w w:val="89"/>
              </w:rPr>
              <w:t>One Research Way</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48"/>
        </w:trPr>
        <w:tc>
          <w:tcPr>
            <w:tcW w:w="322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Princeton, NJ</w:t>
            </w:r>
          </w:p>
        </w:tc>
        <w:tc>
          <w:tcPr>
            <w:tcW w:w="2920" w:type="dxa"/>
            <w:vAlign w:val="bottom"/>
          </w:tcPr>
          <w:p>
            <w:pPr>
              <w:spacing w:after="0"/>
              <w:rPr>
                <w:sz w:val="21"/>
                <w:szCs w:val="21"/>
                <w:color w:val="auto"/>
              </w:rPr>
            </w:pPr>
          </w:p>
        </w:tc>
        <w:tc>
          <w:tcPr>
            <w:tcW w:w="2280" w:type="dxa"/>
            <w:vAlign w:val="bottom"/>
          </w:tcPr>
          <w:p>
            <w:pPr>
              <w:jc w:val="right"/>
              <w:ind w:right="224"/>
              <w:spacing w:after="0"/>
              <w:rPr>
                <w:sz w:val="20"/>
                <w:szCs w:val="20"/>
                <w:color w:val="auto"/>
              </w:rPr>
            </w:pPr>
            <w:r>
              <w:rPr>
                <w:rFonts w:ascii="Arial" w:cs="Arial" w:eastAsia="Arial" w:hAnsi="Arial"/>
                <w:sz w:val="18"/>
                <w:szCs w:val="18"/>
                <w:b w:val="1"/>
                <w:bCs w:val="1"/>
                <w:color w:val="auto"/>
              </w:rPr>
              <w:t>08540</w:t>
            </w:r>
          </w:p>
        </w:tc>
      </w:tr>
      <w:tr>
        <w:trPr>
          <w:trHeight w:val="188"/>
        </w:trPr>
        <w:tc>
          <w:tcPr>
            <w:tcW w:w="3220" w:type="dxa"/>
            <w:vAlign w:val="bottom"/>
          </w:tcPr>
          <w:p>
            <w:pPr>
              <w:jc w:val="center"/>
              <w:ind w:right="8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920" w:type="dxa"/>
            <w:vAlign w:val="bottom"/>
          </w:tcPr>
          <w:p>
            <w:pPr>
              <w:spacing w:after="0"/>
              <w:rPr>
                <w:sz w:val="16"/>
                <w:szCs w:val="16"/>
                <w:color w:val="auto"/>
              </w:rPr>
            </w:pP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9"/>
              </w:rPr>
              <w:t>(Zip Code)</w:t>
            </w:r>
          </w:p>
        </w:tc>
      </w:tr>
    </w:tbl>
    <w:p>
      <w:pPr>
        <w:spacing w:after="0" w:line="14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72" w:lineRule="auto"/>
        <w:tabs>
          <w:tab w:leader="none" w:pos="4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8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0" w:firstLine="749"/>
        <w:spacing w:after="0" w:line="342" w:lineRule="auto"/>
        <w:rPr>
          <w:sz w:val="20"/>
          <w:szCs w:val="20"/>
          <w:color w:val="auto"/>
        </w:rPr>
      </w:pPr>
      <w:r>
        <w:rPr>
          <w:rFonts w:ascii="Arial" w:cs="Arial" w:eastAsia="Arial" w:hAnsi="Arial"/>
          <w:sz w:val="16"/>
          <w:szCs w:val="16"/>
          <w:color w:val="auto"/>
        </w:rPr>
        <w:t>On November 9, 2023, PMV Pharmaceuticals, Inc. issued a press release announcing its financial results for the third quarter ended September 30, 2023. The full text of the press release is attached as Exhibit 99.1 to this Current Report on Form 8-K and is incorporated herein by reference.</w:t>
      </w:r>
    </w:p>
    <w:p>
      <w:pPr>
        <w:spacing w:after="0" w:line="124"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20" w:type="dxa"/>
            <w:vAlign w:val="bottom"/>
            <w:gridSpan w:val="3"/>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12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Press Release issued by PMV Pharmaceuticals, Inc., dated November 9, 2023.</w:t>
            </w:r>
          </w:p>
        </w:tc>
        <w:tc>
          <w:tcPr>
            <w:tcW w:w="20" w:type="dxa"/>
            <w:vAlign w:val="bottom"/>
            <w:tcBorders>
              <w:bottom w:val="single" w:sz="8" w:color="0000EE"/>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80" w:type="dxa"/>
            <w:vAlign w:val="bottom"/>
          </w:tcPr>
          <w:p>
            <w:pPr>
              <w:jc w:val="right"/>
              <w:ind w:right="259"/>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61"/>
        </w:trPr>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PMV Pharmaceuticals, Inc.</w:t>
      </w:r>
    </w:p>
    <w:p>
      <w:pPr>
        <w:spacing w:after="0" w:line="252"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Winston Kung</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Chief Operating Officer, and</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PMV Pharmaceuticals Reports Third Quarter 2023 Financial Results and Corporate Highlights</w:t>
      </w:r>
    </w:p>
    <w:p>
      <w:pPr>
        <w:spacing w:after="0" w:line="220" w:lineRule="exact"/>
        <w:rPr>
          <w:sz w:val="20"/>
          <w:szCs w:val="20"/>
          <w:color w:val="auto"/>
        </w:rPr>
      </w:pPr>
    </w:p>
    <w:p>
      <w:pPr>
        <w:jc w:val="both"/>
        <w:ind w:left="38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Updated data from Phase 1 PYNNACLE clinical trial of PC14586 presented at 2023 AACR-NCI-EORTC International Conference on Molecular Targets and Cancer Therapeutics demonstrated responses across multiple tumor types with median duration of response of seven months</w:t>
      </w:r>
    </w:p>
    <w:p>
      <w:pPr>
        <w:spacing w:after="0" w:line="68" w:lineRule="exact"/>
        <w:rPr>
          <w:rFonts w:ascii="Arial" w:cs="Arial" w:eastAsia="Arial" w:hAnsi="Arial"/>
          <w:sz w:val="18"/>
          <w:szCs w:val="18"/>
          <w:color w:val="auto"/>
        </w:rPr>
      </w:pPr>
    </w:p>
    <w:p>
      <w:pPr>
        <w:ind w:left="380" w:hanging="372"/>
        <w:spacing w:after="0" w:line="26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An overall response rate of 38% observed at the recommended Phase 2 dose of 2000 mg daily for the intended Phase 2 population of TP53 Y220C and KRAS wild-type patients</w:t>
      </w:r>
    </w:p>
    <w:p>
      <w:pPr>
        <w:spacing w:after="0" w:line="5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Registrational Phase 2 clinical trial expected to initiate in Q1 2024</w:t>
      </w:r>
    </w:p>
    <w:p>
      <w:pPr>
        <w:spacing w:after="0" w:line="12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Ongoing enrollment in the combination arm of the PYNNACLE study with PC14586 and KEYTRUDA</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(pembrolizumab)</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PRINCETON, N.J.</w:t>
      </w:r>
      <w:r>
        <w:rPr>
          <w:rFonts w:ascii="Arial" w:cs="Arial" w:eastAsia="Arial" w:hAnsi="Arial"/>
          <w:sz w:val="18"/>
          <w:szCs w:val="18"/>
          <w:color w:val="auto"/>
        </w:rPr>
        <w:t>, Nov. 9, 2023 (GLOBE NEWSWIRE) -- PMV Pharmaceuticals, Inc. (Nasdaq: PMVP), a precision oncology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pioneering the discovery and development of small molecule, tumor agnostic therapies targeting p53, today reported financial results for the third quarter ended September 30, 2023, and provided a corporate update.</w:t>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were very pleased to recently share updated Phase 1 data from our PYNNACLE clinical trial with the oncology community, demonstrating clinical efficacy and safety of PC14586 in heavily pretreated patients across multiple solid tumor types,” said David Mack, Ph.D., President and Chief Executive Officer. “On the strength of the positive findings and guidance from the FDA, we selected the recommended Phase 2 dose and are aligned on the clinical and regulatory pathway for further development of PC14586. We look forward to initiating a registrational Phase 2 study in the first quarter of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and Recent Corporate Highlights:</w:t>
      </w:r>
    </w:p>
    <w:p>
      <w:pPr>
        <w:spacing w:after="0" w:line="208" w:lineRule="exact"/>
        <w:rPr>
          <w:sz w:val="20"/>
          <w:szCs w:val="20"/>
          <w:color w:val="auto"/>
        </w:rPr>
      </w:pPr>
    </w:p>
    <w:p>
      <w:pPr>
        <w:jc w:val="both"/>
        <w:ind w:left="380" w:hanging="372"/>
        <w:spacing w:after="0" w:line="239"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Updated clinical results from the Phase 1 PYNNACLE study evaluating PC14586 were featured in a late-breaking poster at the 2023 AACR-NCI-EORTC International Conference on Molecular Targets and Cancer Therapeutics on October 12, 2023. Confirmed responses were observed in patients whose tumors were TP53 Y220C and KRAS wild-type in the efficacious dose range, in multiple tumor types including ovarian, breast, prostate, small-cell lung, and endometrial cancer. An overall response rate of 38% was achieved at the Recommended Phase 2 Dose (RP2D) of 2000 mg daily (6/16 evaluable patients) reflective of the planned Phase 2 patient population (TP53 Y220C and KRAS wild-type). The median duration of response was seven months. A copy of the poster can be found on the PMV corporate website here: </w:t>
      </w:r>
      <w:r>
        <w:rPr>
          <w:rFonts w:ascii="Arial" w:cs="Arial" w:eastAsia="Arial" w:hAnsi="Arial"/>
          <w:sz w:val="18"/>
          <w:szCs w:val="18"/>
          <w:u w:val="single" w:color="auto"/>
          <w:color w:val="03AFFD"/>
        </w:rPr>
        <w:t>https://ir.pmvpharma.com/static-files/1b5b16b5-55da-46a8-b016-19426758cafa</w:t>
      </w:r>
      <w:r>
        <w:rPr>
          <w:rFonts w:ascii="Arial" w:cs="Arial" w:eastAsia="Arial" w:hAnsi="Arial"/>
          <w:sz w:val="18"/>
          <w:szCs w:val="18"/>
          <w:color w:val="auto"/>
        </w:rPr>
        <w:t>.</w:t>
      </w:r>
    </w:p>
    <w:p>
      <w:pPr>
        <w:spacing w:after="0" w:line="28"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RP2D of 2000 mg once daily was selected based on overall safety, pharmacokinetics (PK), and efficacy in alignment with the U.S. Food and Drug Administration (FDA) at an End of Phase 1 meeting held in Q3 2023. PMV plans to initiate a registrational tumor-agnostic Phase 2 clinical trial in early 2024.</w:t>
      </w:r>
    </w:p>
    <w:p>
      <w:pPr>
        <w:spacing w:after="0" w:line="22"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PYNNACLE clinical trial results were also highlighted in a KOL webinar which included a presentation by Aparna Parikh, M.D, M.S., Director of the Global Cancer Care Program at Mass General Hospital Cancer Center. A copy of the webinar presentation can be accessed here: </w:t>
      </w:r>
      <w:r>
        <w:rPr>
          <w:rFonts w:ascii="Arial" w:cs="Arial" w:eastAsia="Arial" w:hAnsi="Arial"/>
          <w:sz w:val="18"/>
          <w:szCs w:val="18"/>
          <w:u w:val="single" w:color="auto"/>
          <w:color w:val="03AFFD"/>
        </w:rPr>
        <w:t>https://ir.pmvpharma.com/events-and-presentations</w:t>
      </w:r>
      <w:r>
        <w:rPr>
          <w:rFonts w:ascii="Arial" w:cs="Arial" w:eastAsia="Arial" w:hAnsi="Arial"/>
          <w:sz w:val="18"/>
          <w:szCs w:val="18"/>
          <w:color w:val="auto"/>
        </w:rPr>
        <w:t>.</w:t>
      </w:r>
    </w:p>
    <w:p>
      <w:pPr>
        <w:spacing w:after="0" w:line="26" w:lineRule="exact"/>
        <w:rPr>
          <w:rFonts w:ascii="Arial" w:cs="Arial" w:eastAsia="Arial" w:hAnsi="Arial"/>
          <w:sz w:val="18"/>
          <w:szCs w:val="18"/>
          <w:color w:val="auto"/>
        </w:rPr>
      </w:pPr>
    </w:p>
    <w:p>
      <w:pPr>
        <w:ind w:left="380" w:hanging="372"/>
        <w:spacing w:after="0" w:line="225"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Ongoing enrollment in the combination arm of PYNNACLE evaluating PC14586 with 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 PMV and Merck entered into a collaboration in 2022 under the terms of which Merck is supplying KEYTRUDA for this study.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Financial Results</w:t>
      </w:r>
    </w:p>
    <w:p>
      <w:pPr>
        <w:spacing w:after="0" w:line="114" w:lineRule="exact"/>
        <w:rPr>
          <w:sz w:val="20"/>
          <w:szCs w:val="20"/>
          <w:color w:val="auto"/>
        </w:rPr>
      </w:pPr>
    </w:p>
    <w:p>
      <w:pPr>
        <w:ind w:left="380" w:hanging="372"/>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nine months ended September 30, 2023, the Company raised $35.1 million in net proceeds through an At-the-Market facility (ATM).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39"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PMV Pharma ended the third quarter with $238.1 million in cash, cash equivalents, and marketable securities.</w:t>
      </w:r>
    </w:p>
    <w:p>
      <w:pPr>
        <w:spacing w:after="0" w:line="63" w:lineRule="exact"/>
        <w:rPr>
          <w:rFonts w:ascii="Arial" w:cs="Arial" w:eastAsia="Arial" w:hAnsi="Arial"/>
          <w:sz w:val="18"/>
          <w:szCs w:val="18"/>
          <w:color w:val="auto"/>
        </w:rPr>
      </w:pPr>
    </w:p>
    <w:p>
      <w:pPr>
        <w:ind w:left="380" w:hanging="372"/>
        <w:spacing w:after="0" w:line="26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for the nine months ended September 30, 2023, was $53.2 million compared to $54.0 million for the nine months ended September 30, 2022.</w:t>
      </w:r>
    </w:p>
    <w:p>
      <w:pPr>
        <w:spacing w:after="0" w:line="10"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(R&amp;D) expenses were $42.5 million for the nine months ended September 30, 2023, compared to $37.0 million for the nine months ended September 30, 2022. The increase in R&amp;D expenses was primarily related to increased headcount and clinical expenses to advance research on PC14586, the Company’s lead drug candidate.</w:t>
      </w:r>
    </w:p>
    <w:p>
      <w:pPr>
        <w:spacing w:after="0" w:line="22" w:lineRule="exact"/>
        <w:rPr>
          <w:rFonts w:ascii="Arial" w:cs="Arial" w:eastAsia="Arial" w:hAnsi="Arial"/>
          <w:sz w:val="18"/>
          <w:szCs w:val="18"/>
          <w:color w:val="auto"/>
        </w:rPr>
      </w:pPr>
    </w:p>
    <w:p>
      <w:pPr>
        <w:jc w:val="both"/>
        <w:ind w:left="380" w:right="20" w:hanging="372"/>
        <w:spacing w:after="0" w:line="24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(G&amp;A) expenses were $18.7 million for the nine months ended September 30, 2023, compared to $18.9 million for the nine months ended September 30, 2022. The decrease in G&amp;A expenses was primarily due to facility-related costs now allocated to research as our new laboratory building in Princeton, New Jersey began operations.</w:t>
      </w:r>
    </w:p>
    <w:p>
      <w:pPr>
        <w:spacing w:after="0" w:line="29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 is a registered trademark of Merck Sharp &amp; Dohme LLC., a subsidiary of Merck &amp; Co., Inc., Rahway, NJ, USA.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PMV Pharma is a precision oncology company pioneering the discovery and development of small molecule, tumor-agnostic therapies targeting p53.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Princeton, New Jersey. For more information, please visit </w:t>
      </w:r>
      <w:r>
        <w:rPr>
          <w:rFonts w:ascii="Arial" w:cs="Arial" w:eastAsia="Arial" w:hAnsi="Arial"/>
          <w:sz w:val="18"/>
          <w:szCs w:val="18"/>
          <w:u w:val="single" w:color="auto"/>
          <w:color w:val="03AFFD"/>
        </w:rPr>
        <w:t>www.pmvpharma.com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PC14586</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PC14586 is a first-in-class, small molecule, p53 reactivator designed to selectively bind to the pocket present in the p53 Y220C mutant protein, hence, restoring the wild-type, or normal, p53 protein structure and tumor-suppressing function. The U.S. Food and Drug Administration (FDA) granted Fast Track designation to PC14586 for the treatment of patients with locally advanced or metastatic solid tumors that have a p53 Y220C mutation.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our ability to obtain approval on a tumor agnostic basis, expectations regarding timing of the Phase 2 portion of its current clinical trial for PC14586, expected therapeutic benefits of PC14586 including potential efficacy and tolerability, statements regarding the Company’s future plans or expectations for PC14586, including expectations regarding ongoing safety and response rate of participants in our clinical trials, timing for submission of a New Drug Application, as well as the overall success of current and future clinical trials for PC14586, and the adequacy of the data to support its regulatory approval, and any future commercialization plans for the product candidate.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5" w:name="page6"/>
    <w:bookmarkEnd w:id="5"/>
    <w:p>
      <w:pPr>
        <w:ind w:left="10300"/>
        <w:spacing w:after="0"/>
        <w:rPr>
          <w:sz w:val="20"/>
          <w:szCs w:val="20"/>
          <w:color w:val="auto"/>
        </w:rPr>
      </w:pPr>
      <w:r>
        <w:rPr>
          <w:rFonts w:ascii="Arial" w:cs="Arial" w:eastAsia="Arial" w:hAnsi="Arial"/>
          <w:sz w:val="16"/>
          <w:szCs w:val="16"/>
          <w:color w:val="auto"/>
        </w:rPr>
        <w:t>Exhibit 99.1</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differ from preclinical, preliminary, interim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1, 2023, the Company’s Quarterly Report on Form 10-Q for the three months ended June 30, 2023, filed with the SEC on August 9, 2023,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Winston Kung</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investors@pmvpharma.com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4" w:lineRule="auto"/>
        <w:rPr>
          <w:sz w:val="20"/>
          <w:szCs w:val="20"/>
          <w:color w:val="auto"/>
        </w:rPr>
      </w:pPr>
      <w:r>
        <w:rPr>
          <w:rFonts w:ascii="Arial" w:cs="Arial" w:eastAsia="Arial" w:hAnsi="Arial"/>
          <w:sz w:val="18"/>
          <w:szCs w:val="18"/>
          <w:color w:val="auto"/>
        </w:rPr>
        <w:t>Greig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57A8"/>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color w:val="auto"/>
        </w:rPr>
        <w:t>Exhibit 99.1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5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9"/>
              </w:rPr>
              <w:t>2023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6"/>
                <w:szCs w:val="16"/>
                <w:color w:val="auto"/>
              </w:rPr>
            </w:pPr>
          </w:p>
        </w:tc>
        <w:tc>
          <w:tcPr>
            <w:tcW w:w="13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108,297</w:t>
            </w:r>
          </w:p>
        </w:tc>
        <w:tc>
          <w:tcPr>
            <w:tcW w:w="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 current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149,861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132,757</w:t>
            </w:r>
          </w:p>
        </w:tc>
        <w:tc>
          <w:tcPr>
            <w:tcW w:w="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205,296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247,006</w:t>
            </w:r>
          </w:p>
        </w:tc>
        <w:tc>
          <w:tcPr>
            <w:tcW w:w="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10,955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 noncurrent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8,545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9,539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261,027</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10,716</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16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13,448</w:t>
            </w:r>
          </w:p>
        </w:tc>
        <w:tc>
          <w:tcPr>
            <w:tcW w:w="1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532,214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487,516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(294,247 )</w:t>
            </w:r>
          </w:p>
        </w:tc>
        <w:tc>
          <w:tcPr>
            <w:tcW w:w="2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(241,043 )</w:t>
            </w: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(355 )</w:t>
            </w:r>
          </w:p>
        </w:tc>
        <w:tc>
          <w:tcPr>
            <w:tcW w:w="22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(445 )</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237,612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246,028</w:t>
            </w:r>
          </w:p>
        </w:tc>
        <w:tc>
          <w:tcPr>
            <w:tcW w:w="1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261,027</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-2639695</wp:posOffset>
            </wp:positionV>
            <wp:extent cx="10287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-2639695</wp:posOffset>
            </wp:positionV>
            <wp:extent cx="10287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-1679575</wp:posOffset>
            </wp:positionV>
            <wp:extent cx="10287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-1679575</wp:posOffset>
            </wp:positionV>
            <wp:extent cx="10287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-1362075</wp:posOffset>
            </wp:positionV>
            <wp:extent cx="10287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-1362075</wp:posOffset>
            </wp:positionV>
            <wp:extent cx="10287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-410845</wp:posOffset>
            </wp:positionV>
            <wp:extent cx="10287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-410845</wp:posOffset>
            </wp:positionV>
            <wp:extent cx="10287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7" w:name="page8"/>
    <w:bookmarkEnd w:id="7"/>
    <w:p>
      <w:pPr>
        <w:ind w:left="10300"/>
        <w:spacing w:after="0"/>
        <w:rPr>
          <w:sz w:val="20"/>
          <w:szCs w:val="20"/>
          <w:color w:val="auto"/>
        </w:rPr>
      </w:pPr>
      <w:r>
        <w:rPr>
          <w:rFonts w:ascii="Arial" w:cs="Arial" w:eastAsia="Arial" w:hAnsi="Arial"/>
          <w:sz w:val="16"/>
          <w:szCs w:val="16"/>
          <w:color w:val="auto"/>
        </w:rPr>
        <w:t>Exhibit 99.1</w:t>
      </w:r>
    </w:p>
    <w:p>
      <w:pPr>
        <w:spacing w:after="0" w:line="7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PMV Pharmaceuticals, Inc.</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jc w:val="right"/>
              <w:ind w:right="33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6"/>
                <w:szCs w:val="16"/>
                <w:color w:val="auto"/>
              </w:rPr>
            </w:pPr>
          </w:p>
        </w:tc>
        <w:tc>
          <w:tcPr>
            <w:tcW w:w="2540" w:type="dxa"/>
            <w:vAlign w:val="bottom"/>
            <w:gridSpan w:val="5"/>
          </w:tcPr>
          <w:p>
            <w:pPr>
              <w:jc w:val="right"/>
              <w:ind w:right="261"/>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69"/>
        </w:trPr>
        <w:tc>
          <w:tcPr>
            <w:tcW w:w="5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13,586</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13,666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42,503</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36,963</w:t>
            </w:r>
          </w:p>
        </w:tc>
        <w:tc>
          <w:tcPr>
            <w:tcW w:w="100" w:type="dxa"/>
            <w:vAlign w:val="bottom"/>
          </w:tcPr>
          <w:p>
            <w:pPr>
              <w:spacing w:after="0"/>
              <w:rPr>
                <w:sz w:val="20"/>
                <w:szCs w:val="20"/>
                <w:color w:val="auto"/>
              </w:rPr>
            </w:pPr>
          </w:p>
        </w:tc>
      </w:tr>
      <w:tr>
        <w:trPr>
          <w:trHeight w:val="249"/>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5,709</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55,878</w:t>
            </w:r>
          </w:p>
        </w:tc>
        <w:tc>
          <w:tcPr>
            <w:tcW w:w="100" w:type="dxa"/>
            <w:vAlign w:val="bottom"/>
          </w:tcPr>
          <w:p>
            <w:pPr>
              <w:spacing w:after="0"/>
              <w:rPr>
                <w:sz w:val="20"/>
                <w:szCs w:val="20"/>
                <w:color w:val="auto"/>
              </w:rPr>
            </w:pPr>
          </w:p>
        </w:tc>
      </w:tr>
      <w:tr>
        <w:trPr>
          <w:trHeight w:val="237"/>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(19,375</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(55,878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FF0FC"/>
          </w:tcPr>
          <w:p>
            <w:pPr>
              <w:spacing w:after="0"/>
              <w:rPr>
                <w:sz w:val="21"/>
                <w:szCs w:val="21"/>
                <w:color w:val="auto"/>
              </w:rPr>
            </w:pPr>
          </w:p>
        </w:tc>
      </w:tr>
      <w:tr>
        <w:trPr>
          <w:trHeight w:val="243"/>
        </w:trPr>
        <w:tc>
          <w:tcPr>
            <w:tcW w:w="570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r>
      <w:tr>
        <w:trPr>
          <w:trHeight w:val="237"/>
        </w:trPr>
        <w:tc>
          <w:tcPr>
            <w:tcW w:w="5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8,029</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Loss before (benefit) provision for income taxes</w:t>
            </w:r>
          </w:p>
        </w:tc>
        <w:tc>
          <w:tcPr>
            <w:tcW w:w="16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(16,640 )</w:t>
            </w:r>
          </w:p>
        </w:tc>
        <w:tc>
          <w:tcPr>
            <w:tcW w:w="24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(18,238 )</w:t>
            </w:r>
          </w:p>
        </w:tc>
        <w:tc>
          <w:tcPr>
            <w:tcW w:w="16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(53,201 )</w:t>
            </w: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(53,981 )</w:t>
            </w:r>
          </w:p>
        </w:tc>
      </w:tr>
      <w:tr>
        <w:trPr>
          <w:trHeight w:val="249"/>
        </w:trPr>
        <w:tc>
          <w:tcPr>
            <w:tcW w:w="5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(9 )</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57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(16,640 )</w:t>
            </w:r>
          </w:p>
        </w:tc>
        <w:tc>
          <w:tcPr>
            <w:tcW w:w="24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(18,229 )</w:t>
            </w:r>
          </w:p>
        </w:tc>
        <w:tc>
          <w:tcPr>
            <w:tcW w:w="16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(53,204 )</w:t>
            </w: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(53,972 )</w:t>
            </w:r>
          </w:p>
        </w:tc>
      </w:tr>
      <w:tr>
        <w:trPr>
          <w:trHeight w:val="249"/>
        </w:trPr>
        <w:tc>
          <w:tcPr>
            <w:tcW w:w="5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Unrealized (loss) gain on available for sale investments, net of tax</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(27 )</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(947 )</w:t>
            </w:r>
          </w:p>
        </w:tc>
      </w:tr>
      <w:tr>
        <w:trPr>
          <w:trHeight w:val="20"/>
        </w:trPr>
        <w:tc>
          <w:tcPr>
            <w:tcW w:w="57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Comprehensive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(16,667 )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(18,231 )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(53,114 )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(54,919 )</w:t>
            </w: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spacing w:after="0"/>
              <w:rPr>
                <w:sz w:val="19"/>
                <w:szCs w:val="19"/>
                <w:color w:val="auto"/>
              </w:rPr>
            </w:pPr>
          </w:p>
        </w:tc>
      </w:tr>
      <w:tr>
        <w:trPr>
          <w:trHeight w:val="243"/>
        </w:trPr>
        <w:tc>
          <w:tcPr>
            <w:tcW w:w="5700" w:type="dxa"/>
            <w:vAlign w:val="bottom"/>
          </w:tcPr>
          <w:p>
            <w:pPr>
              <w:ind w:left="200"/>
              <w:spacing w:after="0"/>
              <w:rPr>
                <w:sz w:val="20"/>
                <w:szCs w:val="20"/>
                <w:color w:val="auto"/>
              </w:rPr>
            </w:pPr>
            <w:r>
              <w:rPr>
                <w:rFonts w:ascii="Arial" w:cs="Arial" w:eastAsia="Arial" w:hAnsi="Arial"/>
                <w:sz w:val="18"/>
                <w:szCs w:val="18"/>
                <w:color w:val="auto"/>
              </w:rPr>
              <w:t>Net loss per share --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(0.34 )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(0.40 )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(1.13 )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(1.18 )</w:t>
            </w: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49,047,296</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45,622,957</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46,889,921</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45,556,635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338"/>
        </w:trPr>
        <w:tc>
          <w:tcPr>
            <w:tcW w:w="5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-2527935</wp:posOffset>
            </wp:positionV>
            <wp:extent cx="768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-2527935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-2527935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-1576705</wp:posOffset>
            </wp:positionV>
            <wp:extent cx="7683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-1576705</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-1576705</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-1259840</wp:posOffset>
            </wp:positionV>
            <wp:extent cx="7683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-1259840</wp:posOffset>
            </wp:positionV>
            <wp:extent cx="6858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-1259840</wp:posOffset>
            </wp:positionV>
            <wp:extent cx="685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-942340</wp:posOffset>
            </wp:positionV>
            <wp:extent cx="7683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-942340</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-942340</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-264795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-264795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-264795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2023-11-09T07:12:25Z</dcterms:created>
  <dcterms:modified xsi:type="dcterms:W3CDTF">2023-11-09T07:12:25Z</dcterms:modified>
</cp:coreProperties>
</file>