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46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ORONSKY ARNOLD L</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PMV PHARMACEUTICALS,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189"/>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PMV Pharmaceuticals,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PMVP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09/25/2020</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175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31" w:lineRule="exact"/>
        <w:rPr>
          <w:sz w:val="24"/>
          <w:szCs w:val="24"/>
          <w:color w:val="auto"/>
        </w:rPr>
      </w:pPr>
    </w:p>
    <w:p>
      <w:pPr>
        <w:sectPr>
          <w:pgSz w:w="11900" w:h="16838" w:orient="portrait"/>
          <w:cols w:equalWidth="0" w:num="3">
            <w:col w:w="3180" w:space="720"/>
            <w:col w:w="3109" w:space="720"/>
            <w:col w:w="3351"/>
          </w:cols>
          <w:pgMar w:left="460" w:top="218" w:right="359" w:bottom="469"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400" w:type="dxa"/>
            <w:vAlign w:val="bottom"/>
            <w:gridSpan w:val="6"/>
          </w:tcPr>
          <w:p>
            <w:pPr>
              <w:ind w:left="140"/>
              <w:spacing w:after="0"/>
              <w:rPr>
                <w:sz w:val="20"/>
                <w:szCs w:val="20"/>
                <w:color w:val="auto"/>
              </w:rPr>
            </w:pPr>
            <w:r>
              <w:rPr>
                <w:rFonts w:ascii="Arial" w:cs="Arial" w:eastAsia="Arial" w:hAnsi="Arial"/>
                <w:sz w:val="13"/>
                <w:szCs w:val="13"/>
                <w:color w:val="auto"/>
                <w:w w:val="97"/>
              </w:rPr>
              <w:t>4. If Amendment, Date of Original Filed (Month/Day/Year)</w:t>
            </w:r>
          </w:p>
        </w:tc>
        <w:tc>
          <w:tcPr>
            <w:tcW w:w="200" w:type="dxa"/>
            <w:vAlign w:val="bottom"/>
          </w:tcPr>
          <w:p>
            <w:pPr>
              <w:spacing w:after="0"/>
              <w:rPr>
                <w:sz w:val="14"/>
                <w:szCs w:val="14"/>
                <w:color w:val="auto"/>
              </w:rPr>
            </w:pPr>
          </w:p>
        </w:tc>
        <w:tc>
          <w:tcPr>
            <w:tcW w:w="3720" w:type="dxa"/>
            <w:vAlign w:val="bottom"/>
            <w:gridSpan w:val="11"/>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gridSpan w:val="3"/>
          </w:tcPr>
          <w:p>
            <w:pPr>
              <w:ind w:left="320"/>
              <w:spacing w:after="0" w:line="179" w:lineRule="exact"/>
              <w:rPr>
                <w:sz w:val="20"/>
                <w:szCs w:val="20"/>
                <w:color w:val="auto"/>
              </w:rPr>
            </w:pPr>
            <w:r>
              <w:rPr>
                <w:rFonts w:ascii="Arial" w:cs="Arial" w:eastAsia="Arial" w:hAnsi="Arial"/>
                <w:sz w:val="16"/>
                <w:szCs w:val="16"/>
                <w:color w:val="0000FF"/>
              </w:rPr>
              <w:t>09/29/2020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0" w:type="dxa"/>
            <w:vAlign w:val="bottom"/>
            <w:gridSpan w:val="7"/>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CRANBURY</w:t>
            </w: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0000FF"/>
              </w:rPr>
              <w:t>NJ</w:t>
            </w:r>
          </w:p>
        </w:tc>
        <w:tc>
          <w:tcPr>
            <w:tcW w:w="1060" w:type="dxa"/>
            <w:vAlign w:val="bottom"/>
            <w:vMerge w:val="restart"/>
          </w:tcPr>
          <w:p>
            <w:pPr>
              <w:ind w:left="80"/>
              <w:spacing w:after="0"/>
              <w:rPr>
                <w:sz w:val="20"/>
                <w:szCs w:val="20"/>
                <w:color w:val="auto"/>
              </w:rPr>
            </w:pPr>
            <w:r>
              <w:rPr>
                <w:rFonts w:ascii="Arial" w:cs="Arial" w:eastAsia="Arial" w:hAnsi="Arial"/>
                <w:sz w:val="16"/>
                <w:szCs w:val="16"/>
                <w:color w:val="0000FF"/>
              </w:rPr>
              <w:t>08512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0" w:type="dxa"/>
            <w:vAlign w:val="bottom"/>
            <w:gridSpan w:val="7"/>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9"/>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4"/>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5"/>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8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09/25/2020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110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89"/>
              </w:rPr>
              <w:t>55,555</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95"/>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18</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55,555</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09/29/2020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89"/>
              </w:rPr>
              <w:t>1,620,101</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75"/>
              <w:spacing w:after="0"/>
              <w:rPr>
                <w:sz w:val="20"/>
                <w:szCs w:val="20"/>
                <w:color w:val="auto"/>
              </w:rPr>
            </w:pPr>
            <w:r>
              <w:rPr>
                <w:rFonts w:ascii="Arial" w:cs="Arial" w:eastAsia="Arial" w:hAnsi="Arial"/>
                <w:sz w:val="10"/>
                <w:szCs w:val="10"/>
                <w:color w:val="008000"/>
                <w:w w:val="97"/>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2"/>
              </w:rPr>
              <w:t>1,675,656</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09/29/2020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89"/>
              </w:rPr>
              <w:t>3,488,398</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75"/>
              <w:spacing w:after="0"/>
              <w:rPr>
                <w:sz w:val="20"/>
                <w:szCs w:val="20"/>
                <w:color w:val="auto"/>
              </w:rPr>
            </w:pPr>
            <w:r>
              <w:rPr>
                <w:rFonts w:ascii="Arial" w:cs="Arial" w:eastAsia="Arial" w:hAnsi="Arial"/>
                <w:sz w:val="10"/>
                <w:szCs w:val="10"/>
                <w:color w:val="008000"/>
                <w:w w:val="97"/>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2"/>
              </w:rPr>
              <w:t>5,164,054</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09/29/2020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89"/>
              </w:rPr>
              <w:t>1,040,654</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75"/>
              <w:spacing w:after="0"/>
              <w:rPr>
                <w:sz w:val="20"/>
                <w:szCs w:val="20"/>
                <w:color w:val="auto"/>
              </w:rPr>
            </w:pPr>
            <w:r>
              <w:rPr>
                <w:rFonts w:ascii="Arial" w:cs="Arial" w:eastAsia="Arial" w:hAnsi="Arial"/>
                <w:sz w:val="10"/>
                <w:szCs w:val="10"/>
                <w:color w:val="008000"/>
                <w:w w:val="97"/>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2"/>
              </w:rPr>
              <w:t>6,204,708</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09/29/2020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89"/>
              </w:rPr>
              <w:t>265,203</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75"/>
              <w:spacing w:after="0"/>
              <w:rPr>
                <w:sz w:val="20"/>
                <w:szCs w:val="20"/>
                <w:color w:val="auto"/>
              </w:rPr>
            </w:pPr>
            <w:r>
              <w:rPr>
                <w:rFonts w:ascii="Arial" w:cs="Arial" w:eastAsia="Arial" w:hAnsi="Arial"/>
                <w:sz w:val="10"/>
                <w:szCs w:val="10"/>
                <w:color w:val="008000"/>
                <w:w w:val="97"/>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3"/>
              <w:spacing w:after="0"/>
              <w:rPr>
                <w:sz w:val="20"/>
                <w:szCs w:val="20"/>
                <w:color w:val="auto"/>
              </w:rPr>
            </w:pPr>
            <w:r>
              <w:rPr>
                <w:rFonts w:ascii="Arial" w:cs="Arial" w:eastAsia="Arial" w:hAnsi="Arial"/>
                <w:sz w:val="16"/>
                <w:szCs w:val="16"/>
                <w:color w:val="0000FF"/>
                <w:w w:val="89"/>
              </w:rPr>
              <w:t>6,469,911</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jc w:val="center"/>
              <w:ind w:right="58"/>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jc w:val="center"/>
              <w:ind w:right="58"/>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Seed</w:t>
            </w:r>
          </w:p>
        </w:tc>
        <w:tc>
          <w:tcPr>
            <w:tcW w:w="640" w:type="dxa"/>
            <w:vAlign w:val="bottom"/>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6"/>
              </w:rPr>
              <w:t>09/29/2020</w:t>
            </w: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3"/>
                <w:szCs w:val="13"/>
                <w:color w:val="0000FF"/>
              </w:rPr>
              <w:t>C</w:t>
            </w:r>
          </w:p>
        </w:tc>
        <w:tc>
          <w:tcPr>
            <w:tcW w:w="980" w:type="dxa"/>
            <w:vAlign w:val="bottom"/>
            <w:vMerge w:val="restart"/>
          </w:tcPr>
          <w:p>
            <w:pPr>
              <w:jc w:val="center"/>
              <w:ind w:left="183"/>
              <w:spacing w:after="0"/>
              <w:rPr>
                <w:sz w:val="20"/>
                <w:szCs w:val="20"/>
                <w:color w:val="auto"/>
              </w:rPr>
            </w:pPr>
            <w:r>
              <w:rPr>
                <w:rFonts w:ascii="Arial" w:cs="Arial" w:eastAsia="Arial" w:hAnsi="Arial"/>
                <w:sz w:val="13"/>
                <w:szCs w:val="13"/>
                <w:color w:val="0000FF"/>
                <w:w w:val="86"/>
              </w:rPr>
              <w:t>1,620,101</w:t>
            </w:r>
          </w:p>
        </w:tc>
        <w:tc>
          <w:tcPr>
            <w:tcW w:w="760" w:type="dxa"/>
            <w:vAlign w:val="bottom"/>
            <w:gridSpan w:val="2"/>
          </w:tcPr>
          <w:p>
            <w:pPr>
              <w:ind w:left="260"/>
              <w:spacing w:after="0"/>
              <w:rPr>
                <w:sz w:val="20"/>
                <w:szCs w:val="20"/>
                <w:color w:val="auto"/>
              </w:rPr>
            </w:pPr>
            <w:r>
              <w:rPr>
                <w:rFonts w:ascii="Arial" w:cs="Arial" w:eastAsia="Arial" w:hAnsi="Arial"/>
                <w:sz w:val="10"/>
                <w:szCs w:val="10"/>
                <w:color w:val="008000"/>
              </w:rPr>
              <w:t>(2)</w:t>
            </w:r>
          </w:p>
        </w:tc>
        <w:tc>
          <w:tcPr>
            <w:tcW w:w="62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1,620,101</w:t>
            </w:r>
          </w:p>
        </w:tc>
        <w:tc>
          <w:tcPr>
            <w:tcW w:w="40" w:type="dxa"/>
            <w:vAlign w:val="bottom"/>
          </w:tcPr>
          <w:p>
            <w:pPr>
              <w:spacing w:after="0"/>
              <w:rPr>
                <w:sz w:val="13"/>
                <w:szCs w:val="13"/>
                <w:color w:val="auto"/>
              </w:rPr>
            </w:pPr>
          </w:p>
        </w:tc>
        <w:tc>
          <w:tcPr>
            <w:tcW w:w="700" w:type="dxa"/>
            <w:vAlign w:val="bottom"/>
            <w:vMerge w:val="restart"/>
          </w:tcPr>
          <w:p>
            <w:pPr>
              <w:jc w:val="center"/>
              <w:ind w:right="38"/>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0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3"/>
                <w:szCs w:val="13"/>
                <w:color w:val="auto"/>
              </w:rPr>
            </w:pPr>
          </w:p>
        </w:tc>
        <w:tc>
          <w:tcPr>
            <w:tcW w:w="60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gridSpan w:val="2"/>
          </w:tcPr>
          <w:p>
            <w:pPr>
              <w:ind w:left="60"/>
              <w:spacing w:after="0" w:line="116" w:lineRule="exact"/>
              <w:rPr>
                <w:sz w:val="20"/>
                <w:szCs w:val="20"/>
                <w:color w:val="auto"/>
              </w:rPr>
            </w:pPr>
            <w:r>
              <w:rPr>
                <w:rFonts w:ascii="Arial" w:cs="Arial" w:eastAsia="Arial" w:hAnsi="Arial"/>
                <w:sz w:val="13"/>
                <w:szCs w:val="13"/>
                <w:color w:val="0000FF"/>
              </w:rPr>
              <w:t>Preferred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ind w:left="160"/>
              <w:spacing w:after="0" w:line="116"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4"/>
          </w:tcPr>
          <w:p>
            <w:pPr>
              <w:ind w:left="60"/>
              <w:spacing w:after="0" w:line="116" w:lineRule="exact"/>
              <w:rPr>
                <w:sz w:val="20"/>
                <w:szCs w:val="20"/>
                <w:color w:val="auto"/>
              </w:rPr>
            </w:pPr>
            <w:r>
              <w:rPr>
                <w:rFonts w:ascii="Arial" w:cs="Arial" w:eastAsia="Arial" w:hAnsi="Arial"/>
                <w:sz w:val="9"/>
                <w:szCs w:val="9"/>
                <w:color w:val="0000FF"/>
              </w:rPr>
              <w:t>footnote</w:t>
            </w:r>
            <w:r>
              <w:rPr>
                <w:rFonts w:ascii="Arial" w:cs="Arial" w:eastAsia="Arial" w:hAnsi="Arial"/>
                <w:sz w:val="13"/>
                <w:szCs w:val="13"/>
                <w:color w:val="008000"/>
                <w:vertAlign w:val="superscript"/>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3,488,398</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09/29/2020</w:t>
            </w: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183"/>
              <w:spacing w:after="0" w:line="96" w:lineRule="exact"/>
              <w:rPr>
                <w:sz w:val="20"/>
                <w:szCs w:val="20"/>
                <w:color w:val="auto"/>
              </w:rPr>
            </w:pPr>
            <w:r>
              <w:rPr>
                <w:rFonts w:ascii="Arial" w:cs="Arial" w:eastAsia="Arial" w:hAnsi="Arial"/>
                <w:sz w:val="11"/>
                <w:szCs w:val="11"/>
                <w:color w:val="0000FF"/>
              </w:rPr>
              <w:t>3,488,398</w:t>
            </w: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jc w:val="center"/>
              <w:ind w:right="38"/>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320" w:type="dxa"/>
            <w:vAlign w:val="bottom"/>
          </w:tcPr>
          <w:p>
            <w:pPr>
              <w:spacing w:after="0"/>
              <w:rPr>
                <w:sz w:val="4"/>
                <w:szCs w:val="4"/>
                <w:color w:val="auto"/>
              </w:rPr>
            </w:pPr>
          </w:p>
        </w:tc>
        <w:tc>
          <w:tcPr>
            <w:tcW w:w="6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14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4"/>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1,040,654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09/29/2020</w:t>
            </w: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183"/>
              <w:spacing w:after="0" w:line="96" w:lineRule="exact"/>
              <w:rPr>
                <w:sz w:val="20"/>
                <w:szCs w:val="20"/>
                <w:color w:val="auto"/>
              </w:rPr>
            </w:pPr>
            <w:r>
              <w:rPr>
                <w:rFonts w:ascii="Arial" w:cs="Arial" w:eastAsia="Arial" w:hAnsi="Arial"/>
                <w:sz w:val="11"/>
                <w:szCs w:val="11"/>
                <w:color w:val="0000FF"/>
              </w:rPr>
              <w:t>1,040,654</w:t>
            </w: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jc w:val="center"/>
              <w:ind w:right="38"/>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320" w:type="dxa"/>
            <w:vAlign w:val="bottom"/>
          </w:tcPr>
          <w:p>
            <w:pPr>
              <w:spacing w:after="0"/>
              <w:rPr>
                <w:sz w:val="4"/>
                <w:szCs w:val="4"/>
                <w:color w:val="auto"/>
              </w:rPr>
            </w:pPr>
          </w:p>
        </w:tc>
        <w:tc>
          <w:tcPr>
            <w:tcW w:w="6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14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4"/>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265,203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09/29/2020</w:t>
            </w: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183"/>
              <w:spacing w:after="0" w:line="96" w:lineRule="exact"/>
              <w:rPr>
                <w:sz w:val="20"/>
                <w:szCs w:val="20"/>
                <w:color w:val="auto"/>
              </w:rPr>
            </w:pPr>
            <w:r>
              <w:rPr>
                <w:rFonts w:ascii="Arial" w:cs="Arial" w:eastAsia="Arial" w:hAnsi="Arial"/>
                <w:sz w:val="11"/>
                <w:szCs w:val="11"/>
                <w:color w:val="0000FF"/>
              </w:rPr>
              <w:t>265,203</w:t>
            </w: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jc w:val="center"/>
              <w:ind w:right="38"/>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320" w:type="dxa"/>
            <w:vAlign w:val="bottom"/>
          </w:tcPr>
          <w:p>
            <w:pPr>
              <w:spacing w:after="0"/>
              <w:rPr>
                <w:sz w:val="4"/>
                <w:szCs w:val="4"/>
                <w:color w:val="auto"/>
              </w:rPr>
            </w:pPr>
          </w:p>
        </w:tc>
        <w:tc>
          <w:tcPr>
            <w:tcW w:w="6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14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4"/>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-5108575</wp:posOffset>
            </wp:positionV>
            <wp:extent cx="7035800" cy="5257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52571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Stock</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320" w:hanging="2"/>
        <w:spacing w:after="0" w:line="231"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InterWest Partners X, LP ("InterWest X"). InterWest Management Partners X, LLC ("IMP X"), as the general partner of InterWest X, may be deemed to beneficially own the shares held by InterWest X. The Reporting Person is a managing director of IMP X, and as such may be deemed to beneficially own the shares held by InterWest X. The Reporting Person disclaims beneficial ownership of such shares except to the extent of any pecuniary interest therein.</w:t>
      </w:r>
    </w:p>
    <w:p>
      <w:pPr>
        <w:spacing w:after="0" w:line="31" w:lineRule="exact"/>
        <w:rPr>
          <w:rFonts w:ascii="Arial" w:cs="Arial" w:eastAsia="Arial" w:hAnsi="Arial"/>
          <w:sz w:val="13"/>
          <w:szCs w:val="13"/>
          <w:color w:val="008000"/>
        </w:rPr>
      </w:pPr>
    </w:p>
    <w:p>
      <w:pPr>
        <w:ind w:left="40" w:right="34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each of the Series Seed Preferred Stock, Series A Preferred Stock, Series B Preferred Stock and Series C Preferred Stock automatically converted into shares of Common Stock on a one to one basis immediately prior to the completion of the Issuer's initial public offering of Common Stock and have no expiration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This Form 4/A has been filed to correct an error in the number of shares reported as purchased by IW10 on September 25, 2020.</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Karen Wilson, Attorney-in-</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10/02/2020</w:t>
            </w:r>
          </w:p>
        </w:tc>
        <w:tc>
          <w:tcPr>
            <w:tcW w:w="0" w:type="dxa"/>
            <w:vAlign w:val="bottom"/>
          </w:tcPr>
          <w:p>
            <w:pPr>
              <w:spacing w:after="0"/>
              <w:rPr>
                <w:sz w:val="1"/>
                <w:szCs w:val="1"/>
                <w:color w:val="auto"/>
              </w:rPr>
            </w:pPr>
          </w:p>
        </w:tc>
      </w:tr>
      <w:tr>
        <w:trPr>
          <w:trHeight w:val="80"/>
        </w:trPr>
        <w:tc>
          <w:tcPr>
            <w:tcW w:w="2080" w:type="dxa"/>
            <w:vAlign w:val="bottom"/>
            <w:gridSpan w:val="3"/>
            <w:vMerge w:val="restart"/>
          </w:tcPr>
          <w:p>
            <w:pPr>
              <w:spacing w:after="0" w:line="180" w:lineRule="exact"/>
              <w:rPr>
                <w:sz w:val="20"/>
                <w:szCs w:val="20"/>
                <w:color w:val="auto"/>
              </w:rPr>
            </w:pPr>
            <w:r>
              <w:rPr>
                <w:rFonts w:ascii="Arial" w:cs="Arial" w:eastAsia="Arial" w:hAnsi="Arial"/>
                <w:sz w:val="16"/>
                <w:szCs w:val="16"/>
                <w:color w:val="0000FF"/>
              </w:rPr>
              <w:t>Fact for Arnold L. Oronsky</w:t>
            </w: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4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7833" TargetMode="External"/><Relationship Id="rId14"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2020-10-02T17:44:36Z</dcterms:created>
  <dcterms:modified xsi:type="dcterms:W3CDTF">2020-10-02T17:44:36Z</dcterms:modified>
</cp:coreProperties>
</file>