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24, 2024</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Research Way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(609) 642-6670</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Research Way</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(609) 642-6670</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26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15"/>
        </w:trPr>
        <w:tc>
          <w:tcPr>
            <w:tcW w:w="34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Kenneth A. Clark</w:t>
            </w:r>
          </w:p>
        </w:tc>
        <w:tc>
          <w:tcPr>
            <w:tcW w:w="4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Michael Carulli</w:t>
            </w:r>
          </w:p>
        </w:tc>
      </w:tr>
      <w:tr>
        <w:trPr>
          <w:trHeight w:val="216"/>
        </w:trPr>
        <w:tc>
          <w:tcPr>
            <w:tcW w:w="34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Tony Jeffries</w:t>
            </w:r>
          </w:p>
        </w:tc>
        <w:tc>
          <w:tcPr>
            <w:tcW w:w="468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16"/>
        </w:trPr>
        <w:tc>
          <w:tcPr>
            <w:tcW w:w="34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Megan J. Baier</w:t>
            </w:r>
          </w:p>
        </w:tc>
        <w:tc>
          <w:tcPr>
            <w:tcW w:w="4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PMV Pharmaceuticals, Inc.</w:t>
            </w:r>
          </w:p>
        </w:tc>
      </w:tr>
      <w:tr>
        <w:trPr>
          <w:trHeight w:val="216"/>
        </w:trPr>
        <w:tc>
          <w:tcPr>
            <w:tcW w:w="34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Wilson Sonsini Goodrich &amp; Rosati, P.C.</w:t>
            </w:r>
          </w:p>
        </w:tc>
        <w:tc>
          <w:tcPr>
            <w:tcW w:w="4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One Research Way</w:t>
            </w:r>
          </w:p>
        </w:tc>
      </w:tr>
      <w:tr>
        <w:trPr>
          <w:trHeight w:val="216"/>
        </w:trPr>
        <w:tc>
          <w:tcPr>
            <w:tcW w:w="34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1301 Avenue of the Americas</w:t>
            </w:r>
          </w:p>
        </w:tc>
        <w:tc>
          <w:tcPr>
            <w:tcW w:w="4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Princeton, NJ 08540</w:t>
            </w:r>
          </w:p>
        </w:tc>
      </w:tr>
      <w:tr>
        <w:trPr>
          <w:trHeight w:val="216"/>
        </w:trPr>
        <w:tc>
          <w:tcPr>
            <w:tcW w:w="34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New York, NY 10019</w:t>
            </w:r>
          </w:p>
        </w:tc>
        <w:tc>
          <w:tcPr>
            <w:tcW w:w="4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(609) 642-6670</w:t>
            </w:r>
          </w:p>
        </w:tc>
      </w:tr>
      <w:tr>
        <w:trPr>
          <w:trHeight w:val="238"/>
        </w:trPr>
        <w:tc>
          <w:tcPr>
            <w:tcW w:w="34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(212) 999.5800</w:t>
            </w:r>
          </w:p>
        </w:tc>
        <w:tc>
          <w:tcPr>
            <w:tcW w:w="4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2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22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6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6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433"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OF ADDITIONAL SHARES PURSUANT TO GENERAL INSTRUCTION E</w:t>
      </w:r>
    </w:p>
    <w:p>
      <w:pPr>
        <w:spacing w:after="0" w:line="22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This Registration Statement is being filed with the Securities and Exchange Commission (the “Commission”) for the purpose of registering additional securities of the same class as other securities for which a registration statement of PMV Pharmaceuticals, Inc. (the “Registrant”) on Form S-8 relating to the same employee benefit plans is effective. The number of the Registrant’s common stock available for grant and issuance under the 2020 Equity Incentive Plan (“2020 Plan”) is subject to annual increase on the first day of each fiscal year beginning with fiscal year 2021, in an amount equal to the least of (i) 4,406,374 shares, (ii) five percent (5%) of the outstanding shares of the Registrant’s common stock on the last day of the immediately preceding fiscal year or (iii) such number of shares determined by the 2020 Plan administrator. The number of the Registrant’s common stock available for grant and issuance under the 2020 Employee Stock Purchase Plan (“2020 ESPP”) is subject to annual increase on the first day of each fiscal year beginning with fiscal year 2021 equal to the least of (i) 801,504 shares, (ii) one percent (1%) of the outstanding shares of the Registrant’s common stock on the last day of the immediately preceding fiscal year or (iii) such number of shares determined by the 2020 ESPP administrator. On January 1, 2024, the number of shares of the Registrant’s common stock available for grant and issuance under the 2020 Plan and available for issuance under the 2020 ESPP increased by 2,572,174 shares and 514,434 shares, respectively. This Registration Statement registers such additional shares of the Registrant’s common stock.</w:t>
      </w:r>
    </w:p>
    <w:p>
      <w:pPr>
        <w:spacing w:after="0" w:line="190"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The Registrant previously registered shares of common stock for issuance under the 2020 Plan and the 2020 ESPP pursuant to (i) a registration statement on Form S-8 (File No. 333-249094) filed with the Commission on September 28, 2020, (ii) a registration statement on Form S-8 (File No. 333-256346) filed with the Commission on May 21, 2021, and (iii) a registration statement on Form S-8 (File No. 333-262308) filed with the Commission on January 24, 2022 and (iv) a registration statement on Form S-8 (File No. 333-269394) filed with the Commission on January 25, 2023 ((i), (ii), (iii) and (iv), collectively, the “Prior Registration Statements”). In accordance with General Instruction E to Form S-8, the contents of the Prior Registration Statements are hereby incorporated by reference. In accordance with the instructional note to Part I of Form S-8 promulgated by the Commission, the information specified by Part I of Form S-8 has been omitted from this Registration Statement.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Commission:</w:t>
      </w:r>
    </w:p>
    <w:p>
      <w:pPr>
        <w:spacing w:after="0" w:line="117" w:lineRule="exact"/>
        <w:rPr>
          <w:sz w:val="20"/>
          <w:szCs w:val="20"/>
          <w:color w:val="auto"/>
        </w:rPr>
      </w:pPr>
    </w:p>
    <w:p>
      <w:pPr>
        <w:ind w:right="160" w:firstLine="436"/>
        <w:spacing w:after="0" w:line="282" w:lineRule="auto"/>
        <w:tabs>
          <w:tab w:leader="none" w:pos="695"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Registration Statements on Form S-8 previously filed with the Commission on </w:t>
      </w:r>
      <w:hyperlink r:id="rId20">
        <w:r>
          <w:rPr>
            <w:rFonts w:ascii="Times New Roman" w:cs="Times New Roman" w:eastAsia="Times New Roman" w:hAnsi="Times New Roman"/>
            <w:sz w:val="18"/>
            <w:szCs w:val="18"/>
            <w:u w:val="single" w:color="auto"/>
            <w:color w:val="0000EE"/>
          </w:rPr>
          <w:t>September 28,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333-249094), </w:t>
      </w:r>
      <w:hyperlink r:id="rId21">
        <w:r>
          <w:rPr>
            <w:rFonts w:ascii="Times New Roman" w:cs="Times New Roman" w:eastAsia="Times New Roman" w:hAnsi="Times New Roman"/>
            <w:sz w:val="18"/>
            <w:szCs w:val="18"/>
            <w:u w:val="single" w:color="auto"/>
            <w:color w:val="0000EE"/>
          </w:rPr>
          <w:t>May 21, 2021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333-256346),</w:t>
      </w:r>
      <w:r>
        <w:rPr>
          <w:rFonts w:ascii="Times New Roman" w:cs="Times New Roman" w:eastAsia="Times New Roman" w:hAnsi="Times New Roman"/>
          <w:sz w:val="18"/>
          <w:szCs w:val="18"/>
          <w:color w:val="0000EE"/>
        </w:rPr>
        <w:t xml:space="preserve"> </w:t>
      </w:r>
      <w:hyperlink r:id="rId22">
        <w:r>
          <w:rPr>
            <w:rFonts w:ascii="Times New Roman" w:cs="Times New Roman" w:eastAsia="Times New Roman" w:hAnsi="Times New Roman"/>
            <w:sz w:val="18"/>
            <w:szCs w:val="18"/>
            <w:u w:val="single" w:color="auto"/>
            <w:color w:val="0000EE"/>
          </w:rPr>
          <w:t xml:space="preserve">January 24, 2022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333-262308) and January 25, 2023 (File No. 333-269394);</w:t>
      </w:r>
    </w:p>
    <w:p>
      <w:pPr>
        <w:spacing w:after="0" w:line="161" w:lineRule="exact"/>
        <w:rPr>
          <w:rFonts w:ascii="Times New Roman" w:cs="Times New Roman" w:eastAsia="Times New Roman" w:hAnsi="Times New Roman"/>
          <w:sz w:val="18"/>
          <w:szCs w:val="18"/>
          <w:color w:val="0000EE"/>
        </w:rPr>
      </w:pPr>
    </w:p>
    <w:p>
      <w:pPr>
        <w:ind w:right="840" w:firstLine="436"/>
        <w:spacing w:after="0" w:line="282" w:lineRule="auto"/>
        <w:tabs>
          <w:tab w:leader="none" w:pos="6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(the “2022 Form 10-K”), filed with the Commission on March 1, 2023 (File No. 001-39539);</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1"/>
        </w:numPr>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auto"/>
          </w:rPr>
          <w:t xml:space="preserve">The information specifically incorporated by reference into the 2022 Form 10-K from the Registrant’s definitive proxy statement on </w:t>
        </w:r>
        <w:r>
          <w:rPr>
            <w:rFonts w:ascii="Times New Roman" w:cs="Times New Roman" w:eastAsia="Times New Roman" w:hAnsi="Times New Roman"/>
            <w:sz w:val="18"/>
            <w:szCs w:val="18"/>
            <w:u w:val="single" w:color="auto"/>
            <w:color w:val="0000EE"/>
          </w:rPr>
          <w:t>Schedule</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14A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Commission on April 28, 2023 (File No. 001-39539);</w:t>
        </w:r>
      </w:hyperlink>
    </w:p>
    <w:p>
      <w:pPr>
        <w:spacing w:after="0" w:line="161" w:lineRule="exact"/>
        <w:rPr>
          <w:rFonts w:ascii="Times New Roman" w:cs="Times New Roman" w:eastAsia="Times New Roman" w:hAnsi="Times New Roman"/>
          <w:sz w:val="18"/>
          <w:szCs w:val="18"/>
          <w:color w:val="0000EE"/>
        </w:rPr>
      </w:pPr>
    </w:p>
    <w:p>
      <w:pPr>
        <w:jc w:val="both"/>
        <w:ind w:right="320" w:firstLine="436"/>
        <w:spacing w:after="0" w:line="266" w:lineRule="auto"/>
        <w:tabs>
          <w:tab w:leader="none" w:pos="6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quarter ended March 31, 2023, filed with the Commission on </w:t>
      </w:r>
      <w:hyperlink r:id="rId25">
        <w:r>
          <w:rPr>
            <w:rFonts w:ascii="Times New Roman" w:cs="Times New Roman" w:eastAsia="Times New Roman" w:hAnsi="Times New Roman"/>
            <w:sz w:val="18"/>
            <w:szCs w:val="18"/>
            <w:u w:val="single" w:color="auto"/>
            <w:color w:val="0000EE"/>
          </w:rPr>
          <w:t>May 10, 2023</w:t>
        </w:r>
      </w:hyperlink>
      <w:r>
        <w:rPr>
          <w:rFonts w:ascii="Times New Roman" w:cs="Times New Roman" w:eastAsia="Times New Roman" w:hAnsi="Times New Roman"/>
          <w:sz w:val="18"/>
          <w:szCs w:val="18"/>
          <w:color w:val="auto"/>
        </w:rPr>
        <w:t xml:space="preserve">, the Registrant’s Quarterly Report on Form 10-Q for the quarter ended June 30, 2023, filed with the Commission on </w:t>
      </w:r>
      <w:hyperlink r:id="rId26">
        <w:r>
          <w:rPr>
            <w:rFonts w:ascii="Times New Roman" w:cs="Times New Roman" w:eastAsia="Times New Roman" w:hAnsi="Times New Roman"/>
            <w:sz w:val="18"/>
            <w:szCs w:val="18"/>
            <w:u w:val="single" w:color="auto"/>
            <w:color w:val="0000EE"/>
          </w:rPr>
          <w:t>August 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the Registrant’s Quarterly Report on Form 10-Q for the quarter ended September 30, 2023, filed with the Commission on </w:t>
      </w:r>
      <w:hyperlink r:id="rId27">
        <w:r>
          <w:rPr>
            <w:rFonts w:ascii="Times New Roman" w:cs="Times New Roman" w:eastAsia="Times New Roman" w:hAnsi="Times New Roman"/>
            <w:sz w:val="18"/>
            <w:szCs w:val="18"/>
            <w:u w:val="single" w:color="auto"/>
            <w:color w:val="0000EE"/>
          </w:rPr>
          <w:t>November 9, 2023</w:t>
        </w:r>
      </w:hyperlink>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28">
        <w:r>
          <w:rPr>
            <w:rFonts w:ascii="Times New Roman" w:cs="Times New Roman" w:eastAsia="Times New Roman" w:hAnsi="Times New Roman"/>
            <w:sz w:val="18"/>
            <w:szCs w:val="18"/>
            <w:u w:val="single" w:color="auto"/>
            <w:color w:val="0000EE"/>
          </w:rPr>
          <w:t>April 28, 2023</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EE"/>
          </w:rPr>
          <w:t>June 9, 2023</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October 12, 2023</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January 5, 2024</w:t>
        </w:r>
      </w:hyperlink>
      <w:r>
        <w:rPr>
          <w:rFonts w:ascii="Times New Roman" w:cs="Times New Roman" w:eastAsia="Times New Roman" w:hAnsi="Times New Roman"/>
          <w:sz w:val="18"/>
          <w:szCs w:val="18"/>
          <w:color w:val="auto"/>
        </w:rPr>
        <w:t xml:space="preserve"> and </w:t>
      </w:r>
      <w:hyperlink r:id="rId32">
        <w:r>
          <w:rPr>
            <w:rFonts w:ascii="Times New Roman" w:cs="Times New Roman" w:eastAsia="Times New Roman" w:hAnsi="Times New Roman"/>
            <w:sz w:val="18"/>
            <w:szCs w:val="18"/>
            <w:u w:val="single" w:color="auto"/>
            <w:color w:val="0000EE"/>
          </w:rPr>
          <w:t>January 18,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w:t>
      </w:r>
    </w:p>
    <w:p>
      <w:pPr>
        <w:spacing w:after="0" w:line="161" w:lineRule="exact"/>
        <w:rPr>
          <w:rFonts w:ascii="Times New Roman" w:cs="Times New Roman" w:eastAsia="Times New Roman" w:hAnsi="Times New Roman"/>
          <w:sz w:val="18"/>
          <w:szCs w:val="18"/>
          <w:color w:val="auto"/>
        </w:rPr>
      </w:pPr>
    </w:p>
    <w:p>
      <w:pPr>
        <w:ind w:right="180" w:firstLine="436"/>
        <w:spacing w:after="0" w:line="258" w:lineRule="auto"/>
        <w:tabs>
          <w:tab w:leader="none" w:pos="6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a registration statement on Form 8-A (File No. 001-39539), filed with the Commission on September 21, 2020, pursuant to Section 12(b) of the Securities Exchange Act of 1934, as amended (the “Exchange Act”), as updated by the description of the Registrant’s common stock contained in </w:t>
      </w:r>
      <w:hyperlink r:id="rId33">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2020, filed with the Commission on March 3, 2021, including any amendment or report filed for the purpose of updating such description; and</w:t>
      </w:r>
    </w:p>
    <w:p>
      <w:pPr>
        <w:sectPr>
          <w:pgSz w:w="11900" w:h="16838" w:orient="portrait"/>
          <w:cols w:equalWidth="0" w:num="1">
            <w:col w:w="10980"/>
          </w:cols>
          <w:pgMar w:left="440" w:top="266" w:right="479" w:bottom="1440" w:gutter="0" w:footer="0" w:header="0"/>
        </w:sectPr>
      </w:pPr>
    </w:p>
    <w:bookmarkStart w:id="2" w:name="page3"/>
    <w:bookmarkEnd w:id="2"/>
    <w:p>
      <w:pPr>
        <w:ind w:firstLine="436"/>
        <w:spacing w:after="0" w:line="254"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080" w:type="dxa"/>
            <w:vAlign w:val="bottom"/>
            <w:gridSpan w:val="13"/>
          </w:tcPr>
          <w:p>
            <w:pPr>
              <w:ind w:left="2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720" w:type="dxa"/>
            <w:vAlign w:val="bottom"/>
            <w:gridSpan w:val="2"/>
            <w:vMerge w:val="continue"/>
          </w:tcPr>
          <w:p>
            <w:pPr>
              <w:spacing w:after="0"/>
              <w:rPr>
                <w:sz w:val="9"/>
                <w:szCs w:val="9"/>
                <w:color w:val="auto"/>
              </w:rPr>
            </w:pPr>
          </w:p>
        </w:tc>
        <w:tc>
          <w:tcPr>
            <w:tcW w:w="1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40" w:type="dxa"/>
            <w:vAlign w:val="bottom"/>
            <w:gridSpan w:val="11"/>
          </w:tcPr>
          <w:p>
            <w:pPr>
              <w:ind w:left="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7"/>
        </w:trPr>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3"/>
                <w:szCs w:val="23"/>
                <w:color w:val="auto"/>
              </w:rPr>
            </w:pPr>
          </w:p>
        </w:tc>
        <w:tc>
          <w:tcPr>
            <w:tcW w:w="6980" w:type="dxa"/>
            <w:vAlign w:val="bottom"/>
            <w:gridSpan w:val="12"/>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Amended and Restated Certificate of Incorporation of the Registrant</w:t>
              </w:r>
            </w:hyperlink>
          </w:p>
        </w:tc>
        <w:tc>
          <w:tcPr>
            <w:tcW w:w="100" w:type="dxa"/>
            <w:vAlign w:val="bottom"/>
          </w:tcPr>
          <w:p>
            <w:pPr>
              <w:spacing w:after="0"/>
              <w:rPr>
                <w:sz w:val="23"/>
                <w:szCs w:val="2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001-39539</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9/29/2020</w:t>
            </w: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492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Amended and Restated Bylaws of the Registrant</w:t>
              </w:r>
            </w:hyperlink>
          </w:p>
        </w:tc>
        <w:tc>
          <w:tcPr>
            <w:tcW w:w="2160" w:type="dxa"/>
            <w:vAlign w:val="bottom"/>
            <w:gridSpan w:val="5"/>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10-Q</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001-39539</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5/10/2023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7080" w:type="dxa"/>
            <w:vAlign w:val="bottom"/>
            <w:gridSpan w:val="13"/>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Specimen common stock certificate of the Registrant</w:t>
              </w:r>
            </w:hyperlink>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333-248627</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9/21/2020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4"/>
                <w:szCs w:val="24"/>
                <w:color w:val="auto"/>
              </w:rPr>
            </w:pPr>
          </w:p>
        </w:tc>
        <w:tc>
          <w:tcPr>
            <w:tcW w:w="70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Opinion of Wilson Sonsini Goodrich &amp; Rosati, Professional Corporation</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4"/>
                <w:szCs w:val="24"/>
                <w:color w:val="auto"/>
              </w:rPr>
            </w:pPr>
          </w:p>
        </w:tc>
        <w:tc>
          <w:tcPr>
            <w:tcW w:w="52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186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24"/>
                <w:szCs w:val="24"/>
                <w:color w:val="auto"/>
              </w:rPr>
            </w:pPr>
          </w:p>
        </w:tc>
        <w:tc>
          <w:tcPr>
            <w:tcW w:w="62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Consent of Wilson Sonsini Goodrich &amp; Rosati, Professional Corporation (contained in</w:t>
            </w:r>
          </w:p>
        </w:tc>
        <w:tc>
          <w:tcPr>
            <w:tcW w:w="86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Exhibit 5.1 hereto)</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24"/>
                <w:szCs w:val="24"/>
                <w:color w:val="auto"/>
              </w:rPr>
            </w:pPr>
          </w:p>
        </w:tc>
        <w:tc>
          <w:tcPr>
            <w:tcW w:w="70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Power of Attorney (contained on signature page hereto)</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4"/>
                <w:szCs w:val="24"/>
                <w:color w:val="auto"/>
              </w:rPr>
            </w:pPr>
          </w:p>
        </w:tc>
        <w:tc>
          <w:tcPr>
            <w:tcW w:w="46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2020 Equity Incentive Plan and forms of agreements thereunder</w:t>
              </w:r>
            </w:hyperlink>
          </w:p>
        </w:tc>
        <w:tc>
          <w:tcPr>
            <w:tcW w:w="2480" w:type="dxa"/>
            <w:vAlign w:val="bottom"/>
            <w:gridSpan w:val="6"/>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333-248627</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9/21/2020</w:t>
            </w: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24"/>
                <w:szCs w:val="24"/>
                <w:color w:val="auto"/>
              </w:rPr>
            </w:pPr>
          </w:p>
        </w:tc>
        <w:tc>
          <w:tcPr>
            <w:tcW w:w="7080" w:type="dxa"/>
            <w:vAlign w:val="bottom"/>
            <w:gridSpan w:val="13"/>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2020 Employee Stock Purchase Plan and forms of agreements thereunder</w:t>
              </w:r>
            </w:hyperlink>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333-248627</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9/21/2020</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4"/>
                <w:szCs w:val="24"/>
                <w:color w:val="auto"/>
              </w:rPr>
            </w:pPr>
          </w:p>
        </w:tc>
        <w:tc>
          <w:tcPr>
            <w:tcW w:w="22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Calculation of Filing Fee Table</w:t>
            </w:r>
          </w:p>
        </w:tc>
        <w:tc>
          <w:tcPr>
            <w:tcW w:w="3040" w:type="dxa"/>
            <w:vAlign w:val="bottom"/>
            <w:tcBorders>
              <w:top w:val="single" w:sz="8" w:color="0000EE"/>
            </w:tcBorders>
            <w:gridSpan w:val="8"/>
          </w:tcPr>
          <w:p>
            <w:pPr>
              <w:spacing w:after="0"/>
              <w:rPr>
                <w:sz w:val="24"/>
                <w:szCs w:val="24"/>
                <w:color w:val="auto"/>
              </w:rPr>
            </w:pPr>
          </w:p>
        </w:tc>
        <w:tc>
          <w:tcPr>
            <w:tcW w:w="180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1000"/>
          </w:cols>
          <w:pgMar w:left="440" w:top="270"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on Form S-8 to be signed on its behalf by the undersigned, thereunto duly authorized, in the City of Princeton, New Jersey, on January 24,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David H. Mack, Ph.D.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David H. Mack, Ph.D. and Michael Carulli as his or her true and lawful attorneys-in-fact and agents, with full power of substitution and substitution, for him or her and in their name, place and stead, in any and all capacities, to sign this Registration Statement and any and all amendments thereto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S-8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 Mack</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David H. Mack, Ph.D.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Carulli</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Michael Carulli</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Heyman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 of the Board</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Richard Heyman,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M. Baum</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Charles M. Baum, M.D.,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Arnold Levine</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Arnold Levine,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 Gallagher</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Carol Gallagher, Pharm.D.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Laurie Stelzer</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Laurie Stelzer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Kirsten Flowers</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24, 2024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Kirsten Flowers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13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1105535" cy="420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extLst>
                    </a:blip>
                    <a:srcRect/>
                    <a:stretch>
                      <a:fillRect/>
                    </a:stretch>
                  </pic:blipFill>
                  <pic:spPr bwMode="auto">
                    <a:xfrm>
                      <a:off x="0" y="0"/>
                      <a:ext cx="1105535" cy="420370"/>
                    </a:xfrm>
                    <a:prstGeom prst="rect">
                      <a:avLst/>
                    </a:prstGeom>
                    <a:noFill/>
                  </pic:spPr>
                </pic:pic>
              </a:graphicData>
            </a:graphic>
          </wp:anchor>
        </w:drawing>
      </w:r>
    </w:p>
    <w:p>
      <w:pPr>
        <w:ind w:left="7620"/>
        <w:spacing w:after="0"/>
        <w:rPr>
          <w:sz w:val="20"/>
          <w:szCs w:val="20"/>
          <w:color w:val="auto"/>
        </w:rPr>
      </w:pPr>
      <w:r>
        <w:rPr>
          <w:rFonts w:ascii="Times New Roman" w:cs="Times New Roman" w:eastAsia="Times New Roman" w:hAnsi="Times New Roman"/>
          <w:sz w:val="14"/>
          <w:szCs w:val="14"/>
          <w:color w:val="auto"/>
        </w:rPr>
        <w:t>Professional Corporation</w:t>
      </w:r>
    </w:p>
    <w:p>
      <w:pPr>
        <w:spacing w:after="0" w:line="9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color w:val="auto"/>
        </w:rPr>
        <w:t>1301 Avenue of the Americas, 40</w:t>
      </w:r>
      <w:r>
        <w:rPr>
          <w:rFonts w:ascii="Times New Roman" w:cs="Times New Roman" w:eastAsia="Times New Roman" w:hAnsi="Times New Roman"/>
          <w:sz w:val="10"/>
          <w:szCs w:val="10"/>
          <w:color w:val="auto"/>
        </w:rPr>
        <w:t>th</w:t>
      </w:r>
      <w:r>
        <w:rPr>
          <w:rFonts w:ascii="Times New Roman" w:cs="Times New Roman" w:eastAsia="Times New Roman" w:hAnsi="Times New Roman"/>
          <w:sz w:val="14"/>
          <w:szCs w:val="14"/>
          <w:color w:val="auto"/>
        </w:rPr>
        <w:t xml:space="preserve"> Floor</w:t>
      </w:r>
    </w:p>
    <w:p>
      <w:pPr>
        <w:spacing w:after="0" w:line="10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color w:val="auto"/>
        </w:rPr>
        <w:t>New York, NY 10019-6022</w:t>
      </w:r>
    </w:p>
    <w:p>
      <w:pPr>
        <w:spacing w:after="0" w:line="10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HONE</w:t>
      </w:r>
      <w:r>
        <w:rPr>
          <w:rFonts w:ascii="Times New Roman" w:cs="Times New Roman" w:eastAsia="Times New Roman" w:hAnsi="Times New Roman"/>
          <w:sz w:val="14"/>
          <w:szCs w:val="14"/>
          <w:color w:val="auto"/>
        </w:rPr>
        <w:t>: 212.999.5800</w:t>
      </w:r>
    </w:p>
    <w:p>
      <w:pPr>
        <w:spacing w:after="0" w:line="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1"/>
          <w:szCs w:val="11"/>
          <w:color w:val="auto"/>
        </w:rPr>
        <w:t>AX</w:t>
      </w:r>
      <w:r>
        <w:rPr>
          <w:rFonts w:ascii="Times New Roman" w:cs="Times New Roman" w:eastAsia="Times New Roman" w:hAnsi="Times New Roman"/>
          <w:sz w:val="14"/>
          <w:szCs w:val="14"/>
          <w:color w:val="auto"/>
        </w:rPr>
        <w:t>: 866.974.7329</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Research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(609) 642-6670</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We have examined the Registration Statement on Form S-8 (the “Registration Statement”) to be filed by PMV Pharmaceuticals, Inc., a Delaware corporation, with the Securities and Exchange Commission on or about the date hereof, in connection with the registration under the Securities Act of 1933, as amended, of (i) 2,572,174 shares of your common stock, par value $0.00001 per share (the “EIP Shares”), reserved for issuance pursuant to the 2020 Equity Incentive Plan (the “2020 Plan”) and (ii) 514,434 shares of your common stock, par value $0.00001 per share (the “ESPP Shares” and, together with the EIP Shares, the “Shares”), reserved for issuance pursuant to the 2020 Employee Stock Purchase Plan (the “2020 ESPP” and, together with the 2020 Plan, the “Plans”).</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issued and sold in the manner referred to in the Plans and pursuant to the agreements that accompany the Plans, will be legally and validly issued, fully paid and nonassessable.</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ectPr>
          <w:pgSz w:w="11900" w:h="16838" w:orient="portrait"/>
          <w:cols w:equalWidth="0" w:num="1">
            <w:col w:w="11020"/>
          </w:cols>
          <w:pgMar w:left="440" w:top="117" w:right="439" w:bottom="1440" w:gutter="0" w:footer="0" w:header="0"/>
        </w:sectPr>
      </w:pPr>
    </w:p>
    <w:p>
      <w:pPr>
        <w:spacing w:after="0" w:line="139" w:lineRule="exact"/>
        <w:rPr>
          <w:sz w:val="20"/>
          <w:szCs w:val="20"/>
          <w:color w:val="auto"/>
        </w:rPr>
      </w:pPr>
    </w:p>
    <w:p>
      <w:pPr>
        <w:ind w:left="560" w:hanging="487"/>
        <w:spacing w:after="0" w:line="282" w:lineRule="auto"/>
        <w:rPr>
          <w:sz w:val="20"/>
          <w:szCs w:val="20"/>
          <w:color w:val="auto"/>
        </w:rPr>
      </w:pPr>
      <w:r>
        <w:rPr>
          <w:rFonts w:ascii="Times New Roman" w:cs="Times New Roman" w:eastAsia="Times New Roman" w:hAnsi="Times New Roman"/>
          <w:sz w:val="18"/>
          <w:szCs w:val="18"/>
          <w:color w:val="auto"/>
        </w:rPr>
        <w:t>AUSTIN</w:t>
      </w:r>
      <w:r>
        <w:rPr>
          <w:sz w:val="20"/>
          <w:szCs w:val="20"/>
          <w:color w:val="auto"/>
        </w:rPr>
        <w:t xml:space="preserve"> </w:t>
      </w:r>
      <w:r>
        <w:rPr>
          <w:rFonts w:ascii="Times New Roman" w:cs="Times New Roman" w:eastAsia="Times New Roman" w:hAnsi="Times New Roman"/>
          <w:sz w:val="18"/>
          <w:szCs w:val="18"/>
          <w:color w:val="auto"/>
        </w:rPr>
        <w:t>BEIJING BOSTON BOULDER BRUSSELS SALT LAKE CITY SAN DIEGO SAN FRANCISCO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right"/>
        <w:spacing w:after="0" w:line="282" w:lineRule="auto"/>
        <w:rPr>
          <w:sz w:val="20"/>
          <w:szCs w:val="20"/>
          <w:color w:val="auto"/>
        </w:rPr>
      </w:pPr>
      <w:r>
        <w:rPr>
          <w:rFonts w:ascii="Times New Roman" w:cs="Times New Roman" w:eastAsia="Times New Roman" w:hAnsi="Times New Roman"/>
          <w:sz w:val="18"/>
          <w:szCs w:val="18"/>
          <w:color w:val="auto"/>
        </w:rPr>
        <w:t>HONG KONG   LONDON SEATTLE   SHANGHAI</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260" w:firstLine="62"/>
        <w:spacing w:after="0" w:line="282" w:lineRule="auto"/>
        <w:rPr>
          <w:sz w:val="20"/>
          <w:szCs w:val="20"/>
          <w:color w:val="auto"/>
        </w:rPr>
      </w:pPr>
      <w:r>
        <w:rPr>
          <w:rFonts w:ascii="Times New Roman" w:cs="Times New Roman" w:eastAsia="Times New Roman" w:hAnsi="Times New Roman"/>
          <w:sz w:val="18"/>
          <w:szCs w:val="18"/>
          <w:color w:val="auto"/>
        </w:rPr>
        <w:t>LOS ANGELES NEW YORK PALO ALTO WASHINGTON, DC WILMINGTON, DE</w:t>
      </w:r>
    </w:p>
    <w:p>
      <w:pPr>
        <w:sectPr>
          <w:pgSz w:w="11900" w:h="16838" w:orient="portrait"/>
          <w:cols w:equalWidth="0" w:num="3">
            <w:col w:w="4800" w:space="140"/>
            <w:col w:w="2080" w:space="160"/>
            <w:col w:w="3840"/>
          </w:cols>
          <w:pgMar w:left="440" w:top="117" w:right="4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333-XXXXX) pertaining to the 2020 Equity Incentive Plan and 2020 Employee Stock Purchase Plan of PMV Pharmaceuticals, Inc. of our report dated March 1, 2023, with respect to the financial statements of PMV Pharmaceuticals, Inc. included in its Annual Report (Form 10-K) for the year ended December 31, 2022,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24, 2024</w:t>
      </w:r>
    </w:p>
    <w:p>
      <w:pPr>
        <w:sectPr>
          <w:pgSz w:w="11900" w:h="16838" w:orient="portrait"/>
          <w:cols w:equalWidth="0" w:num="1">
            <w:col w:w="11020"/>
          </w:cols>
          <w:pgMar w:left="440"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S-8</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 Newly Registered Securities</w:t>
      </w:r>
    </w:p>
    <w:p>
      <w:pPr>
        <w:spacing w:after="0" w:line="254" w:lineRule="exact"/>
        <w:rPr>
          <w:sz w:val="20"/>
          <w:szCs w:val="20"/>
          <w:color w:val="auto"/>
        </w:rPr>
      </w:pPr>
    </w:p>
    <w:tbl>
      <w:tblPr>
        <w:tblLayout w:type="fixed"/>
        <w:tblInd w:w="1334" w:type="dxa"/>
        <w:tblCellMar>
          <w:top w:w="0" w:type="dxa"/>
          <w:left w:w="0" w:type="dxa"/>
          <w:bottom w:w="0" w:type="dxa"/>
          <w:right w:w="0" w:type="dxa"/>
        </w:tblCellMar>
      </w:tblPr>
      <w:tr>
        <w:trPr>
          <w:trHeight w:val="142"/>
        </w:trPr>
        <w:tc>
          <w:tcPr>
            <w:tcW w:w="920" w:type="dxa"/>
            <w:vAlign w:val="bottom"/>
            <w:tcBorders>
              <w:top w:val="single" w:sz="8" w:color="auto"/>
              <w:left w:val="single" w:sz="8" w:color="auto"/>
              <w:right w:val="single" w:sz="8" w:color="auto"/>
            </w:tcBorders>
          </w:tcPr>
          <w:p>
            <w:pPr>
              <w:spacing w:after="0"/>
              <w:rPr>
                <w:sz w:val="12"/>
                <w:szCs w:val="12"/>
                <w:color w:val="auto"/>
              </w:rPr>
            </w:pPr>
          </w:p>
        </w:tc>
        <w:tc>
          <w:tcPr>
            <w:tcW w:w="20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18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20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1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20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0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9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Amount of</w:t>
            </w: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20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060" w:type="dxa"/>
            <w:vAlign w:val="bottom"/>
            <w:tcBorders>
              <w:right w:val="single" w:sz="8" w:color="auto"/>
            </w:tcBorders>
          </w:tcPr>
          <w:p>
            <w:pPr>
              <w:ind w:left="320"/>
              <w:spacing w:after="0" w:line="135" w:lineRule="exact"/>
              <w:rPr>
                <w:sz w:val="20"/>
                <w:szCs w:val="20"/>
                <w:color w:val="auto"/>
              </w:rPr>
            </w:pPr>
            <w:r>
              <w:rPr>
                <w:rFonts w:ascii="Times New Roman" w:cs="Times New Roman" w:eastAsia="Times New Roman" w:hAnsi="Times New Roman"/>
                <w:sz w:val="13"/>
                <w:szCs w:val="13"/>
                <w:b w:val="1"/>
                <w:bCs w:val="1"/>
                <w:color w:val="auto"/>
              </w:rPr>
              <w:t>Amount</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9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Registration</w:t>
            </w:r>
          </w:p>
        </w:tc>
      </w:tr>
      <w:tr>
        <w:trPr>
          <w:trHeight w:val="167"/>
        </w:trPr>
        <w:tc>
          <w:tcPr>
            <w:tcW w:w="92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Times New Roman" w:cs="Times New Roman" w:eastAsia="Times New Roman" w:hAnsi="Times New Roman"/>
                <w:sz w:val="13"/>
                <w:szCs w:val="13"/>
                <w:b w:val="1"/>
                <w:bCs w:val="1"/>
                <w:color w:val="auto"/>
                <w:w w:val="95"/>
              </w:rPr>
              <w:t>Security Type</w:t>
            </w:r>
          </w:p>
        </w:tc>
        <w:tc>
          <w:tcPr>
            <w:tcW w:w="202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Security Class 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Registered(1)</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Offering Price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Fee Rate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Fee</w:t>
            </w:r>
          </w:p>
        </w:tc>
      </w:tr>
      <w:tr>
        <w:trPr>
          <w:trHeight w:val="206"/>
        </w:trPr>
        <w:tc>
          <w:tcPr>
            <w:tcW w:w="920" w:type="dxa"/>
            <w:vAlign w:val="bottom"/>
            <w:tcBorders>
              <w:left w:val="single" w:sz="8" w:color="auto"/>
              <w:right w:val="single" w:sz="8" w:color="auto"/>
            </w:tcBorders>
          </w:tcPr>
          <w:p>
            <w:pPr>
              <w:jc w:val="center"/>
              <w:ind w:left="59"/>
              <w:spacing w:after="0" w:line="206" w:lineRule="exact"/>
              <w:rPr>
                <w:sz w:val="20"/>
                <w:szCs w:val="20"/>
                <w:color w:val="auto"/>
              </w:rPr>
            </w:pPr>
            <w:r>
              <w:rPr>
                <w:rFonts w:ascii="Times New Roman" w:cs="Times New Roman" w:eastAsia="Times New Roman" w:hAnsi="Times New Roman"/>
                <w:sz w:val="18"/>
                <w:szCs w:val="18"/>
                <w:color w:val="auto"/>
                <w:w w:val="95"/>
              </w:rPr>
              <w:t>Equity</w:t>
            </w:r>
          </w:p>
        </w:tc>
        <w:tc>
          <w:tcPr>
            <w:tcW w:w="2020" w:type="dxa"/>
            <w:vAlign w:val="bottom"/>
            <w:tcBorders>
              <w:right w:val="single" w:sz="8" w:color="auto"/>
            </w:tcBorders>
          </w:tcPr>
          <w:p>
            <w:pPr>
              <w:ind w:left="60"/>
              <w:spacing w:after="0" w:line="206" w:lineRule="exact"/>
              <w:rPr>
                <w:sz w:val="20"/>
                <w:szCs w:val="20"/>
                <w:color w:val="auto"/>
              </w:rPr>
            </w:pPr>
            <w:r>
              <w:rPr>
                <w:rFonts w:ascii="Times New Roman" w:cs="Times New Roman" w:eastAsia="Times New Roman" w:hAnsi="Times New Roman"/>
                <w:sz w:val="18"/>
                <w:szCs w:val="18"/>
                <w:color w:val="auto"/>
              </w:rPr>
              <w:t>Common Stock, $0.00001</w:t>
            </w:r>
          </w:p>
        </w:tc>
        <w:tc>
          <w:tcPr>
            <w:tcW w:w="74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7"/>
              </w:rPr>
              <w:t>457(c)</w:t>
            </w:r>
          </w:p>
        </w:tc>
        <w:tc>
          <w:tcPr>
            <w:tcW w:w="106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8"/>
              </w:rPr>
              <w:t>2,572,174(2)</w:t>
            </w:r>
          </w:p>
        </w:tc>
        <w:tc>
          <w:tcPr>
            <w:tcW w:w="72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$1.62(3)</w:t>
            </w:r>
          </w:p>
        </w:tc>
        <w:tc>
          <w:tcPr>
            <w:tcW w:w="118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$4,166,921.88</w:t>
            </w:r>
          </w:p>
        </w:tc>
        <w:tc>
          <w:tcPr>
            <w:tcW w:w="96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$147.60</w:t>
            </w:r>
          </w:p>
        </w:tc>
        <w:tc>
          <w:tcPr>
            <w:tcW w:w="78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$615.04</w:t>
            </w: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 value per share,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1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per</w:t>
            </w:r>
          </w:p>
        </w:tc>
        <w:tc>
          <w:tcPr>
            <w:tcW w:w="780" w:type="dxa"/>
            <w:vAlign w:val="bottom"/>
            <w:tcBorders>
              <w:right w:val="single" w:sz="8" w:color="auto"/>
            </w:tcBorders>
          </w:tcPr>
          <w:p>
            <w:pPr>
              <w:spacing w:after="0"/>
              <w:rPr>
                <w:sz w:val="18"/>
                <w:szCs w:val="18"/>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reserved for issuance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$1,000,000</w:t>
            </w:r>
          </w:p>
        </w:tc>
        <w:tc>
          <w:tcPr>
            <w:tcW w:w="780" w:type="dxa"/>
            <w:vAlign w:val="bottom"/>
            <w:tcBorders>
              <w:right w:val="single" w:sz="8" w:color="auto"/>
            </w:tcBorders>
          </w:tcPr>
          <w:p>
            <w:pPr>
              <w:spacing w:after="0"/>
              <w:rPr>
                <w:sz w:val="18"/>
                <w:szCs w:val="18"/>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pursuant to the 2020</w:t>
            </w:r>
          </w:p>
        </w:tc>
        <w:tc>
          <w:tcPr>
            <w:tcW w:w="7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Equity Incentive Plan</w:t>
            </w:r>
          </w:p>
        </w:tc>
        <w:tc>
          <w:tcPr>
            <w:tcW w:w="74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r>
      <w:tr>
        <w:trPr>
          <w:trHeight w:val="27"/>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05"/>
        </w:trPr>
        <w:tc>
          <w:tcPr>
            <w:tcW w:w="920" w:type="dxa"/>
            <w:vAlign w:val="bottom"/>
            <w:tcBorders>
              <w:left w:val="single" w:sz="8" w:color="auto"/>
              <w:right w:val="single" w:sz="8" w:color="auto"/>
            </w:tcBorders>
          </w:tcPr>
          <w:p>
            <w:pPr>
              <w:jc w:val="center"/>
              <w:ind w:left="59"/>
              <w:spacing w:after="0" w:line="205" w:lineRule="exact"/>
              <w:rPr>
                <w:sz w:val="20"/>
                <w:szCs w:val="20"/>
                <w:color w:val="auto"/>
              </w:rPr>
            </w:pPr>
            <w:r>
              <w:rPr>
                <w:rFonts w:ascii="Times New Roman" w:cs="Times New Roman" w:eastAsia="Times New Roman" w:hAnsi="Times New Roman"/>
                <w:sz w:val="18"/>
                <w:szCs w:val="18"/>
                <w:color w:val="auto"/>
                <w:w w:val="95"/>
              </w:rPr>
              <w:t>Equity</w:t>
            </w:r>
          </w:p>
        </w:tc>
        <w:tc>
          <w:tcPr>
            <w:tcW w:w="2020" w:type="dxa"/>
            <w:vAlign w:val="bottom"/>
            <w:tcBorders>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Common Stock, $0.00001</w:t>
            </w:r>
          </w:p>
        </w:tc>
        <w:tc>
          <w:tcPr>
            <w:tcW w:w="7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457(c)</w:t>
            </w:r>
          </w:p>
        </w:tc>
        <w:tc>
          <w:tcPr>
            <w:tcW w:w="10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514,434(4)</w:t>
            </w:r>
          </w:p>
        </w:tc>
        <w:tc>
          <w:tcPr>
            <w:tcW w:w="7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$1.38(5)</w:t>
            </w:r>
          </w:p>
        </w:tc>
        <w:tc>
          <w:tcPr>
            <w:tcW w:w="11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$709,918.92</w:t>
            </w:r>
          </w:p>
        </w:tc>
        <w:tc>
          <w:tcPr>
            <w:tcW w:w="9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$147.60</w:t>
            </w:r>
          </w:p>
        </w:tc>
        <w:tc>
          <w:tcPr>
            <w:tcW w:w="7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$104.78</w:t>
            </w: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 value per share,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1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per</w:t>
            </w:r>
          </w:p>
        </w:tc>
        <w:tc>
          <w:tcPr>
            <w:tcW w:w="780" w:type="dxa"/>
            <w:vAlign w:val="bottom"/>
            <w:tcBorders>
              <w:right w:val="single" w:sz="8" w:color="auto"/>
            </w:tcBorders>
          </w:tcPr>
          <w:p>
            <w:pPr>
              <w:spacing w:after="0"/>
              <w:rPr>
                <w:sz w:val="18"/>
                <w:szCs w:val="18"/>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reserved for issuance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$1,000,000</w:t>
            </w:r>
          </w:p>
        </w:tc>
        <w:tc>
          <w:tcPr>
            <w:tcW w:w="780" w:type="dxa"/>
            <w:vAlign w:val="bottom"/>
            <w:tcBorders>
              <w:right w:val="single" w:sz="8" w:color="auto"/>
            </w:tcBorders>
          </w:tcPr>
          <w:p>
            <w:pPr>
              <w:spacing w:after="0"/>
              <w:rPr>
                <w:sz w:val="18"/>
                <w:szCs w:val="18"/>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pursuant to the 2020</w:t>
            </w:r>
          </w:p>
        </w:tc>
        <w:tc>
          <w:tcPr>
            <w:tcW w:w="7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Employee Stock Purchase</w:t>
            </w:r>
          </w:p>
        </w:tc>
        <w:tc>
          <w:tcPr>
            <w:tcW w:w="7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r>
      <w:tr>
        <w:trPr>
          <w:trHeight w:val="24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Plan</w:t>
            </w:r>
          </w:p>
        </w:tc>
        <w:tc>
          <w:tcPr>
            <w:tcW w:w="7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r>
      <w:tr>
        <w:trPr>
          <w:trHeight w:val="241"/>
        </w:trPr>
        <w:tc>
          <w:tcPr>
            <w:tcW w:w="92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tcBorders>
            <w:gridSpan w:val="2"/>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06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$4,876,840.80</w:t>
            </w:r>
          </w:p>
        </w:tc>
        <w:tc>
          <w:tcPr>
            <w:tcW w:w="9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$719.82</w:t>
            </w:r>
          </w:p>
        </w:tc>
      </w:tr>
      <w:tr>
        <w:trPr>
          <w:trHeight w:val="237"/>
        </w:trPr>
        <w:tc>
          <w:tcPr>
            <w:tcW w:w="92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tcBorders>
            <w:gridSpan w:val="2"/>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06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920" w:type="dxa"/>
            <w:vAlign w:val="bottom"/>
            <w:tcBorders>
              <w:left w:val="single" w:sz="8" w:color="auto"/>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left="912"/>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$719.82</w:t>
            </w:r>
          </w:p>
        </w:tc>
      </w:tr>
    </w:tbl>
    <w:p>
      <w:pPr>
        <w:spacing w:after="0" w:line="103" w:lineRule="exact"/>
        <w:rPr>
          <w:sz w:val="20"/>
          <w:szCs w:val="20"/>
          <w:color w:val="auto"/>
        </w:rPr>
      </w:pPr>
    </w:p>
    <w:p>
      <w:pPr>
        <w:ind w:left="424" w:right="20" w:hanging="424"/>
        <w:spacing w:after="0" w:line="255"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cover any additional shares of the Registrant’s common stock that become issuable under the 2020 Equity Incentive Plan (the “2020 Plan”) and the 2020 Employee Stock Purchase Plan (the “2020 ESPP”) by reason of any stock dividend, stock split, recapitalization, or other similar transaction effected without receipt of consideration that increases the number of the Registrant’s outstanding shares of common stock.</w:t>
      </w:r>
    </w:p>
    <w:p>
      <w:pPr>
        <w:spacing w:after="0" w:line="2" w:lineRule="exact"/>
        <w:rPr>
          <w:rFonts w:ascii="Times New Roman" w:cs="Times New Roman" w:eastAsia="Times New Roman" w:hAnsi="Times New Roman"/>
          <w:sz w:val="18"/>
          <w:szCs w:val="18"/>
          <w:color w:val="auto"/>
        </w:rPr>
      </w:pPr>
    </w:p>
    <w:p>
      <w:pPr>
        <w:ind w:left="424" w:right="78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annual increase on January 1, 2024 equal to 5% of the total number of shares of the Registrant’s common stock outstanding on December 31 of the preceding year, which annual increase is provided for in the 2020 Plan.</w:t>
      </w:r>
    </w:p>
    <w:p>
      <w:pPr>
        <w:jc w:val="both"/>
        <w:ind w:left="424" w:right="40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457(h) solely for the purpose of calculating the registration fee on the basis of $1.62 per share, which represents the average of the high and low prices of the Registrant’s common stock as reported on the Nasdaq Global Select Market on January 22, 2024.</w:t>
      </w:r>
    </w:p>
    <w:p>
      <w:pPr>
        <w:spacing w:after="0" w:line="1" w:lineRule="exact"/>
        <w:rPr>
          <w:rFonts w:ascii="Times New Roman" w:cs="Times New Roman" w:eastAsia="Times New Roman" w:hAnsi="Times New Roman"/>
          <w:sz w:val="18"/>
          <w:szCs w:val="18"/>
          <w:color w:val="auto"/>
        </w:rPr>
      </w:pPr>
    </w:p>
    <w:p>
      <w:pPr>
        <w:ind w:left="424" w:right="78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annual increase on January 1, 2024 equal to 1% of the total number of shares of the Registrant’s common stock outstanding on December 31 of the preceding year, which annual increase is provided for in the 2020 ESPP.</w:t>
      </w:r>
    </w:p>
    <w:p>
      <w:pPr>
        <w:ind w:left="424" w:right="20" w:hanging="424"/>
        <w:spacing w:after="0" w:line="253"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and 457(h) of the Securities Act solely for the purpose of calculating the registration fee on the basis of 85% of $1.62 per share, which represents the average of the high and low prices of the Registrant’s common stock as reported on the Nasdaq Global Select Market on January 22, 2024. Pursuant to the 2020 ESPP, the purchase price of the shares of common stock reserved for issuance thereunder will be 85% of the lower of the fair market value of the common stock on (i) the first trading day of the offering period or (ii) the exercise date.</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4"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42" Type="http://schemas.openxmlformats.org/officeDocument/2006/relationships/image" Target="media/image16.png"/><Relationship Id="rId43" Type="http://schemas.openxmlformats.org/officeDocument/2006/relationships/image" Target="media/image17.jpeg"/><Relationship Id="rId20" Type="http://schemas.openxmlformats.org/officeDocument/2006/relationships/hyperlink" Target="http://www.sec.gov/Archives/edgar/data/1699382/000119312520256300/d87446ds8.htm" TargetMode="External"/><Relationship Id="rId21" Type="http://schemas.openxmlformats.org/officeDocument/2006/relationships/hyperlink" Target="http://www.sec.gov/Archives/edgar/data/1699382/000119312521168601/d156441ds8.htm" TargetMode="External"/><Relationship Id="rId22" Type="http://schemas.openxmlformats.org/officeDocument/2006/relationships/hyperlink" Target="http://www.sec.gov/Archives/edgar/data/1699382/000119312522016010/d301122ds8.htm" TargetMode="External"/><Relationship Id="rId23" Type="http://schemas.openxmlformats.org/officeDocument/2006/relationships/hyperlink" Target="http://www.sec.gov/Archives/edgar/data/0001699382/000095017023005345/pmvp-20221231.htm" TargetMode="External"/><Relationship Id="rId24" Type="http://schemas.openxmlformats.org/officeDocument/2006/relationships/hyperlink" Target="http://www.sec.gov/Archives/edgar/data/1699382/000114036123021220/ny20006675x1_def14a.htm" TargetMode="External"/><Relationship Id="rId25" Type="http://schemas.openxmlformats.org/officeDocument/2006/relationships/hyperlink" Target="http://www.sec.gov/ix?doc=/Archives/edgar/data/0001699382/000095017023020100/pmvp-20230331.htm" TargetMode="External"/><Relationship Id="rId26" Type="http://schemas.openxmlformats.org/officeDocument/2006/relationships/hyperlink" Target="http://www.sec.gov/Archives/edgar/data/0001699382/000095017023040153/pmvp-20230630.htm" TargetMode="External"/><Relationship Id="rId27" Type="http://schemas.openxmlformats.org/officeDocument/2006/relationships/hyperlink" Target="http://www.sec.gov/Archives/edgar/data/0001699382/000095017023061551/pmvp-20230930.htm" TargetMode="External"/><Relationship Id="rId28" Type="http://schemas.openxmlformats.org/officeDocument/2006/relationships/hyperlink" Target="http://www.sec.gov/Archives/edgar/data/0001699382/000119312523124381/d452268d8k.htm" TargetMode="External"/><Relationship Id="rId29" Type="http://schemas.openxmlformats.org/officeDocument/2006/relationships/hyperlink" Target="http://www.sec.gov/Archives/edgar/data/0001699382/000119312523164011/d479825d8k.htm" TargetMode="External"/><Relationship Id="rId30" Type="http://schemas.openxmlformats.org/officeDocument/2006/relationships/hyperlink" Target="http://www.sec.gov/Archives/edgar/data/0001699382/000119312523255083/d534012d8k.htm" TargetMode="External"/><Relationship Id="rId31" Type="http://schemas.openxmlformats.org/officeDocument/2006/relationships/hyperlink" Target="http://www.sec.gov/Archives/edgar/data/0001699382/000119312524003348/d104934d8k.htm" TargetMode="External"/><Relationship Id="rId32" Type="http://schemas.openxmlformats.org/officeDocument/2006/relationships/hyperlink" Target="http://www.sec.gov/Archives/edgar/data/0001699382/000119312524010177/d695291d8k.htm" TargetMode="External"/><Relationship Id="rId33" Type="http://schemas.openxmlformats.org/officeDocument/2006/relationships/hyperlink" Target="http://www.sec.gov/Archives/edgar/data/1699382/000156459021010578/pmvp-ex41_260.htm" TargetMode="External"/><Relationship Id="rId35" Type="http://schemas.openxmlformats.org/officeDocument/2006/relationships/hyperlink" Target="http://www.sec.gov/Archives/edgar/data/1699382/000119312520257820/d95525dex31.htm" TargetMode="External"/><Relationship Id="rId36" Type="http://schemas.openxmlformats.org/officeDocument/2006/relationships/hyperlink" Target="http://www.sec.gov/Archives/edgar/data/1699382/000095017023020100/pmvp-ex3_3.htm" TargetMode="External"/><Relationship Id="rId37" Type="http://schemas.openxmlformats.org/officeDocument/2006/relationships/hyperlink" Target="http://www.sec.gov/Archives/edgar/data/1699382/000119312520249570/d922470dex42.htm" TargetMode="External"/><Relationship Id="rId38" Type="http://schemas.openxmlformats.org/officeDocument/2006/relationships/hyperlink" Target="http://www.sec.gov/Archives/edgar/data/1699382/000119312520249570/d922470dex103.htm" TargetMode="External"/><Relationship Id="rId39" Type="http://schemas.openxmlformats.org/officeDocument/2006/relationships/hyperlink" Target="http://www.sec.gov/Archives/edgar/data/1699382/000119312520249570/d922470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2024-01-24T08:04:42Z</dcterms:created>
  <dcterms:modified xsi:type="dcterms:W3CDTF">2024-01-24T08:04:42Z</dcterms:modified>
</cp:coreProperties>
</file>