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60" w:right="1580" w:hanging="3639"/>
        <w:spacing w:after="0" w:line="329"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2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4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4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960" w:type="dxa"/>
            <w:vAlign w:val="bottom"/>
          </w:tcPr>
          <w:p>
            <w:pPr>
              <w:spacing w:after="0"/>
              <w:rPr>
                <w:sz w:val="24"/>
                <w:szCs w:val="24"/>
                <w:color w:val="auto"/>
              </w:rPr>
            </w:pPr>
          </w:p>
        </w:tc>
      </w:tr>
      <w:tr>
        <w:trPr>
          <w:trHeight w:val="214"/>
        </w:trPr>
        <w:tc>
          <w:tcPr>
            <w:tcW w:w="46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0"/>
        </w:trPr>
        <w:tc>
          <w:tcPr>
            <w:tcW w:w="466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2"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8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November 12, 2025, the registrant had 53,211,507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040" w:type="dxa"/>
            <w:vAlign w:val="bottom"/>
            <w:gridSpan w:val="11"/>
            <w:vMerge w:val="restart"/>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280" w:type="dxa"/>
            <w:vAlign w:val="bottom"/>
            <w:tcBorders>
              <w:bottom w:val="single" w:sz="8" w:color="0000FF"/>
            </w:tcBorders>
            <w:gridSpan w:val="8"/>
            <w:vMerge w:val="continue"/>
          </w:tcPr>
          <w:p>
            <w:pPr>
              <w:spacing w:after="0"/>
              <w:rPr>
                <w:sz w:val="14"/>
                <w:szCs w:val="14"/>
                <w:color w:val="auto"/>
              </w:rPr>
            </w:pPr>
          </w:p>
        </w:tc>
        <w:tc>
          <w:tcPr>
            <w:tcW w:w="704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28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0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5"/>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17"/>
                <w:szCs w:val="17"/>
                <w:color w:val="auto"/>
              </w:rPr>
            </w:pPr>
          </w:p>
        </w:tc>
        <w:tc>
          <w:tcPr>
            <w:tcW w:w="74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70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w:t>
      </w:r>
    </w:p>
    <w:p>
      <w:pPr>
        <w:spacing w:after="0" w:line="79"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5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any proceeds from the ATM Program (as defined below);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rezatapopt, our lead product candidate, for a tumor-agnostic indication;</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2024, filed with the United States Securities and Exchange Commission, or the SEC, on March 3, 2025, our Quarterly Report on Form 10-Q for the quarter ended March 31, 2025, filed with the SEC on May 9, 2025, our Quarterly Report on Form 10-Q for the quarter ended June 30, 2025, filed with the SEC on August 7, 2025,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133,844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3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at September 30, 2025 and</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 No shares issued or outstanding at September 30, 2025 and December 31, 2024.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52,993,238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51,935,134 shares issued and outstanding at September 30, 2025 and December 31, 2024,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549,325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(428,417)</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(368,712)</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120,999</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133,844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-3539490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-2700020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-2682240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-1559560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0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60,280</w:t>
            </w:r>
          </w:p>
        </w:tc>
        <w:tc>
          <w:tcPr>
            <w:tcW w:w="100" w:type="dxa"/>
            <w:vAlign w:val="bottom"/>
          </w:tcPr>
          <w:p>
            <w:pPr>
              <w:spacing w:after="0"/>
              <w:rPr>
                <w:sz w:val="18"/>
                <w:szCs w:val="18"/>
                <w:color w:val="auto"/>
              </w:rPr>
            </w:pPr>
          </w:p>
        </w:tc>
      </w:tr>
      <w:tr>
        <w:trPr>
          <w:trHeight w:val="210"/>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(22,522)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(21,888)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(66,964)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(60,280)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r>
      <w:tr>
        <w:trPr>
          <w:trHeight w:val="209"/>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(19,152)</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(51,809)</w:t>
            </w:r>
          </w:p>
        </w:tc>
      </w:tr>
      <w:tr>
        <w:trPr>
          <w:trHeight w:val="216"/>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(16,100)</w:t>
            </w:r>
          </w:p>
        </w:tc>
      </w:tr>
      <w:tr>
        <w:trPr>
          <w:trHeight w:val="20"/>
        </w:trPr>
        <w:tc>
          <w:tcPr>
            <w:tcW w:w="5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(19,226)</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(35,709)</w:t>
            </w: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 for sale investments, net of tax</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(20,989)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(59,753)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(35,523)</w:t>
            </w: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140" w:type="dxa"/>
            <w:vAlign w:val="bottom"/>
            <w:tcBorders>
              <w:bottom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52,993,238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51,574,027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52,322,523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51,499,818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-2331085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-2331085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-2331085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-1482725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-1482725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-1482725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-1482725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-1199515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-1199515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-1199515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-633730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-633730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-633730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108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6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535,468</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(310,003)</w:t>
            </w: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(15,270)</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(15,270)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90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538,078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(325,273)</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ESPP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76,263</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(1,213)</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51,522,125</w:t>
            </w:r>
          </w:p>
        </w:tc>
        <w:tc>
          <w:tcPr>
            <w:tcW w:w="90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540,987</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(185)</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(326,486)</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 of vested restricted stock units issued under the 2020 EIP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227,379</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(19,226)</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(19,226)</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51,749,504</w:t>
            </w:r>
          </w:p>
        </w:tc>
        <w:tc>
          <w:tcPr>
            <w:tcW w:w="90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543,210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7"/>
                <w:szCs w:val="17"/>
                <w:color w:val="auto"/>
              </w:rPr>
            </w:pP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(345,712)</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-1902460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-1902460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-1902460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-1902460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-1902460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-968375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-968375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-968375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-968375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-968375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-162560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-162560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-162560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108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960" w:type="dxa"/>
            <w:vAlign w:val="bottom"/>
            <w:tcBorders>
              <w:bottom w:val="single" w:sz="8" w:color="auto"/>
            </w:tcBorders>
          </w:tcPr>
          <w:p>
            <w:pPr>
              <w:jc w:val="right"/>
              <w:ind w:right="221"/>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51,935,134</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544,653</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(368,712)</w:t>
            </w: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(17,436)</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(17,436)</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51,954,135</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546,171</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(386,148)</w:t>
            </w: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8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Exercise of stock options, common stock issued under the 2020</w:t>
            </w: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ESPP, and release of vested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1,039,103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(21,210)</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(21,210)</w:t>
            </w: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52,993,238</w:t>
            </w:r>
          </w:p>
        </w:tc>
        <w:tc>
          <w:tcPr>
            <w:tcW w:w="90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547,942</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(407,358)</w:t>
            </w: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(21,059)</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(21,059)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52,993,238</w:t>
            </w:r>
          </w:p>
        </w:tc>
        <w:tc>
          <w:tcPr>
            <w:tcW w:w="90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549,325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7"/>
                <w:szCs w:val="17"/>
                <w:color w:val="auto"/>
              </w:rPr>
            </w:pP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(428,417)</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-1636395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-1619885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-1636395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-1619885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-1636395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-1619885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-1636395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-1619885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-1636395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-1619885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-702310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-685165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-702310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-685165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-702310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-685165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-702310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-685165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-702310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-162560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-162560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-162560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5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(59,705)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(35,709)</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9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(2,258)</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(4,239)</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income</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sales and disposals of fixed assets, net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(2,427)</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(3,180)</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(1,174)</w:t>
            </w:r>
          </w:p>
        </w:tc>
      </w:tr>
      <w:tr>
        <w:trPr>
          <w:trHeight w:val="216"/>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(56,388)</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(34,621)</w:t>
            </w: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(67,162)</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(110,773)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118,873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156,951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51,728</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EIP</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(4,539)</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-1997075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-1997075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-1156970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5" w:lineRule="exact"/>
        <w:rPr>
          <w:sz w:val="20"/>
          <w:szCs w:val="20"/>
          <w:color w:val="auto"/>
        </w:rPr>
      </w:pPr>
    </w:p>
    <w:p>
      <w:pPr>
        <w:ind w:left="520" w:right="79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and nine months ended September 30, 2025, the Company incurred a net loss of $21,059 and $59,705, respectively. For the nine months ended September 30, 2025, the Company used $56,388 of cash for operations. At September 30, 2025, the Company had an accumulated deficit of $428,417. Cash, cash equivalents, and marketable securities were $129,250 as of September 30, 2025.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2024, included in the Company’s Annual Report on Form 10-K filed with the United States Securities and Exchange Commission (the “SEC”) on March 3, 2025.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September 30, 2025, the condensed consolidated statements of operations and comprehensive loss, condensed consolidated statements of stockholders’ equity and condensed consolidated statements of cash flows for the three and nine months ended September 30, 2025 and 2024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2025, or for any other subsequent interim period. The condensed consolidated balance sheet as of December 31, 2024, has been derived from the Company’s audited condensed consolidated financial statements.</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Company’s accounts and the accounts of its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1020" w:right="2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5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nine months ended September 30, 2025 and 2024, the Company recorded $2,258 and $4,239 of accretion,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right="20" w:firstLine="509"/>
        <w:spacing w:after="0" w:line="231"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issued or effective that are expected to have a material impact on the Company’s condensed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amended guidance applies to all entities and broadly aims to enhance the transparency and decision usefulness of income tax disclosures. For public business entities, the amendments in this ASU are effective for fiscal years beginning after December 15, 2024. The requirements of this ASU are disclosure-related, have not yet been adopted and are not expected to have a material impact on the Company’s condensed consolidated financial statements.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amended guidance requires disaggregation of specific expense categories in the notes to the financial statements and a qualitative description of the remaining expense amounts not separately disaggregated. This standard becomes effective for reporting companies with annual reporting periods beginning after December 15, 2026, and requires prospective application with an option to apply it retrospectively. The Company anticipates adopting this standard in its Annual Report on Form 10-K for the year ending December 31, 2027. The Company is currently evaluating the impact that the adoption of this standard will have on its condensed consolidated financial statements.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2025-07 (“ASU 2025-07”),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evaluating the impact that the adoption of this standard will have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money market funds, U.S. government debt securities and corporate debt securities. Cash and cash equivalents includes money market funds, corporate securities, and government securities,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and certificates of deposit which are classified as Level 1. There were no Level 3 assets or liabilities at September 30, 2025.</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and fair values as of September 30,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27,786</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27,798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27,798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65,042</w:t>
            </w:r>
          </w:p>
        </w:tc>
        <w:tc>
          <w:tcPr>
            <w:tcW w:w="12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129,155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101,357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27,798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8"/>
        </w:trPr>
        <w:tc>
          <w:tcPr>
            <w:tcW w:w="114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-908050</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-890905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-908050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-890905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-908050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-890905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-908050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-890905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-908050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-890905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-908050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-890905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0"/>
                <w:szCs w:val="10"/>
                <w:color w:val="auto"/>
              </w:rPr>
            </w:pPr>
          </w:p>
        </w:tc>
        <w:tc>
          <w:tcPr>
            <w:tcW w:w="11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Priced in</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32,941</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32,949</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30,801</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109,341</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109,472</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73,339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36,133</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183,072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183,211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116,277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66,934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-25400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September 30, 2025, the Company had aggregate cash and cash equivalents of $36,337, including cash equivalents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$36,243, consisting of money market funds. As of December 31, 2024, the Company had aggregate cash and cash equivalents of $40,876, including cash equivalents of $40,790, consisting of money market funds and government securities.</w:t>
      </w:r>
    </w:p>
    <w:p>
      <w:pPr>
        <w:spacing w:after="0" w:line="63" w:lineRule="exact"/>
        <w:rPr>
          <w:sz w:val="20"/>
          <w:szCs w:val="20"/>
          <w:color w:val="auto"/>
        </w:rPr>
      </w:pPr>
    </w:p>
    <w:p>
      <w:pPr>
        <w:ind w:right="4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$92,913 as of September 30, 2025, consisted of corporate debt securities of $27,798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$65,114. There were $92,913 current marketable securities and no noncurrent marketable securities as of September 30, 2025. Marketable securities of $142,421 as of December 31, 2024, consisted of corporate debt securities of $32,949 and government debt securities of $109,472. There were $128,578 current marketable securities and $13,843 noncurrent marketable securities as of December 31, 2024.</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aggregated gross unrealized losses of available-for-sale investments were not material, and accordingly, no allowance for credit losses was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2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terminated a lease in October 2024 resulting in an abandonment and write-off of the leasehold improvements of $9,454. Refer to Note 6 for more details on the lease termination. Depreciation expense for the three months ended September 30, 2025 and 2024 was $32 and $371, respectively. Depreciation expense for the nine months ended September 30, 2025 and 2024 was $100 and $1,105,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480" w:type="dxa"/>
            <w:vAlign w:val="bottom"/>
            <w:gridSpan w:val="2"/>
            <w:shd w:val="clear" w:color="auto" w:fill="CFF0FC"/>
          </w:tcPr>
          <w:p>
            <w:pPr>
              <w:jc w:val="right"/>
              <w:ind w:right="17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3,924</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4,221</w:t>
            </w:r>
          </w:p>
        </w:tc>
        <w:tc>
          <w:tcPr>
            <w:tcW w:w="44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6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gridSpan w:val="2"/>
          </w:tcPr>
          <w:p>
            <w:pPr>
              <w:jc w:val="right"/>
              <w:ind w:right="17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8,515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2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-1062355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left="520" w:right="8600" w:hanging="512"/>
        <w:spacing w:after="0" w:line="400" w:lineRule="auto"/>
        <w:tabs>
          <w:tab w:leader="none" w:pos="191"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(the “One Research Way Lease”) at One Research Way in Princeton, New Jersey (the “Premises”). The lease term initially extended through 2032, had a five-year extension option, and replaced the Company’s two prior facilities as the Company’s headquarters in March 2023. The Company estimated that payments under the One Research Way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8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(the “Landlord”), in connection with the termination of the One Research Way Lease (the “Termination Agreement”). The Termination Agreement was contingent on the sale of the Premises by the Landlord to a prospective new buyer, which was met on October 1, 2024, and, as a result, there was no modification in August 2024.</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Termination Agreement, the Company surrendered the Premises in October 2024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in the quarter ended December 31, 2024. Since the termination fee of $1,420 was not already included in the lease payments, the termination fee was recognized as a loss on termination of the lease. Further, the Company abandoned and wrote off all the related leasehold improvements totaling $9,454 held at the Premises. This net activity totaling $6,024 was recorded as a loss within General and Administrative expense in the Statement of Operations for the quarter ended December 31, 2024. As of September 30, 2025 and December 31, 2024, the Company has no commitments or contingencies related to the One Research Way Lease.</w:t>
      </w:r>
    </w:p>
    <w:p>
      <w:pPr>
        <w:spacing w:after="0" w:line="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signed a sublease for 14,201 square feet of office space at 400 Alexander Park Drive, Suite 301, in Princeton, New Jersey, to be used as its new headquarters (“400 Alexander Sublease”). The 400 Alexander Sublease commenced on October 1, 2024 and extends until February 28, 2027. Payments under the 400 Alexander Sublease will total $789 through February 2027.</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Company utilizes the premises as laboratory space for research and development activities. The sublease term extends through 2029 and provides the Company with the option to extend the term for an additional three year period. Payments under this sublease will total $768 through December 2029.</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and nine months ended September 30, 2025 and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96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3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4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9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1,612</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-594995</wp:posOffset>
            </wp:positionV>
            <wp:extent cx="939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-594995</wp:posOffset>
            </wp:positionV>
            <wp:extent cx="939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Amounts reported in the balance sheet for leases where the Company is the lessee as of September 30, 2025, and December 31, 2024, are as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FF0FC"/>
          </w:tcPr>
          <w:p>
            <w:pPr>
              <w:spacing w:after="0"/>
              <w:rPr>
                <w:sz w:val="18"/>
                <w:szCs w:val="18"/>
                <w:color w:val="auto"/>
              </w:rPr>
            </w:pPr>
          </w:p>
        </w:tc>
      </w:tr>
      <w:tr>
        <w:trPr>
          <w:trHeight w:val="209"/>
        </w:trPr>
        <w:tc>
          <w:tcPr>
            <w:tcW w:w="7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8"/>
                <w:szCs w:val="18"/>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r>
      <w:tr>
        <w:trPr>
          <w:trHeight w:val="427"/>
        </w:trPr>
        <w:tc>
          <w:tcPr>
            <w:tcW w:w="932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nine months ended September 30, 2025 and 2024, respectively, are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7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6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-1399540</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-1399540</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September 30, 2025, under operating leases by fiscal year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r>
      <w:tr>
        <w:trPr>
          <w:trHeight w:val="216"/>
        </w:trPr>
        <w:tc>
          <w:tcPr>
            <w:tcW w:w="9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8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10"/>
        </w:trPr>
        <w:tc>
          <w:tcPr>
            <w:tcW w:w="9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top w:val="single" w:sz="8" w:color="CFF0FC"/>
            </w:tcBorders>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Rent expense recorded during the three months ended September 30, 2025 and 2024 was $118 and $367, respectively. Rent expense recorded during the nine months ended September 30, 2025 and 2024 was $353 and $1,076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September 30, 2025 and December 31, 2024, there were 52,993,238 and 51,935,134 shares of common stock issued and outstanding, respectively.</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September 30, 2025, no dividends on common stock had been declared by the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three and nine months ended September 30, 2025, the Company did not sell any shares 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its common stock under the ATM Program. As of September 30, 2025, the Company has approximately $113.8 million remaining in gross proceeds available for future issuances of common stock under the ATM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2025, the compensation committee of the Company’s board of directors, as the 2020 Plan administrator, exercised its discretion under clause (ii) to increase the number of shares of common stock reserved for issuance under the 2020 Plan by 2,596,638 shares, effective as of January 1, 2025. As of September 30, 2025, there were 4,354,125 shares available for issuance under the 2020 Plan.</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compensation committee of the Company’s board of directors. The RSUs have graded vesting on an annual basis for two years of continuous service, as per the 2020 Plan. As of September 30, 2025, such RSUs were fully vested and common stock was issued upon the settlement of the RSUs.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As of September 30, 2025 such RSUs were fully vested and common stock was issued upon settlement of the RSUs.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2025, the Company’s board of directors waived the annual increase to the shares reserved under the 2020 ESPP. As of September 30, 2025, 493,530 shares are issued or outstanding, and there were 1,280,081 shares available for issuance, under the 2020 ESPP.</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nine-month period ended September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92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2.87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3,784,840</w:t>
            </w:r>
          </w:p>
        </w:tc>
        <w:tc>
          <w:tcPr>
            <w:tcW w:w="260" w:type="dxa"/>
            <w:vAlign w:val="bottom"/>
          </w:tcPr>
          <w:p>
            <w:pPr>
              <w:spacing w:after="0"/>
              <w:rPr>
                <w:sz w:val="18"/>
                <w:szCs w:val="18"/>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(205,223)</w:t>
            </w: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(22,199)</w:t>
            </w: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0.53</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2025 (unaudited)</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12,211,331</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2.41</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September 30, 2025</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12,211,331</w:t>
            </w:r>
          </w:p>
        </w:tc>
        <w:tc>
          <w:tcPr>
            <w:tcW w:w="2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2.41</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5,099,320</w:t>
            </w:r>
          </w:p>
        </w:tc>
        <w:tc>
          <w:tcPr>
            <w:tcW w:w="260" w:type="dxa"/>
            <w:vAlign w:val="bottom"/>
          </w:tcPr>
          <w:p>
            <w:pPr>
              <w:spacing w:after="0"/>
              <w:rPr>
                <w:sz w:val="17"/>
                <w:szCs w:val="17"/>
                <w:color w:val="auto"/>
              </w:rPr>
            </w:pPr>
          </w:p>
        </w:tc>
        <w:tc>
          <w:tcPr>
            <w:tcW w:w="920" w:type="dxa"/>
            <w:vAlign w:val="bottom"/>
          </w:tcPr>
          <w:p>
            <w:pPr>
              <w:jc w:val="right"/>
              <w:ind w:right="73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3.71</w:t>
            </w: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6.26</w:t>
            </w:r>
          </w:p>
        </w:tc>
        <w:tc>
          <w:tcPr>
            <w:tcW w:w="5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-488315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-471170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-488315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-471170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2025, the total compensation cost related to nonvested awards not yet recognized was $12,517. The weighted-average period over which the nonvested awards is expected to be recognized was 2.7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40" w:type="dxa"/>
            <w:vAlign w:val="bottom"/>
            <w:gridSpan w:val="2"/>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- 4.48%</w:t>
            </w:r>
          </w:p>
        </w:tc>
        <w:tc>
          <w:tcPr>
            <w:tcW w:w="3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gridSpan w:val="2"/>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gridSpan w:val="4"/>
            <w:shd w:val="clear" w:color="auto" w:fill="CFF0FC"/>
          </w:tcPr>
          <w:p>
            <w:pPr>
              <w:jc w:val="center"/>
              <w:ind w:left="495"/>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EFF"/>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- 80.22%</w:t>
            </w:r>
          </w:p>
        </w:tc>
        <w:tc>
          <w:tcPr>
            <w:tcW w:w="2860" w:type="dxa"/>
            <w:vAlign w:val="bottom"/>
            <w:gridSpan w:val="4"/>
          </w:tcPr>
          <w:p>
            <w:pPr>
              <w:jc w:val="center"/>
              <w:ind w:left="475"/>
              <w:spacing w:after="0"/>
              <w:rPr>
                <w:sz w:val="20"/>
                <w:szCs w:val="20"/>
                <w:color w:val="auto"/>
              </w:rPr>
            </w:pPr>
            <w:r>
              <w:rPr>
                <w:rFonts w:ascii="Times New Roman" w:cs="Times New Roman" w:eastAsia="Times New Roman" w:hAnsi="Times New Roman"/>
                <w:sz w:val="18"/>
                <w:szCs w:val="18"/>
                <w:color w:val="auto"/>
                <w:w w:val="99"/>
              </w:rPr>
              <w:t>85.55% - 127.07%</w:t>
            </w:r>
          </w:p>
        </w:tc>
        <w:tc>
          <w:tcPr>
            <w:tcW w:w="200" w:type="dxa"/>
            <w:vAlign w:val="bottom"/>
          </w:tcPr>
          <w:p>
            <w:pPr>
              <w:spacing w:after="0"/>
              <w:rPr>
                <w:sz w:val="20"/>
                <w:szCs w:val="20"/>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2020 ESPP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5300" w:type="dxa"/>
            <w:vAlign w:val="bottom"/>
            <w:gridSpan w:val="3"/>
          </w:tcPr>
          <w:p>
            <w:pPr>
              <w:jc w:val="right"/>
              <w:ind w:right="125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0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40" w:type="dxa"/>
            <w:vAlign w:val="bottom"/>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60" w:type="dxa"/>
            <w:vAlign w:val="bottom"/>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tcBorders>
              <w:top w:val="single" w:sz="8" w:color="auto"/>
            </w:tcBorders>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98"/>
              </w:rPr>
              <w:t>4.33%</w:t>
            </w:r>
          </w:p>
        </w:tc>
        <w:tc>
          <w:tcPr>
            <w:tcW w:w="380" w:type="dxa"/>
            <w:vAlign w:val="bottom"/>
            <w:shd w:val="clear" w:color="auto" w:fill="CFF0FC"/>
          </w:tcPr>
          <w:p>
            <w:pPr>
              <w:spacing w:after="0"/>
              <w:rPr>
                <w:sz w:val="18"/>
                <w:szCs w:val="18"/>
                <w:color w:val="auto"/>
              </w:rPr>
            </w:pPr>
          </w:p>
        </w:tc>
        <w:tc>
          <w:tcPr>
            <w:tcW w:w="2480" w:type="dxa"/>
            <w:vAlign w:val="bottom"/>
            <w:tcBorders>
              <w:top w:val="single" w:sz="8" w:color="auto"/>
            </w:tcBorders>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5.43%</w:t>
            </w:r>
          </w:p>
        </w:tc>
        <w:tc>
          <w:tcPr>
            <w:tcW w:w="200" w:type="dxa"/>
            <w:vAlign w:val="bottom"/>
            <w:shd w:val="clear" w:color="auto" w:fill="CCEC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5"/>
              </w:rPr>
              <w:t>0.50</w:t>
            </w:r>
          </w:p>
        </w:tc>
        <w:tc>
          <w:tcPr>
            <w:tcW w:w="2860" w:type="dxa"/>
            <w:vAlign w:val="bottom"/>
            <w:gridSpan w:val="2"/>
          </w:tcPr>
          <w:p>
            <w:pPr>
              <w:jc w:val="center"/>
              <w:ind w:left="475"/>
              <w:spacing w:after="0"/>
              <w:rPr>
                <w:sz w:val="20"/>
                <w:szCs w:val="20"/>
                <w:color w:val="auto"/>
              </w:rPr>
            </w:pPr>
            <w:r>
              <w:rPr>
                <w:rFonts w:ascii="Times New Roman" w:cs="Times New Roman" w:eastAsia="Times New Roman" w:hAnsi="Times New Roman"/>
                <w:sz w:val="18"/>
                <w:szCs w:val="18"/>
                <w:color w:val="auto"/>
                <w:w w:val="95"/>
              </w:rPr>
              <w:t>0.50</w:t>
            </w:r>
          </w:p>
        </w:tc>
        <w:tc>
          <w:tcPr>
            <w:tcW w:w="2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99"/>
              </w:rPr>
              <w:t>0%</w:t>
            </w:r>
          </w:p>
        </w:tc>
        <w:tc>
          <w:tcPr>
            <w:tcW w:w="2860" w:type="dxa"/>
            <w:vAlign w:val="bottom"/>
            <w:gridSpan w:val="2"/>
            <w:shd w:val="clear" w:color="auto" w:fill="CFF0FC"/>
          </w:tcPr>
          <w:p>
            <w:pPr>
              <w:jc w:val="center"/>
              <w:ind w:left="495"/>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CFF"/>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7"/>
              </w:rPr>
              <w:t>78.67%</w:t>
            </w:r>
          </w:p>
        </w:tc>
        <w:tc>
          <w:tcPr>
            <w:tcW w:w="2860" w:type="dxa"/>
            <w:vAlign w:val="bottom"/>
            <w:gridSpan w:val="2"/>
          </w:tcPr>
          <w:p>
            <w:pPr>
              <w:jc w:val="center"/>
              <w:ind w:left="475"/>
              <w:spacing w:after="0"/>
              <w:rPr>
                <w:sz w:val="20"/>
                <w:szCs w:val="20"/>
                <w:color w:val="auto"/>
              </w:rPr>
            </w:pPr>
            <w:r>
              <w:rPr>
                <w:rFonts w:ascii="Times New Roman" w:cs="Times New Roman" w:eastAsia="Times New Roman" w:hAnsi="Times New Roman"/>
                <w:sz w:val="18"/>
                <w:szCs w:val="18"/>
                <w:color w:val="auto"/>
                <w:w w:val="97"/>
              </w:rPr>
              <w:t>85.55%</w:t>
            </w:r>
          </w:p>
        </w:tc>
        <w:tc>
          <w:tcPr>
            <w:tcW w:w="200" w:type="dxa"/>
            <w:vAlign w:val="bottom"/>
          </w:tcPr>
          <w:p>
            <w:pPr>
              <w:spacing w:after="0"/>
              <w:rPr>
                <w:sz w:val="20"/>
                <w:szCs w:val="20"/>
                <w:color w:val="auto"/>
              </w:rPr>
            </w:pPr>
          </w:p>
        </w:tc>
      </w:tr>
    </w:tbl>
    <w:p>
      <w:pPr>
        <w:spacing w:after="0" w:line="20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 Prior to March 2023, the Company used an average historical stock price volatility of comparable public companies within the biotechnology and pharmaceutical industry that were deemed to be representative of future stock price trends as the Company did not have sufficient trading history for its common stock at such times. For grants subsequent to December 2022, the Company uses an average historical stock price volatility of its common stock as it accumulated sufficient historical stock price data.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7060" w:type="dxa"/>
            <w:vAlign w:val="bottom"/>
          </w:tcPr>
          <w:p>
            <w:pPr>
              <w:spacing w:after="0"/>
              <w:rPr>
                <w:sz w:val="15"/>
                <w:szCs w:val="15"/>
                <w:color w:val="auto"/>
              </w:rPr>
            </w:pPr>
          </w:p>
        </w:tc>
        <w:tc>
          <w:tcPr>
            <w:tcW w:w="1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5"/>
                <w:szCs w:val="15"/>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907,665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(907,665)</w:t>
            </w: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September 30, 2025</w:t>
            </w: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there was no unrecognized compensation cost related to RSUs that are expected to vest.</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3400" w:type="dxa"/>
            <w:vAlign w:val="bottom"/>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4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18"/>
                <w:szCs w:val="18"/>
                <w:color w:val="auto"/>
              </w:rPr>
            </w:pPr>
          </w:p>
        </w:tc>
      </w:tr>
      <w:tr>
        <w:trPr>
          <w:trHeight w:val="230"/>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2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340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4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0% and 0.4% for the three months ended September 30, 2025 and 2024, respectively. The income tax provision and effective tax rate are driven primarily by the proceeds from the sale of the Company’s New Jersey tax net operating loss carryforwards and research and development (“R&amp;D”) tax credits received in the three months ended September 30, 2024.</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recorded a full valuation allowance on federal and state net deferred tax assets since management does not forecast the Company to be in a taxable position in the near future.</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 operating loss (“NOL”) carryforwards and R&amp;D tax credits to other New Jersey-based corporate taxpayers. As of September 30, 2025, the Company received $18,372 of cash for the NOL and R&amp;D tax credit sales related to the tax years ended December 31, 2015 to 2023. For the nine months ended September 30, 2025, the Company received a benefit for income taxes of $2,196. The Company did not receive any benefit for income taxes for the three months ended September 30, 2025. The sale of the NOLs and R&amp;D tax credits has been recorded as an income tax benefit within the condensed consolidated statement of operations.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RSUs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6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bottom w:val="single" w:sz="8" w:color="auto"/>
            </w:tcBorders>
          </w:tcPr>
          <w:p>
            <w:pPr>
              <w:jc w:val="right"/>
              <w:ind w:right="9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12,211,331</w:t>
            </w:r>
          </w:p>
        </w:tc>
        <w:tc>
          <w:tcPr>
            <w:tcW w:w="26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8,687,507</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907,666</w:t>
            </w: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26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12,244,337</w:t>
            </w:r>
          </w:p>
        </w:tc>
        <w:tc>
          <w:tcPr>
            <w:tcW w:w="260" w:type="dxa"/>
            <w:vAlign w:val="bottom"/>
          </w:tcPr>
          <w:p>
            <w:pPr>
              <w:spacing w:after="0"/>
              <w:rPr>
                <w:sz w:val="18"/>
                <w:szCs w:val="18"/>
                <w:color w:val="auto"/>
              </w:rPr>
            </w:pP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9,642,415</w:t>
            </w:r>
          </w:p>
        </w:tc>
      </w:tr>
      <w:tr>
        <w:trPr>
          <w:trHeight w:val="20"/>
        </w:trPr>
        <w:tc>
          <w:tcPr>
            <w:tcW w:w="6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September 30, 2025 and 2024 were $50 and $50, respectively. Total consulting fees paid during the nine months ended September 30, 2025 and 2024 were $150 and $137, respectively. There were no amounts owed under the consulting agreements as of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The Company undertook these steps in order to streamline operations, reduce costs and preserve capital as it advances into late-stage development for its lead product candidate, rezatapopt. All of the costs under the restructuring plan were incurred and paid in full during the fiscal year ending December 31, 2024.</w:t>
      </w:r>
    </w:p>
    <w:p>
      <w:pPr>
        <w:spacing w:after="0" w:line="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$597 for the fiscal year ending December 31, 2024, consisting primarily of employee severance and benefit costs associated with the restructuring. The Company has recorded these charges in research and development expenses in the accompanying condensed consolidated statement of operations based on responsibilities of the impacted employees.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31"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18"/>
          <w:szCs w:val="18"/>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chief operating decision maker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82"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CEO regularly reviews the condensed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2"/>
                <w:szCs w:val="12"/>
                <w:color w:val="auto"/>
              </w:rPr>
            </w:pPr>
          </w:p>
        </w:tc>
        <w:tc>
          <w:tcPr>
            <w:tcW w:w="18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w:t>
            </w:r>
          </w:p>
        </w:tc>
        <w:tc>
          <w:tcPr>
            <w:tcW w:w="1560" w:type="dxa"/>
            <w:vAlign w:val="bottom"/>
            <w:gridSpan w:val="2"/>
          </w:tcPr>
          <w:p>
            <w:pPr>
              <w:jc w:val="right"/>
              <w:ind w:right="140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8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186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8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3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54,050</w:t>
            </w:r>
          </w:p>
        </w:tc>
        <w:tc>
          <w:tcPr>
            <w:tcW w:w="18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00" w:type="dxa"/>
            <w:vAlign w:val="bottom"/>
          </w:tcPr>
          <w:p>
            <w:pPr>
              <w:spacing w:after="0"/>
              <w:rPr>
                <w:sz w:val="18"/>
                <w:szCs w:val="18"/>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1560" w:type="dxa"/>
            <w:vAlign w:val="bottom"/>
            <w:gridSpan w:val="2"/>
          </w:tcPr>
          <w:p>
            <w:pPr>
              <w:jc w:val="right"/>
              <w:ind w:right="140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8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External</w:t>
            </w:r>
          </w:p>
        </w:tc>
        <w:tc>
          <w:tcPr>
            <w:tcW w:w="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3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tcPr>
          <w:p>
            <w:pPr>
              <w:spacing w:after="0"/>
              <w:rPr>
                <w:sz w:val="18"/>
                <w:szCs w:val="18"/>
                <w:color w:val="auto"/>
              </w:rPr>
            </w:pPr>
          </w:p>
        </w:tc>
      </w:tr>
      <w:tr>
        <w:trPr>
          <w:trHeight w:val="209"/>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3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gridSpan w:val="2"/>
          </w:tcPr>
          <w:p>
            <w:pPr>
              <w:jc w:val="right"/>
              <w:ind w:right="140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66,964</w:t>
            </w:r>
          </w:p>
        </w:tc>
        <w:tc>
          <w:tcPr>
            <w:tcW w:w="18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60,280</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-1019810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Subsequent Event</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12, 2025, the date these financial statements were issued. The Company determined that there were no subsequent events that required adjustment to or disclosure in the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2024 and 2023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2024 filed with the Securities and Exchange Commission, or the SEC, on March 3, 2025.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2024,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and nine months ended September 30, 2025, the Company incurred net losses of $21.1 million and $59.7 million, respectively. As of September 30, 2025, we had an accumulated deficit of $428.4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our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We expect to complete enrollment in the ovarian cohort for our primary analysis from the Phase 2 portion of the PYNNACLE study by the first quarter of 2026, and plan to submit a New Drug Application (NDA) for platinum-resistant/refractory ovarian cancer to the FDA for rezatapopt in the first quarter of 2027.</w:t>
      </w:r>
    </w:p>
    <w:p>
      <w:pPr>
        <w:spacing w:after="0" w:line="30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88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Meeting.We expect to complete enrollment in the ovarian cohort for our primary analysis from the Phase 2 portion of the PYNNACLE study by the first quarter of 2026, and plan to submit an NDA for platinum-resistant/refractory ovarian cancer to the FDA for rezatapopt in the first quarter of 2027.</w:t>
      </w:r>
    </w:p>
    <w:p>
      <w:pPr>
        <w:spacing w:after="0" w:line="8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17"/>
        </w:trPr>
        <w:tc>
          <w:tcPr>
            <w:tcW w:w="5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3"/>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13"/>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0"/>
        </w:trPr>
        <w:tc>
          <w:tcPr>
            <w:tcW w:w="512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22,522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21,888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(22,522)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(21,888)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r>
      <w:tr>
        <w:trPr>
          <w:trHeight w:val="210"/>
        </w:trPr>
        <w:tc>
          <w:tcPr>
            <w:tcW w:w="5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9"/>
        </w:trPr>
        <w:tc>
          <w:tcPr>
            <w:tcW w:w="5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(1,279)</w:t>
            </w:r>
          </w:p>
        </w:tc>
      </w:tr>
      <w:tr>
        <w:trPr>
          <w:trHeight w:val="210"/>
        </w:trPr>
        <w:tc>
          <w:tcPr>
            <w:tcW w:w="5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512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(21,059)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(19,226)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-1988185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-1988185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-1431290</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-1431290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-307975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19"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17"/>
        </w:trPr>
        <w:tc>
          <w:tcPr>
            <w:tcW w:w="3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1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43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3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1,445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1,743</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3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3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18,210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16,947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1,263</w:t>
            </w:r>
          </w:p>
        </w:tc>
      </w:tr>
      <w:tr>
        <w:trPr>
          <w:trHeight w:val="601"/>
        </w:trPr>
        <w:tc>
          <w:tcPr>
            <w:tcW w:w="374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-916305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-899160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-899160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4" w:name="page25"/>
    <w:bookmarkEnd w:id="24"/>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$18.2 million for the three months ended September 30, 2025, compared to $16.9 million for the three months ended September 30, 2024. The increase of $1.3 million, compared to the three months ended September 30, 2024, was primarily due to the following:</w:t>
      </w:r>
    </w:p>
    <w:p>
      <w:pPr>
        <w:spacing w:after="0" w:line="68" w:lineRule="exact"/>
        <w:rPr>
          <w:sz w:val="20"/>
          <w:szCs w:val="20"/>
          <w:color w:val="auto"/>
        </w:rPr>
      </w:pPr>
    </w:p>
    <w:p>
      <w:pPr>
        <w:ind w:left="900" w:right="28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in development expenses largely driven by increased CRO costs for advancing our lead product candidate, rezatapopt, through the Phase 2 clinical trial; offset by</w:t>
      </w:r>
    </w:p>
    <w:p>
      <w:pPr>
        <w:spacing w:after="0" w:line="26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decrease in research expenses, largely driven by decreased pre-clinical CRO costs; and</w:t>
      </w:r>
    </w:p>
    <w:p>
      <w:pPr>
        <w:spacing w:after="0" w:line="33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decrease in expenses for stock-based compensation.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$4.3 million for the three months ended September 30, 2025, compared to $4.9 million for the three months ended September 30, 2024. The decrease of $0.6 million, compared to the three months ended September 30, 2024, was primarily due to following:</w:t>
      </w:r>
    </w:p>
    <w:p>
      <w:pPr>
        <w:spacing w:after="0" w:line="54" w:lineRule="exact"/>
        <w:rPr>
          <w:sz w:val="20"/>
          <w:szCs w:val="20"/>
          <w:color w:val="auto"/>
        </w:rPr>
      </w:pPr>
    </w:p>
    <w:p>
      <w:pPr>
        <w:ind w:left="900" w:right="46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personnel expenses driven by a decrease in stock-based compensation costs, $0.4 million decrease in facility and equipment expenses;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increase in administrative costs.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$1.5 million for the three months ended September 30, 2025, compared to $2.6 million for the three months ended September 30, 2024. The decrease of $1.1 million was driven by less cash and investments in marketable securities and U.S treasuries during the three months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17"/>
        </w:trPr>
        <w:tc>
          <w:tcPr>
            <w:tcW w:w="4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3"/>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13"/>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54,050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9,290</w:t>
            </w: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12,914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15,520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r>
      <w:tr>
        <w:trPr>
          <w:trHeight w:val="210"/>
        </w:trPr>
        <w:tc>
          <w:tcPr>
            <w:tcW w:w="4560" w:type="dxa"/>
            <w:vAlign w:val="bottom"/>
            <w:tcBorders>
              <w:top w:val="single" w:sz="8" w:color="CFF0FC"/>
            </w:tcBorders>
          </w:tcPr>
          <w:p>
            <w:pPr>
              <w:spacing w:after="0"/>
              <w:rPr>
                <w:sz w:val="18"/>
                <w:szCs w:val="18"/>
                <w:color w:val="auto"/>
              </w:rPr>
            </w:pPr>
          </w:p>
        </w:tc>
        <w:tc>
          <w:tcPr>
            <w:tcW w:w="20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66,964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60,280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4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(66,964)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(60,280)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(6,684)</w:t>
            </w:r>
          </w:p>
        </w:tc>
      </w:tr>
      <w:tr>
        <w:trPr>
          <w:trHeight w:val="210"/>
        </w:trPr>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10"/>
        </w:trPr>
        <w:tc>
          <w:tcPr>
            <w:tcW w:w="4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(3,410)</w:t>
            </w:r>
          </w:p>
        </w:tc>
      </w:tr>
      <w:tr>
        <w:trPr>
          <w:trHeight w:val="210"/>
        </w:trPr>
        <w:tc>
          <w:tcPr>
            <w:tcW w:w="45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(10,094)</w:t>
            </w:r>
          </w:p>
        </w:tc>
      </w:tr>
      <w:tr>
        <w:trPr>
          <w:trHeight w:val="216"/>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13,902</w:t>
            </w:r>
          </w:p>
        </w:tc>
      </w:tr>
      <w:tr>
        <w:trPr>
          <w:trHeight w:val="209"/>
        </w:trPr>
        <w:tc>
          <w:tcPr>
            <w:tcW w:w="4560" w:type="dxa"/>
            <w:vAlign w:val="bottom"/>
            <w:tcBorders>
              <w:top w:val="single" w:sz="8" w:color="CFF0FC"/>
            </w:tcBorders>
          </w:tcPr>
          <w:p>
            <w:pPr>
              <w:spacing w:after="0"/>
              <w:rPr>
                <w:sz w:val="18"/>
                <w:szCs w:val="18"/>
                <w:color w:val="auto"/>
              </w:rPr>
            </w:pPr>
          </w:p>
        </w:tc>
        <w:tc>
          <w:tcPr>
            <w:tcW w:w="20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(59,705)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(35,709)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(23,996)</w:t>
            </w:r>
          </w:p>
        </w:tc>
      </w:tr>
      <w:tr>
        <w:trPr>
          <w:trHeight w:val="601"/>
        </w:trPr>
        <w:tc>
          <w:tcPr>
            <w:tcW w:w="4560" w:type="dxa"/>
            <w:vAlign w:val="bottom"/>
            <w:tcBorders>
              <w:top w:val="single" w:sz="8" w:color="CFF0FC"/>
            </w:tcBorders>
          </w:tcPr>
          <w:p>
            <w:pPr>
              <w:spacing w:after="0"/>
              <w:rPr>
                <w:sz w:val="24"/>
                <w:szCs w:val="24"/>
                <w:color w:val="auto"/>
              </w:rPr>
            </w:pPr>
          </w:p>
        </w:tc>
        <w:tc>
          <w:tcPr>
            <w:tcW w:w="208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-2879725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-2879725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-2322195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-2322195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-1199515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-1199515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-899160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-899160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1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17"/>
        </w:trPr>
        <w:tc>
          <w:tcPr>
            <w:tcW w:w="4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5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41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4,016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11,028</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2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10,431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10,563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4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54,050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44,760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9,290</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$54.1 million for the nine months ended September 30, 2025, compared to $44.8 million for the nine months ended September 30, 2024. The increase of $9.3 million, compared to the nine months ended September 30, 2024, was primarily due to the following:</w:t>
      </w:r>
    </w:p>
    <w:p>
      <w:pPr>
        <w:spacing w:after="0" w:line="68" w:lineRule="exact"/>
        <w:rPr>
          <w:sz w:val="20"/>
          <w:szCs w:val="20"/>
          <w:color w:val="auto"/>
        </w:rPr>
      </w:pPr>
    </w:p>
    <w:p>
      <w:pPr>
        <w:ind w:left="900" w:right="1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increase in development expenses, largely driven by increased CRO costs for advancing our lead product candidate, rezatapopt, through the Phase 2 clinical trial;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decrease in expenses for stock-based compensation;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decrease in research and personnel related expenses, largely driven by decreased pre-clinical CRO costs.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$12.9 million for the nine months ended September 30, 2025, compared to $15.5 million for the nine months ended September 30, 2024. The decrease of $2.6 million, compared to the nine months ended September 30, 2024, was primarily due to following:</w:t>
      </w:r>
    </w:p>
    <w:p>
      <w:pPr>
        <w:spacing w:after="0" w:line="32" w:lineRule="exact"/>
        <w:rPr>
          <w:sz w:val="20"/>
          <w:szCs w:val="20"/>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decrease in personnel expenses driven by a decrease in headcount, $1.0 million decrease in facility and equipment expenses;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finance and legal support expenses.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$5.1 million for the nine months ended September 30, 2025, compared to $8.4 million for the nine months ended September 30, 2024. The decrease of $3.3 million compared to the nine months ended September 30, 2024, was driven by decreased interest rates from cash and investments in marketable securities and U.S treasuries during the nine months ended September 30, 2025.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NOL carryforwards and R&amp;D tax credits to other New Jersey-based corporate taxpayers. As of March 31, 2025, we received $18.4 million of cash for the NOL and R&amp;D tax credit sales related to the tax years ended December 31, 2015 to 2023. The sale of the NOLs and R&amp;D tax credits have been recorded as an income tax benefit within the condensed consolidated statement of operations. As of March 31, 2025, we had reached the sale limit established by the program. For the nine months ended September 30, 2025 we received a benefit for income taxes of $2.2 million. We did not receive any benefit for income taxes for the three months ended September 30, 2025.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6" w:name="page27"/>
    <w:bookmarkEnd w:id="26"/>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40,876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128,578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(35,665)</w:t>
            </w: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(13,843)</w:t>
            </w: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129,250</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183,297</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(54,047)</w:t>
            </w:r>
          </w:p>
        </w:tc>
      </w:tr>
      <w:tr>
        <w:trPr>
          <w:trHeight w:val="196"/>
        </w:trPr>
        <w:tc>
          <w:tcPr>
            <w:tcW w:w="6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175,658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(43,209)</w:t>
            </w: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(12,304)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2,066</w:t>
            </w:r>
          </w:p>
        </w:tc>
      </w:tr>
      <w:tr>
        <w:trPr>
          <w:trHeight w:val="20"/>
        </w:trPr>
        <w:tc>
          <w:tcPr>
            <w:tcW w:w="6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working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161,288</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(41,143)</w:t>
            </w: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-744855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-728345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September 30, 2025, we had cash, cash equivalents, and marketable securities of $129.3 million and an accumulated deficit of $428.4 million.</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November 20, 2024 we filed a shelf registration statement on Form S-3 (File No. 333-283349) with the SEC and a prospectus supplement, which registered the offering, issuance and sale of up to $200.0 million of various equity and debt securities and up to $113.8 million of common stock pursuant to an at-the-market equity offering program with Jefferies LLC, dated October 4, 2021, or the ATM Program. The SEC declared the registration statement effective on November 27, 2024. During the three and nine months ended September 30, 2025, we did not sell any shares of our common stock pursuant to the ATM Program. As of September 30, 2025, we had approximately $113.8 million remaining in gross proceeds available for future issuances of common stock under the ATM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August 5, 2024, we entered into a Lease Termination Agreement, or the Termination Agreement, with BMR-One Research Way LLC, or the Landlord, to terminate the One Research Way Lease, effective as of September 30, 2024. Pursuant to the Termination Agreement, we surrendered our then-current headquarters at One Research Way and paid a total termination fee of approximately $1.42 million to the Landlord in October 2024. No further amounts or payments related to the One Research Way Lease are owed. The foregoing descriptions of the Termination Agreement is not complete and is qualified in its entirety by reference to the full text of the Termination Agreement, a copy of which was filed as Exhibit 10.1 to our Form 8-K filed with the SEC on August 8, 2024.</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or the 400 Alexander Sublease, and the other for 3,025 square feet of office and laboratory space at 311 Pennington Rocky Hill in Hopewell, New Jersey, to be used for our new laboratory space, or the 311 Pennington Sublease. The 400 Alexander Sublease term extends until February 28, 2027, and the 311 Pennington Sublease term extends until December 2029 and has a three-year extension option. Amounts related to future lease payments for 311 Pennington Sublease as of September 30, 2025, totaled $0.6 million with $0.1 million to be paid within the next 12 months. Amounts related to future lease payments for 400 Alexander Sublease as of September 30, 2025 totaled $0.5 million with $0.3 million to be paid within the next 12 months.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$428.4 million through September 30, 2025. We expect to incur substantial additional losses in the future as we expand our research and development activities. For the nine months ended September 30, 2025 and 2024, our cash operating expenditures were $56.4 million and $34.6 million, respectively. Based on our research and development plans, we expect that our cash, cash equivalents and marketable securities as of September 30, 2025 will be sufficient to fund our operations until the end of first quarter of 2027.</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1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17"/>
        </w:trPr>
        <w:tc>
          <w:tcPr>
            <w:tcW w:w="77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55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55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(56,388)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(34,621)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51,728</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45,608</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11,104</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was $56.4 million, which consisted primarily of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$59.7 million partially offset by non-cash charges of $2.4 million. Changes in our net operating assets decreased operating cash by $0.9 million.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charges primarily consisted of stock-based compensation of $4.6 million, accretion of discounts on marketable securities of $2.3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$0.1 million. The change in our net operating assets and liabilities was primarily due to an increase in prepaid expenses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decrease in outstanding payables and accrued expenses.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$34.6 million, which consisted primarily of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 million partially offset by non-cash charges of $4.1 million. Changes in our net operating assets decreased operating cash by $3.0 million.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charges primarily consisted of stock-based compensation of $7.6 million, accretion of discounts on marketable securities of $4.2 million,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$1.1 million, and non-cash lease income of $0.3 million. The change in our net operating assets and liabilities was primarily due to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and a decrease in outstanding payables and accrued expenses.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$51.7 million of cash during the nine months ended September 30, 2025, which consisted primarily of maturities of marketable securities of $118.9 million, partially offset by purchases of marketable securities of $67.2 million.</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$45.6 million of cash during the nine months ended September 30, 2024, which consisted primarily of maturities of marketable securities of $157.0 million, partially offset by purchases of marketable securities of $110.8 million, along with purchases of property and equipment of $0.6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$0.1 million of cash during the nine months ended September 30, 2025. This consisted of $0.1 million of proceeds from the exercise of stock options.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$0.1 million of cash during the nine months ended September 30, 2024. This consisted of $0.1 million of proceeds from the exercise of stock options.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nine-month period ended September 30, 2025, there were no material changes to our critical accounting policies from those described in our audited condensed consolidated financial statements for the year ended December 31, 2024, included in our Annual Report on Form 10-K filed with the SEC on March 3, 2025, except as noted below.</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nine months ended September 30, 2025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$129.3 million as of September 30, 2025. The Company’s cash equivalents consist of interest-bearing U.S. government securities, money market funds, and corporate debt securities. Our exposure due to changes in interest rates is not material due to the nature and amount of our money-market funds and marketable securities.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September 30, 2025.</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1" w:name="page32"/>
    <w:bookmarkEnd w:id="3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Company’s risk factors as set forth in Part I, Item 1A of the Company’s Annual Report on Form 10-K for the fiscal year ended December 31, 2024, as filed with the SEC on March 3, 2025, as supplemented by our Quarterly Reports on Form 10-Q for the quarter ended March 31, 2025, as filed with the SEC on May 9, 2025 and for the quarter ended June 30, 2025, as filed with the SEC on August 7, 2025, which are hereby incorporated by reference. You should carefully review and consider the information regarding such risk factors and the risks and uncertainties described elsewhere in this report which could materially affect our business, financial condition or future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518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5180" w:type="dxa"/>
            <w:vAlign w:val="bottom"/>
            <w:gridSpan w:val="6"/>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7"/>
              </w:rPr>
              <w:t>3.1</w:t>
            </w:r>
          </w:p>
        </w:tc>
        <w:tc>
          <w:tcPr>
            <w:tcW w:w="5600" w:type="dxa"/>
            <w:vAlign w:val="bottom"/>
            <w:gridSpan w:val="7"/>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Amended and Restated Certificate of Incorporation of the Registrant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September 29, 2020</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7"/>
              </w:rPr>
              <w:t>3.2</w:t>
            </w:r>
          </w:p>
        </w:tc>
        <w:tc>
          <w:tcPr>
            <w:tcW w:w="5600" w:type="dxa"/>
            <w:vAlign w:val="bottom"/>
            <w:gridSpan w:val="7"/>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Amended and Restated Bylaws of the Registrant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May 10, 2023</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31.1+</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31.2+</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32.1+†</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32.2+†</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101.INS</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9"/>
              </w:rPr>
              <w:t>101.SCH</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right="5060" w:hanging="708"/>
        <w:spacing w:after="0" w:line="282" w:lineRule="auto"/>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134"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2" w:right="5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David H. Mack, Ph.D.</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60" w:type="dxa"/>
            <w:vAlign w:val="bottom"/>
          </w:tcPr>
          <w:p>
            <w:pPr>
              <w:spacing w:after="0"/>
              <w:rPr>
                <w:sz w:val="24"/>
                <w:szCs w:val="24"/>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Carulli</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668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6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President, Chief Executive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1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4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2025,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2025,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80" Type="http://schemas.openxmlformats.org/officeDocument/2006/relationships/hyperlink" Target="https://www.sec.gov/Archives/edgar/data/1699382/000119312520257820/d95525dex31.htm" TargetMode="External"/><Relationship Id="rId281" Type="http://schemas.openxmlformats.org/officeDocument/2006/relationships/hyperlink" Target="https://www.sec.gov/Archives/edgar/data/1699382/000095017023020100/pmvp-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2025-11-12T07:15:43Z</dcterms:created>
  <dcterms:modified xsi:type="dcterms:W3CDTF">2025-11-12T07:15:43Z</dcterms:modified>
</cp:coreProperties>
</file>