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90170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109855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8" w:lineRule="exact"/>
        <w:rPr>
          <w:sz w:val="24"/>
          <w:szCs w:val="24"/>
          <w:color w:val="auto"/>
        </w:rPr>
      </w:pPr>
    </w:p>
    <w:p>
      <w:pPr>
        <w:ind w:left="3860" w:right="2540" w:hanging="3852"/>
        <w:spacing w:after="0" w:line="423" w:lineRule="auto"/>
        <w:tabs>
          <w:tab w:leader="none" w:pos="476"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September 30, 2021</w:t>
      </w:r>
    </w:p>
    <w:p>
      <w:pPr>
        <w:spacing w:after="0" w:line="27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27" w:lineRule="exact"/>
        <w:rPr>
          <w:sz w:val="24"/>
          <w:szCs w:val="24"/>
          <w:color w:val="auto"/>
        </w:rPr>
      </w:pPr>
    </w:p>
    <w:p>
      <w:pPr>
        <w:ind w:left="384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001-39539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106045</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PMV PHARMACEUTICALS,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99060</wp:posOffset>
            </wp:positionV>
            <wp:extent cx="10972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57" w:lineRule="exact"/>
        <w:rPr>
          <w:sz w:val="24"/>
          <w:szCs w:val="24"/>
          <w:color w:val="auto"/>
        </w:rPr>
      </w:pPr>
    </w:p>
    <w:tbl>
      <w:tblPr>
        <w:tblLayout w:type="fixed"/>
        <w:tblInd w:w="1780" w:type="dxa"/>
        <w:tblCellMar>
          <w:top w:w="0" w:type="dxa"/>
          <w:left w:w="0" w:type="dxa"/>
          <w:bottom w:w="0" w:type="dxa"/>
          <w:right w:w="0" w:type="dxa"/>
        </w:tblCellMar>
      </w:tblPr>
      <w:tr>
        <w:trPr>
          <w:trHeight w:val="198"/>
        </w:trPr>
        <w:tc>
          <w:tcPr>
            <w:tcW w:w="4120" w:type="dxa"/>
            <w:vAlign w:val="bottom"/>
          </w:tcPr>
          <w:p>
            <w:pPr>
              <w:jc w:val="center"/>
              <w:ind w:right="1988"/>
              <w:spacing w:after="0"/>
              <w:rPr>
                <w:sz w:val="20"/>
                <w:szCs w:val="20"/>
                <w:color w:val="auto"/>
              </w:rPr>
            </w:pPr>
            <w:r>
              <w:rPr>
                <w:rFonts w:ascii="Arial" w:cs="Arial" w:eastAsia="Arial" w:hAnsi="Arial"/>
                <w:sz w:val="16"/>
                <w:szCs w:val="16"/>
                <w:b w:val="1"/>
                <w:bCs w:val="1"/>
                <w:color w:val="auto"/>
                <w:w w:val="93"/>
              </w:rPr>
              <w:t>Delaware</w:t>
            </w:r>
          </w:p>
        </w:tc>
        <w:tc>
          <w:tcPr>
            <w:tcW w:w="3020" w:type="dxa"/>
            <w:vAlign w:val="bottom"/>
          </w:tcPr>
          <w:p>
            <w:pPr>
              <w:jc w:val="right"/>
              <w:ind w:right="30"/>
              <w:spacing w:after="0"/>
              <w:rPr>
                <w:sz w:val="20"/>
                <w:szCs w:val="20"/>
                <w:color w:val="auto"/>
              </w:rPr>
            </w:pPr>
            <w:r>
              <w:rPr>
                <w:rFonts w:ascii="Arial" w:cs="Arial" w:eastAsia="Arial" w:hAnsi="Arial"/>
                <w:sz w:val="16"/>
                <w:szCs w:val="16"/>
                <w:b w:val="1"/>
                <w:bCs w:val="1"/>
                <w:color w:val="auto"/>
              </w:rPr>
              <w:t>46-3218129</w:t>
            </w:r>
          </w:p>
        </w:tc>
      </w:tr>
      <w:tr>
        <w:trPr>
          <w:trHeight w:val="135"/>
        </w:trPr>
        <w:tc>
          <w:tcPr>
            <w:tcW w:w="4120" w:type="dxa"/>
            <w:vAlign w:val="bottom"/>
          </w:tcPr>
          <w:p>
            <w:pPr>
              <w:jc w:val="center"/>
              <w:ind w:right="1988"/>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020" w:type="dxa"/>
            <w:vAlign w:val="bottom"/>
          </w:tcPr>
          <w:p>
            <w:pPr>
              <w:jc w:val="center"/>
              <w:ind w:left="1970"/>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120" w:type="dxa"/>
            <w:vAlign w:val="bottom"/>
          </w:tcPr>
          <w:p>
            <w:pPr>
              <w:jc w:val="center"/>
              <w:ind w:right="1968"/>
              <w:spacing w:after="0"/>
              <w:rPr>
                <w:sz w:val="20"/>
                <w:szCs w:val="20"/>
                <w:color w:val="auto"/>
              </w:rPr>
            </w:pPr>
            <w:r>
              <w:rPr>
                <w:rFonts w:ascii="Arial" w:cs="Arial" w:eastAsia="Arial" w:hAnsi="Arial"/>
                <w:sz w:val="13"/>
                <w:szCs w:val="13"/>
                <w:b w:val="1"/>
                <w:bCs w:val="1"/>
                <w:color w:val="auto"/>
                <w:w w:val="88"/>
              </w:rPr>
              <w:t>incorporation or organization)</w:t>
            </w:r>
          </w:p>
        </w:tc>
        <w:tc>
          <w:tcPr>
            <w:tcW w:w="3020" w:type="dxa"/>
            <w:vAlign w:val="bottom"/>
          </w:tcPr>
          <w:p>
            <w:pPr>
              <w:jc w:val="center"/>
              <w:ind w:left="1970"/>
              <w:spacing w:after="0"/>
              <w:rPr>
                <w:sz w:val="20"/>
                <w:szCs w:val="20"/>
                <w:color w:val="auto"/>
              </w:rPr>
            </w:pPr>
            <w:r>
              <w:rPr>
                <w:rFonts w:ascii="Arial" w:cs="Arial" w:eastAsia="Arial" w:hAnsi="Arial"/>
                <w:sz w:val="13"/>
                <w:szCs w:val="13"/>
                <w:b w:val="1"/>
                <w:bCs w:val="1"/>
                <w:color w:val="auto"/>
                <w:w w:val="89"/>
              </w:rPr>
              <w:t>Identification No.)</w:t>
            </w:r>
          </w:p>
        </w:tc>
      </w:tr>
      <w:tr>
        <w:trPr>
          <w:trHeight w:val="286"/>
        </w:trPr>
        <w:tc>
          <w:tcPr>
            <w:tcW w:w="4120" w:type="dxa"/>
            <w:vAlign w:val="bottom"/>
          </w:tcPr>
          <w:p>
            <w:pPr>
              <w:jc w:val="center"/>
              <w:ind w:right="1988"/>
              <w:spacing w:after="0"/>
              <w:rPr>
                <w:sz w:val="20"/>
                <w:szCs w:val="20"/>
                <w:color w:val="auto"/>
              </w:rPr>
            </w:pPr>
            <w:r>
              <w:rPr>
                <w:rFonts w:ascii="Arial" w:cs="Arial" w:eastAsia="Arial" w:hAnsi="Arial"/>
                <w:sz w:val="16"/>
                <w:szCs w:val="16"/>
                <w:b w:val="1"/>
                <w:bCs w:val="1"/>
                <w:color w:val="auto"/>
                <w:w w:val="93"/>
              </w:rPr>
              <w:t>8 Clarke Drive, Suite 3</w:t>
            </w:r>
          </w:p>
        </w:tc>
        <w:tc>
          <w:tcPr>
            <w:tcW w:w="3020" w:type="dxa"/>
            <w:vAlign w:val="bottom"/>
          </w:tcPr>
          <w:p>
            <w:pPr>
              <w:spacing w:after="0"/>
              <w:rPr>
                <w:sz w:val="24"/>
                <w:szCs w:val="24"/>
                <w:color w:val="auto"/>
              </w:rPr>
            </w:pPr>
          </w:p>
        </w:tc>
      </w:tr>
      <w:tr>
        <w:trPr>
          <w:trHeight w:val="198"/>
        </w:trPr>
        <w:tc>
          <w:tcPr>
            <w:tcW w:w="4120" w:type="dxa"/>
            <w:vAlign w:val="bottom"/>
          </w:tcPr>
          <w:p>
            <w:pPr>
              <w:jc w:val="center"/>
              <w:ind w:right="1968"/>
              <w:spacing w:after="0"/>
              <w:rPr>
                <w:sz w:val="20"/>
                <w:szCs w:val="20"/>
                <w:color w:val="auto"/>
              </w:rPr>
            </w:pPr>
            <w:r>
              <w:rPr>
                <w:rFonts w:ascii="Arial" w:cs="Arial" w:eastAsia="Arial" w:hAnsi="Arial"/>
                <w:sz w:val="16"/>
                <w:szCs w:val="16"/>
                <w:b w:val="1"/>
                <w:bCs w:val="1"/>
                <w:color w:val="auto"/>
                <w:w w:val="95"/>
              </w:rPr>
              <w:t>Cranbury, NJ</w:t>
            </w:r>
          </w:p>
        </w:tc>
        <w:tc>
          <w:tcPr>
            <w:tcW w:w="3020" w:type="dxa"/>
            <w:vAlign w:val="bottom"/>
          </w:tcPr>
          <w:p>
            <w:pPr>
              <w:jc w:val="right"/>
              <w:ind w:right="210"/>
              <w:spacing w:after="0"/>
              <w:rPr>
                <w:sz w:val="20"/>
                <w:szCs w:val="20"/>
                <w:color w:val="auto"/>
              </w:rPr>
            </w:pPr>
            <w:r>
              <w:rPr>
                <w:rFonts w:ascii="Arial" w:cs="Arial" w:eastAsia="Arial" w:hAnsi="Arial"/>
                <w:sz w:val="16"/>
                <w:szCs w:val="16"/>
                <w:b w:val="1"/>
                <w:bCs w:val="1"/>
                <w:color w:val="auto"/>
              </w:rPr>
              <w:t>08512</w:t>
            </w:r>
          </w:p>
        </w:tc>
      </w:tr>
      <w:tr>
        <w:trPr>
          <w:trHeight w:val="164"/>
        </w:trPr>
        <w:tc>
          <w:tcPr>
            <w:tcW w:w="4120" w:type="dxa"/>
            <w:vAlign w:val="bottom"/>
          </w:tcPr>
          <w:p>
            <w:pPr>
              <w:jc w:val="center"/>
              <w:ind w:right="1968"/>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20" w:type="dxa"/>
            <w:vAlign w:val="bottom"/>
          </w:tcPr>
          <w:p>
            <w:pPr>
              <w:jc w:val="center"/>
              <w:ind w:left="1970"/>
              <w:spacing w:after="0"/>
              <w:rPr>
                <w:sz w:val="20"/>
                <w:szCs w:val="20"/>
                <w:color w:val="auto"/>
              </w:rPr>
            </w:pPr>
            <w:r>
              <w:rPr>
                <w:rFonts w:ascii="Arial" w:cs="Arial" w:eastAsia="Arial" w:hAnsi="Arial"/>
                <w:sz w:val="13"/>
                <w:szCs w:val="13"/>
                <w:b w:val="1"/>
                <w:bCs w:val="1"/>
                <w:color w:val="auto"/>
                <w:w w:val="90"/>
              </w:rPr>
              <w:t>(Zip Code)</w:t>
            </w:r>
          </w:p>
        </w:tc>
      </w:tr>
    </w:tbl>
    <w:p>
      <w:pPr>
        <w:spacing w:after="0" w:line="9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(609) 642-6670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106045</wp:posOffset>
            </wp:positionV>
            <wp:extent cx="1097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59" w:lineRule="exact"/>
        <w:rPr>
          <w:sz w:val="24"/>
          <w:szCs w:val="24"/>
          <w:color w:val="auto"/>
        </w:rPr>
      </w:pPr>
    </w:p>
    <w:p>
      <w:pPr>
        <w:ind w:left="68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620" w:type="dxa"/>
            <w:vAlign w:val="bottom"/>
            <w:gridSpan w:val="2"/>
            <w:vMerge w:val="continue"/>
          </w:tcPr>
          <w:p>
            <w:pPr>
              <w:spacing w:after="0"/>
              <w:rPr>
                <w:sz w:val="14"/>
                <w:szCs w:val="14"/>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$0.00001</w:t>
            </w:r>
          </w:p>
        </w:tc>
        <w:tc>
          <w:tcPr>
            <w:tcW w:w="12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PMVP</w:t>
            </w:r>
          </w:p>
        </w:tc>
        <w:tc>
          <w:tcPr>
            <w:tcW w:w="1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bl>
    <w:p>
      <w:pPr>
        <w:spacing w:after="0" w:line="84" w:lineRule="exact"/>
        <w:rPr>
          <w:sz w:val="24"/>
          <w:szCs w:val="24"/>
          <w:color w:val="auto"/>
        </w:rPr>
      </w:pPr>
    </w:p>
    <w:p>
      <w:pPr>
        <w:jc w:val="both"/>
        <w:ind w:firstLine="679"/>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jc w:val="both"/>
        <w:ind w:right="20" w:firstLine="679"/>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8" w:lineRule="exact"/>
        <w:rPr>
          <w:sz w:val="24"/>
          <w:szCs w:val="24"/>
          <w:color w:val="auto"/>
        </w:rPr>
      </w:pPr>
    </w:p>
    <w:p>
      <w:pPr>
        <w:ind w:right="180" w:firstLine="67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22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320"/>
              <w:spacing w:after="0"/>
              <w:rPr>
                <w:sz w:val="20"/>
                <w:szCs w:val="20"/>
                <w:color w:val="auto"/>
              </w:rPr>
            </w:pPr>
            <w:r>
              <w:rPr>
                <w:rFonts w:ascii="Arial" w:cs="Arial" w:eastAsia="Arial" w:hAnsi="Arial"/>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280" w:type="dxa"/>
            <w:vAlign w:val="bottom"/>
          </w:tcPr>
          <w:p>
            <w:pPr>
              <w:spacing w:after="0"/>
              <w:rPr>
                <w:sz w:val="20"/>
                <w:szCs w:val="20"/>
                <w:color w:val="auto"/>
              </w:rPr>
            </w:pPr>
            <w:r>
              <w:rPr>
                <w:rFonts w:ascii="Arial" w:cs="Arial" w:eastAsia="Arial" w:hAnsi="Arial"/>
                <w:sz w:val="16"/>
                <w:szCs w:val="16"/>
                <w:color w:val="auto"/>
              </w:rPr>
              <w:t>Non-accelerated filer</w:t>
            </w:r>
          </w:p>
        </w:tc>
        <w:tc>
          <w:tcPr>
            <w:tcW w:w="32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320"/>
              <w:spacing w:after="0"/>
              <w:rPr>
                <w:sz w:val="20"/>
                <w:szCs w:val="20"/>
                <w:color w:val="auto"/>
              </w:rPr>
            </w:pPr>
            <w:r>
              <w:rPr>
                <w:rFonts w:ascii="Arial" w:cs="Arial" w:eastAsia="Arial" w:hAnsi="Arial"/>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28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4780" w:type="dxa"/>
            <w:vAlign w:val="bottom"/>
          </w:tcPr>
          <w:p>
            <w:pPr>
              <w:ind w:left="2320"/>
              <w:spacing w:after="0"/>
              <w:rPr>
                <w:sz w:val="20"/>
                <w:szCs w:val="20"/>
                <w:color w:val="auto"/>
              </w:rPr>
            </w:pPr>
            <w:r>
              <w:rPr>
                <w:rFonts w:ascii="Arial" w:cs="Arial" w:eastAsia="Arial" w:hAnsi="Arial"/>
                <w:sz w:val="16"/>
                <w:szCs w:val="16"/>
                <w:color w:val="auto"/>
              </w:rPr>
              <w:t>Emerging growth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00" w:lineRule="exact"/>
        <w:rPr>
          <w:sz w:val="24"/>
          <w:szCs w:val="24"/>
          <w:color w:val="auto"/>
        </w:rPr>
      </w:pPr>
    </w:p>
    <w:p>
      <w:pPr>
        <w:ind w:right="420" w:firstLine="67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680"/>
        <w:spacing w:after="0" w:line="184" w:lineRule="exact"/>
        <w:tabs>
          <w:tab w:leader="none" w:pos="8220" w:val="left"/>
          <w:tab w:leader="none" w:pos="88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57" w:lineRule="exact"/>
        <w:rPr>
          <w:sz w:val="24"/>
          <w:szCs w:val="24"/>
          <w:color w:val="auto"/>
        </w:rPr>
      </w:pPr>
    </w:p>
    <w:p>
      <w:pPr>
        <w:ind w:right="160" w:firstLine="679"/>
        <w:spacing w:after="0" w:line="214"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7" w:lineRule="exact"/>
        <w:rPr>
          <w:sz w:val="24"/>
          <w:szCs w:val="24"/>
          <w:color w:val="auto"/>
        </w:rPr>
      </w:pPr>
    </w:p>
    <w:p>
      <w:pPr>
        <w:ind w:left="680"/>
        <w:spacing w:after="0"/>
        <w:rPr>
          <w:sz w:val="20"/>
          <w:szCs w:val="20"/>
          <w:color w:val="auto"/>
        </w:rPr>
      </w:pPr>
      <w:r>
        <w:rPr>
          <w:rFonts w:ascii="Arial" w:cs="Arial" w:eastAsia="Arial" w:hAnsi="Arial"/>
          <w:sz w:val="16"/>
          <w:szCs w:val="16"/>
          <w:color w:val="auto"/>
        </w:rPr>
        <w:t>As of November 10, 2021, the registrant had 45,380,354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8"/>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INFORMATION</w:t>
              </w:r>
            </w:hyperlink>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9300" w:type="dxa"/>
            <w:vAlign w:val="bottom"/>
            <w:gridSpan w:val="18"/>
            <w:vMerge w:val="continue"/>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26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Financial Statements (Unaudited)</w:t>
              </w:r>
            </w:hyperlink>
          </w:p>
        </w:tc>
        <w:tc>
          <w:tcPr>
            <w:tcW w:w="604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Balance Sheets (Unaudited)</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4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Statements of Operations and Comprehensive Loss (Unaudited)</w:t>
              </w:r>
            </w:hyperlink>
          </w:p>
        </w:tc>
        <w:tc>
          <w:tcPr>
            <w:tcW w:w="386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Statements of Convertible Preferred Stock and Stockholders’ (Deficit) Equity (Unaudited)</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340" w:type="dxa"/>
            <w:vAlign w:val="bottom"/>
            <w:tcBorders>
              <w:top w:val="single" w:sz="8" w:color="0000EE"/>
            </w:tcBorders>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Statements of Cash Flows (Unaudited)</w:t>
              </w:r>
            </w:hyperlink>
          </w:p>
        </w:tc>
        <w:tc>
          <w:tcPr>
            <w:tcW w:w="19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Unaudited Condensed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Quantitative and Qualitative Disclosures About Market Risk</w:t>
              </w:r>
            </w:hyperlink>
          </w:p>
        </w:tc>
        <w:tc>
          <w:tcPr>
            <w:tcW w:w="49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vMerge w:val="continue"/>
          </w:tcPr>
          <w:p>
            <w:pPr>
              <w:spacing w:after="0"/>
              <w:rPr>
                <w:sz w:val="18"/>
                <w:szCs w:val="18"/>
                <w:color w:val="auto"/>
              </w:rPr>
            </w:pPr>
          </w:p>
        </w:tc>
        <w:tc>
          <w:tcPr>
            <w:tcW w:w="188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26">
              <w:r>
                <w:rPr>
                  <w:rFonts w:ascii="Arial" w:cs="Arial" w:eastAsia="Arial" w:hAnsi="Arial"/>
                  <w:sz w:val="18"/>
                  <w:szCs w:val="18"/>
                  <w:color w:val="0000EE"/>
                  <w:w w:val="95"/>
                </w:rPr>
                <w:t>OTHER INFORMATION</w:t>
              </w:r>
            </w:hyperlink>
          </w:p>
        </w:tc>
        <w:tc>
          <w:tcPr>
            <w:tcW w:w="742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798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5"/>
          </w:tcPr>
          <w:p>
            <w:pPr>
              <w:spacing w:after="0"/>
              <w:rPr>
                <w:sz w:val="18"/>
                <w:szCs w:val="18"/>
                <w:color w:val="auto"/>
              </w:rPr>
            </w:pPr>
          </w:p>
        </w:tc>
        <w:tc>
          <w:tcPr>
            <w:tcW w:w="496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754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800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679"/>
        <w:spacing w:after="0" w:line="253" w:lineRule="auto"/>
        <w:rPr>
          <w:sz w:val="20"/>
          <w:szCs w:val="20"/>
          <w:color w:val="auto"/>
        </w:rPr>
      </w:pPr>
      <w:r>
        <w:rPr>
          <w:rFonts w:ascii="Arial" w:cs="Arial" w:eastAsia="Arial" w:hAnsi="Arial"/>
          <w:sz w:val="18"/>
          <w:szCs w:val="18"/>
          <w:color w:val="auto"/>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on Form10-Q,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Quarterly Report on Form 10-Q include, but are not limited to, statements about:</w:t>
      </w:r>
    </w:p>
    <w:p>
      <w:pPr>
        <w:spacing w:after="0" w:line="88" w:lineRule="exact"/>
        <w:rPr>
          <w:sz w:val="20"/>
          <w:szCs w:val="20"/>
          <w:color w:val="auto"/>
        </w:rPr>
      </w:pPr>
    </w:p>
    <w:p>
      <w:pPr>
        <w:ind w:left="980" w:hanging="297"/>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980" w:right="180" w:hanging="297"/>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existing cash, cash equivalents and short-term marketable securities to fund our future operating expenses and capital expenditure requirements;</w:t>
      </w:r>
    </w:p>
    <w:p>
      <w:pPr>
        <w:spacing w:after="0" w:line="62" w:lineRule="exact"/>
        <w:rPr>
          <w:rFonts w:ascii="Arial" w:cs="Arial" w:eastAsia="Arial" w:hAnsi="Arial"/>
          <w:sz w:val="18"/>
          <w:szCs w:val="18"/>
          <w:color w:val="auto"/>
        </w:rPr>
      </w:pPr>
    </w:p>
    <w:p>
      <w:pPr>
        <w:ind w:left="980" w:hanging="297"/>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need to raise additional funding before we can expect to generate any revenues from product sales;</w:t>
      </w:r>
    </w:p>
    <w:p>
      <w:pPr>
        <w:spacing w:after="0" w:line="117" w:lineRule="exact"/>
        <w:rPr>
          <w:rFonts w:ascii="Arial" w:cs="Arial" w:eastAsia="Arial" w:hAnsi="Arial"/>
          <w:sz w:val="18"/>
          <w:szCs w:val="18"/>
          <w:color w:val="auto"/>
        </w:rPr>
      </w:pPr>
    </w:p>
    <w:p>
      <w:pPr>
        <w:ind w:left="980" w:right="220" w:hanging="297"/>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funding for our operations, when needed, including funding necessary to complete further development and commercialization of our product candidates, if approved;</w:t>
      </w:r>
    </w:p>
    <w:p>
      <w:pPr>
        <w:spacing w:after="0" w:line="62" w:lineRule="exact"/>
        <w:rPr>
          <w:rFonts w:ascii="Arial" w:cs="Arial" w:eastAsia="Arial" w:hAnsi="Arial"/>
          <w:sz w:val="18"/>
          <w:szCs w:val="18"/>
          <w:color w:val="auto"/>
        </w:rPr>
      </w:pPr>
    </w:p>
    <w:p>
      <w:pPr>
        <w:ind w:left="980" w:hanging="297"/>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980" w:hanging="297"/>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product candidates;</w:t>
      </w:r>
    </w:p>
    <w:p>
      <w:pPr>
        <w:spacing w:after="0" w:line="117" w:lineRule="exact"/>
        <w:rPr>
          <w:rFonts w:ascii="Arial" w:cs="Arial" w:eastAsia="Arial" w:hAnsi="Arial"/>
          <w:sz w:val="18"/>
          <w:szCs w:val="18"/>
          <w:color w:val="auto"/>
        </w:rPr>
      </w:pPr>
    </w:p>
    <w:p>
      <w:pPr>
        <w:ind w:left="980" w:hanging="297"/>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and our ability to maximize those opportunities;</w:t>
      </w:r>
    </w:p>
    <w:p>
      <w:pPr>
        <w:spacing w:after="0" w:line="117" w:lineRule="exact"/>
        <w:rPr>
          <w:rFonts w:ascii="Arial" w:cs="Arial" w:eastAsia="Arial" w:hAnsi="Arial"/>
          <w:sz w:val="18"/>
          <w:szCs w:val="18"/>
          <w:color w:val="auto"/>
        </w:rPr>
      </w:pPr>
    </w:p>
    <w:p>
      <w:pPr>
        <w:ind w:left="980" w:right="200" w:hanging="297"/>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research and development programs, preclinical studies, clinical trials and, investigational new drug application (“IND”) and other regulatory submissions;</w:t>
      </w:r>
    </w:p>
    <w:p>
      <w:pPr>
        <w:spacing w:after="0" w:line="62" w:lineRule="exact"/>
        <w:rPr>
          <w:rFonts w:ascii="Arial" w:cs="Arial" w:eastAsia="Arial" w:hAnsi="Arial"/>
          <w:sz w:val="18"/>
          <w:szCs w:val="18"/>
          <w:color w:val="auto"/>
        </w:rPr>
      </w:pPr>
    </w:p>
    <w:p>
      <w:pPr>
        <w:ind w:left="980" w:hanging="297"/>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117" w:lineRule="exact"/>
        <w:rPr>
          <w:rFonts w:ascii="Arial" w:cs="Arial" w:eastAsia="Arial" w:hAnsi="Arial"/>
          <w:sz w:val="18"/>
          <w:szCs w:val="18"/>
          <w:color w:val="auto"/>
        </w:rPr>
      </w:pPr>
    </w:p>
    <w:p>
      <w:pPr>
        <w:ind w:left="980" w:hanging="297"/>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estimates of the number of patients expected to have certain p53 mutants and the number of patients that will enroll in our clinical trials;</w:t>
      </w:r>
    </w:p>
    <w:p>
      <w:pPr>
        <w:spacing w:after="0" w:line="140" w:lineRule="exact"/>
        <w:rPr>
          <w:rFonts w:ascii="Arial" w:cs="Arial" w:eastAsia="Arial" w:hAnsi="Arial"/>
          <w:sz w:val="16"/>
          <w:szCs w:val="16"/>
          <w:color w:val="auto"/>
        </w:rPr>
      </w:pPr>
    </w:p>
    <w:p>
      <w:pPr>
        <w:ind w:left="980" w:hanging="297"/>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safety and efficacy of our product candidates, and other favorable results;</w:t>
      </w:r>
    </w:p>
    <w:p>
      <w:pPr>
        <w:spacing w:after="0" w:line="117" w:lineRule="exact"/>
        <w:rPr>
          <w:rFonts w:ascii="Arial" w:cs="Arial" w:eastAsia="Arial" w:hAnsi="Arial"/>
          <w:sz w:val="18"/>
          <w:szCs w:val="18"/>
          <w:color w:val="auto"/>
        </w:rPr>
      </w:pPr>
    </w:p>
    <w:p>
      <w:pPr>
        <w:ind w:left="980" w:hanging="297"/>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the clinical development of our product candidates, including the disease areas to be evaluated;</w:t>
      </w:r>
    </w:p>
    <w:p>
      <w:pPr>
        <w:spacing w:after="0" w:line="117" w:lineRule="exact"/>
        <w:rPr>
          <w:rFonts w:ascii="Arial" w:cs="Arial" w:eastAsia="Arial" w:hAnsi="Arial"/>
          <w:sz w:val="18"/>
          <w:szCs w:val="18"/>
          <w:color w:val="auto"/>
        </w:rPr>
      </w:pPr>
    </w:p>
    <w:p>
      <w:pPr>
        <w:ind w:left="980" w:hanging="297"/>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progress and focus of our clinical trials, and the reporting of data from those trials;</w:t>
      </w:r>
    </w:p>
    <w:p>
      <w:pPr>
        <w:spacing w:after="0" w:line="117" w:lineRule="exact"/>
        <w:rPr>
          <w:rFonts w:ascii="Arial" w:cs="Arial" w:eastAsia="Arial" w:hAnsi="Arial"/>
          <w:sz w:val="18"/>
          <w:szCs w:val="18"/>
          <w:color w:val="auto"/>
        </w:rPr>
      </w:pPr>
    </w:p>
    <w:p>
      <w:pPr>
        <w:ind w:left="980" w:hanging="297"/>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117" w:lineRule="exact"/>
        <w:rPr>
          <w:rFonts w:ascii="Arial" w:cs="Arial" w:eastAsia="Arial" w:hAnsi="Arial"/>
          <w:sz w:val="18"/>
          <w:szCs w:val="18"/>
          <w:color w:val="auto"/>
        </w:rPr>
      </w:pPr>
    </w:p>
    <w:p>
      <w:pPr>
        <w:ind w:left="980" w:hanging="297"/>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w:t>
      </w:r>
    </w:p>
    <w:p>
      <w:pPr>
        <w:spacing w:after="0" w:line="117" w:lineRule="exact"/>
        <w:rPr>
          <w:rFonts w:ascii="Arial" w:cs="Arial" w:eastAsia="Arial" w:hAnsi="Arial"/>
          <w:sz w:val="18"/>
          <w:szCs w:val="18"/>
          <w:color w:val="auto"/>
        </w:rPr>
      </w:pPr>
    </w:p>
    <w:p>
      <w:pPr>
        <w:ind w:left="980" w:right="200" w:hanging="297"/>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benefits of potential future strategic collaborations with third parties and our ability to attract collaborators with development, regulatory and commercialization expertise;</w:t>
      </w:r>
    </w:p>
    <w:p>
      <w:pPr>
        <w:spacing w:after="0" w:line="62" w:lineRule="exact"/>
        <w:rPr>
          <w:rFonts w:ascii="Arial" w:cs="Arial" w:eastAsia="Arial" w:hAnsi="Arial"/>
          <w:sz w:val="18"/>
          <w:szCs w:val="18"/>
          <w:color w:val="auto"/>
        </w:rPr>
      </w:pPr>
    </w:p>
    <w:p>
      <w:pPr>
        <w:ind w:left="980" w:hanging="297"/>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980" w:right="300" w:hanging="297"/>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including our expectation to seek accelerated reviews or special designations, such as breakthrough therapy and orphan drug designation, for our product candidates;</w:t>
      </w:r>
    </w:p>
    <w:p>
      <w:pPr>
        <w:spacing w:after="0" w:line="62" w:lineRule="exact"/>
        <w:rPr>
          <w:rFonts w:ascii="Arial" w:cs="Arial" w:eastAsia="Arial" w:hAnsi="Arial"/>
          <w:sz w:val="18"/>
          <w:szCs w:val="18"/>
          <w:color w:val="auto"/>
        </w:rPr>
      </w:pPr>
    </w:p>
    <w:p>
      <w:pPr>
        <w:ind w:left="980" w:right="160" w:hanging="297"/>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our product candidates, including for additional indications that we may pursue;</w:t>
      </w:r>
    </w:p>
    <w:p>
      <w:pPr>
        <w:spacing w:after="0" w:line="62" w:lineRule="exact"/>
        <w:rPr>
          <w:rFonts w:ascii="Arial" w:cs="Arial" w:eastAsia="Arial" w:hAnsi="Arial"/>
          <w:sz w:val="18"/>
          <w:szCs w:val="18"/>
          <w:color w:val="auto"/>
        </w:rPr>
      </w:pPr>
    </w:p>
    <w:p>
      <w:pPr>
        <w:ind w:left="980" w:hanging="297"/>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other jurisdictions;</w:t>
      </w:r>
    </w:p>
    <w:p>
      <w:pPr>
        <w:spacing w:after="0" w:line="117" w:lineRule="exact"/>
        <w:rPr>
          <w:rFonts w:ascii="Arial" w:cs="Arial" w:eastAsia="Arial" w:hAnsi="Arial"/>
          <w:sz w:val="18"/>
          <w:szCs w:val="18"/>
          <w:color w:val="auto"/>
        </w:rPr>
      </w:pPr>
    </w:p>
    <w:p>
      <w:pPr>
        <w:ind w:left="980" w:hanging="297"/>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128" w:lineRule="exact"/>
        <w:rPr>
          <w:rFonts w:ascii="Arial" w:cs="Arial" w:eastAsia="Arial" w:hAnsi="Arial"/>
          <w:sz w:val="17"/>
          <w:szCs w:val="17"/>
          <w:color w:val="auto"/>
        </w:rPr>
      </w:pPr>
    </w:p>
    <w:p>
      <w:pPr>
        <w:ind w:left="980" w:hanging="297"/>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 to rely on third parties to conduct and support preclinical and clinical development;</w:t>
      </w:r>
    </w:p>
    <w:p>
      <w:pPr>
        <w:spacing w:after="0" w:line="117" w:lineRule="exact"/>
        <w:rPr>
          <w:rFonts w:ascii="Arial" w:cs="Arial" w:eastAsia="Arial" w:hAnsi="Arial"/>
          <w:sz w:val="18"/>
          <w:szCs w:val="18"/>
          <w:color w:val="auto"/>
        </w:rPr>
      </w:pPr>
    </w:p>
    <w:p>
      <w:pPr>
        <w:ind w:left="980" w:hanging="297"/>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personnel and to identify, hire and then retain additional qualified personnel;</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3" w:name="page4"/>
    <w:bookmarkEnd w:id="3"/>
    <w:p>
      <w:pPr>
        <w:ind w:left="980" w:right="160" w:hanging="297"/>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ongoing COVID-19 pandemic; including the impact from quarantines, shelter-in-place, executive and similar government orders, on the conduct of business operations or the availability or cost of materials; or</w:t>
      </w:r>
    </w:p>
    <w:p>
      <w:pPr>
        <w:spacing w:after="0" w:line="62" w:lineRule="exact"/>
        <w:rPr>
          <w:rFonts w:ascii="Arial" w:cs="Arial" w:eastAsia="Arial" w:hAnsi="Arial"/>
          <w:sz w:val="18"/>
          <w:szCs w:val="18"/>
          <w:color w:val="auto"/>
        </w:rPr>
      </w:pPr>
    </w:p>
    <w:p>
      <w:pPr>
        <w:ind w:left="980" w:right="500" w:hanging="297"/>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Jumpstart Our Business Startups Act of 2012, as amended.</w:t>
      </w:r>
    </w:p>
    <w:p>
      <w:pPr>
        <w:spacing w:after="0" w:line="62" w:lineRule="exact"/>
        <w:rPr>
          <w:sz w:val="20"/>
          <w:szCs w:val="20"/>
          <w:color w:val="auto"/>
        </w:rPr>
      </w:pPr>
    </w:p>
    <w:p>
      <w:pPr>
        <w:ind w:firstLine="679"/>
        <w:spacing w:after="0" w:line="289" w:lineRule="auto"/>
        <w:rPr>
          <w:sz w:val="20"/>
          <w:szCs w:val="20"/>
          <w:color w:val="auto"/>
        </w:rPr>
      </w:pPr>
      <w:r>
        <w:rPr>
          <w:rFonts w:ascii="Arial" w:cs="Arial" w:eastAsia="Arial" w:hAnsi="Arial"/>
          <w:sz w:val="16"/>
          <w:szCs w:val="16"/>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“Item 1A. Risk Factors” and elsewhere in our Annual Report on Form 10-K for the year ended December 31, 2020 as well as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58" w:lineRule="exact"/>
        <w:rPr>
          <w:sz w:val="20"/>
          <w:szCs w:val="20"/>
          <w:color w:val="auto"/>
        </w:rPr>
      </w:pPr>
    </w:p>
    <w:p>
      <w:pPr>
        <w:ind w:right="60" w:firstLine="679"/>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 w:name="page5"/>
    <w:bookmarkEnd w:id="4"/>
    <w:p>
      <w:pPr>
        <w:ind w:left="4040"/>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4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9"/>
              </w:rPr>
              <w:t>2021</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4"/>
                <w:szCs w:val="14"/>
                <w:color w:val="auto"/>
              </w:rPr>
            </w:pPr>
          </w:p>
        </w:tc>
        <w:tc>
          <w:tcPr>
            <w:tcW w:w="134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176,641</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361,422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822</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Marketable securities, current</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131,010</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5,082</w:t>
            </w:r>
          </w:p>
        </w:tc>
        <w:tc>
          <w:tcPr>
            <w:tcW w:w="3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313,555</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364,761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1,394</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 noncurrent</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18,601</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Right-of-use assets, operating leases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10,410</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3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344,178</w:t>
            </w:r>
          </w:p>
        </w:tc>
        <w:tc>
          <w:tcPr>
            <w:tcW w:w="3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365,531</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8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1,278</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6,740</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liability, current</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8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8,563</w:t>
            </w: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liability, noncurrent</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10,667</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19,230</w:t>
            </w:r>
          </w:p>
        </w:tc>
        <w:tc>
          <w:tcPr>
            <w:tcW w:w="3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80" w:type="dxa"/>
            <w:vAlign w:val="bottom"/>
          </w:tcPr>
          <w:p>
            <w:pPr>
              <w:ind w:left="260"/>
              <w:spacing w:after="0"/>
              <w:rPr>
                <w:sz w:val="20"/>
                <w:szCs w:val="20"/>
                <w:color w:val="auto"/>
              </w:rPr>
            </w:pPr>
            <w:r>
              <w:rPr>
                <w:rFonts w:ascii="Arial" w:cs="Arial" w:eastAsia="Arial" w:hAnsi="Arial"/>
                <w:sz w:val="18"/>
                <w:szCs w:val="18"/>
                <w:color w:val="auto"/>
              </w:rPr>
              <w:t>Preferred stock, $0.00001 par value, 5,000,000 shares authorized at September 30, 2021</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60"/>
              <w:spacing w:after="0"/>
              <w:rPr>
                <w:sz w:val="20"/>
                <w:szCs w:val="20"/>
                <w:color w:val="auto"/>
              </w:rPr>
            </w:pPr>
            <w:r>
              <w:rPr>
                <w:rFonts w:ascii="Arial" w:cs="Arial" w:eastAsia="Arial" w:hAnsi="Arial"/>
                <w:sz w:val="18"/>
                <w:szCs w:val="18"/>
                <w:color w:val="auto"/>
                <w:w w:val="99"/>
              </w:rPr>
              <w:t>(unaudited) and December 31, 2020. No shares issued or outstanding at September 30, 2021</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60"/>
              <w:spacing w:after="0"/>
              <w:rPr>
                <w:sz w:val="20"/>
                <w:szCs w:val="20"/>
                <w:color w:val="auto"/>
              </w:rPr>
            </w:pPr>
            <w:r>
              <w:rPr>
                <w:rFonts w:ascii="Arial" w:cs="Arial" w:eastAsia="Arial" w:hAnsi="Arial"/>
                <w:sz w:val="18"/>
                <w:szCs w:val="18"/>
                <w:color w:val="auto"/>
              </w:rPr>
              <w:t>(unaudited) and December 31, 2020.</w:t>
            </w:r>
          </w:p>
        </w:tc>
        <w:tc>
          <w:tcPr>
            <w:tcW w:w="200" w:type="dxa"/>
            <w:vAlign w:val="bottom"/>
          </w:tcPr>
          <w:p>
            <w:pPr>
              <w:spacing w:after="0"/>
              <w:rPr>
                <w:sz w:val="20"/>
                <w:szCs w:val="20"/>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3"/>
              </w:rPr>
              <w:t>Common stock, $0.00001 par value, 1,000,000,000 shares authorized; 45,352,207 and 44,777,818</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shares issued and outstanding at September 30, 2021 (unaudited) and December 31, 2020,</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8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474,301</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469,001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(149,367)</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(109,880)</w:t>
            </w:r>
          </w:p>
        </w:tc>
        <w:tc>
          <w:tcPr>
            <w:tcW w:w="0" w:type="dxa"/>
            <w:vAlign w:val="bottom"/>
          </w:tcPr>
          <w:p>
            <w:pPr>
              <w:spacing w:after="0"/>
              <w:rPr>
                <w:sz w:val="1"/>
                <w:szCs w:val="1"/>
                <w:color w:val="auto"/>
              </w:rPr>
            </w:pPr>
          </w:p>
        </w:tc>
      </w:tr>
      <w:tr>
        <w:trPr>
          <w:trHeight w:val="230"/>
        </w:trPr>
        <w:tc>
          <w:tcPr>
            <w:tcW w:w="7680" w:type="dxa"/>
            <w:vAlign w:val="bottom"/>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324,948</w:t>
            </w:r>
          </w:p>
        </w:tc>
        <w:tc>
          <w:tcPr>
            <w:tcW w:w="3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359,121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344,178</w:t>
            </w:r>
          </w:p>
        </w:tc>
        <w:tc>
          <w:tcPr>
            <w:tcW w:w="3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365,531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3"/>
              </w:rPr>
              <w:t>Three Months Ended September 30,</w:t>
            </w:r>
          </w:p>
        </w:tc>
        <w:tc>
          <w:tcPr>
            <w:tcW w:w="140" w:type="dxa"/>
            <w:vAlign w:val="bottom"/>
          </w:tcPr>
          <w:p>
            <w:pPr>
              <w:spacing w:after="0"/>
              <w:rPr>
                <w:sz w:val="14"/>
                <w:szCs w:val="14"/>
                <w:color w:val="auto"/>
              </w:rPr>
            </w:pPr>
          </w:p>
        </w:tc>
        <w:tc>
          <w:tcPr>
            <w:tcW w:w="250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55"/>
        </w:trPr>
        <w:tc>
          <w:tcPr>
            <w:tcW w:w="584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9,162</w:t>
            </w:r>
          </w:p>
        </w:tc>
        <w:tc>
          <w:tcPr>
            <w:tcW w:w="24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5,992</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24,326</w:t>
            </w:r>
          </w:p>
        </w:tc>
        <w:tc>
          <w:tcPr>
            <w:tcW w:w="16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17,752</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5,935</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2,709</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15,495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6,689</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15,097</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8,701</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39,821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24,441</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(15,097)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(39,821)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(24,441)</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net</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r>
      <w:tr>
        <w:trPr>
          <w:trHeight w:val="223"/>
        </w:trPr>
        <w:tc>
          <w:tcPr>
            <w:tcW w:w="58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 (expense)</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840" w:type="dxa"/>
            <w:vAlign w:val="bottom"/>
          </w:tcPr>
          <w:p>
            <w:pPr>
              <w:ind w:left="260"/>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(14,992)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(8,761)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(39,464)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(23,981)</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(15,011)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(8,764)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(39,487)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(23,986)</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Unrealized gains (loss) on marketable securities, net of tax</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r>
      <w:tr>
        <w:trPr>
          <w:trHeight w:val="263"/>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Comprehensive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(15,004)</w:t>
            </w:r>
          </w:p>
        </w:tc>
        <w:tc>
          <w:tcPr>
            <w:tcW w:w="2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(8,769)</w:t>
            </w:r>
          </w:p>
        </w:tc>
        <w:tc>
          <w:tcPr>
            <w:tcW w:w="24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(39,473)</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(23,983)</w:t>
            </w:r>
          </w:p>
        </w:tc>
        <w:tc>
          <w:tcPr>
            <w:tcW w:w="100" w:type="dxa"/>
            <w:vAlign w:val="bottom"/>
            <w:tcBorders>
              <w:bottom w:val="single" w:sz="8" w:color="CFF0FC"/>
            </w:tcBorders>
          </w:tcPr>
          <w:p>
            <w:pPr>
              <w:spacing w:after="0"/>
              <w:rPr>
                <w:sz w:val="22"/>
                <w:szCs w:val="22"/>
                <w:color w:val="auto"/>
              </w:rPr>
            </w:pPr>
          </w:p>
        </w:tc>
      </w:tr>
      <w:tr>
        <w:trPr>
          <w:trHeight w:val="210"/>
        </w:trPr>
        <w:tc>
          <w:tcPr>
            <w:tcW w:w="5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69"/>
        </w:trPr>
        <w:tc>
          <w:tcPr>
            <w:tcW w:w="5840" w:type="dxa"/>
            <w:vAlign w:val="bottom"/>
          </w:tcPr>
          <w:p>
            <w:pPr>
              <w:ind w:left="260"/>
              <w:spacing w:after="0"/>
              <w:rPr>
                <w:sz w:val="20"/>
                <w:szCs w:val="20"/>
                <w:color w:val="auto"/>
              </w:rPr>
            </w:pPr>
            <w:r>
              <w:rPr>
                <w:rFonts w:ascii="Arial" w:cs="Arial" w:eastAsia="Arial" w:hAnsi="Arial"/>
                <w:sz w:val="18"/>
                <w:szCs w:val="18"/>
                <w:color w:val="auto"/>
              </w:rPr>
              <w:t>Net loss per share -- basic and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(0.33)</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(1.46)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(0.88)</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(5.93)</w:t>
            </w:r>
          </w:p>
        </w:tc>
      </w:tr>
      <w:tr>
        <w:trPr>
          <w:trHeight w:val="210"/>
        </w:trPr>
        <w:tc>
          <w:tcPr>
            <w:tcW w:w="58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Weighted-average common shares outstanding</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45,295,232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6,022,457</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45,052,100</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4,045,527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PMV Pharmaceuticals, Inc.</w:t>
      </w:r>
    </w:p>
    <w:p>
      <w:pPr>
        <w:jc w:val="center"/>
        <w:spacing w:after="0" w:line="226" w:lineRule="auto"/>
        <w:rPr>
          <w:sz w:val="20"/>
          <w:szCs w:val="20"/>
          <w:color w:val="auto"/>
        </w:rPr>
      </w:pPr>
      <w:r>
        <w:rPr>
          <w:rFonts w:ascii="Arial" w:cs="Arial" w:eastAsia="Arial" w:hAnsi="Arial"/>
          <w:sz w:val="14"/>
          <w:szCs w:val="14"/>
          <w:b w:val="1"/>
          <w:bCs w:val="1"/>
          <w:color w:val="auto"/>
        </w:rPr>
        <w:t>Condensed Statements of Convertible Preferred Stock and Stockholders’ (Deficit) Equity</w:t>
      </w:r>
    </w:p>
    <w:p>
      <w:pPr>
        <w:jc w:val="center"/>
        <w:spacing w:after="0" w:line="221" w:lineRule="auto"/>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amounts)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40" w:type="dxa"/>
            <w:vAlign w:val="bottom"/>
            <w:tcBorders>
              <w:right w:val="single" w:sz="8" w:color="auto"/>
            </w:tcBorders>
            <w:gridSpan w:val="5"/>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Convertible</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1"/>
                <w:szCs w:val="11"/>
                <w:color w:val="auto"/>
              </w:rPr>
            </w:pPr>
          </w:p>
        </w:tc>
        <w:tc>
          <w:tcPr>
            <w:tcW w:w="8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3"/>
        </w:trPr>
        <w:tc>
          <w:tcPr>
            <w:tcW w:w="3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40" w:type="dxa"/>
            <w:vAlign w:val="bottom"/>
            <w:tcBorders>
              <w:right w:val="single" w:sz="8" w:color="auto"/>
            </w:tcBorders>
            <w:gridSpan w:val="5"/>
          </w:tcPr>
          <w:p>
            <w:pPr>
              <w:jc w:val="center"/>
              <w:ind w:right="280"/>
              <w:spacing w:after="0"/>
              <w:rPr>
                <w:sz w:val="20"/>
                <w:szCs w:val="20"/>
                <w:color w:val="auto"/>
              </w:rPr>
            </w:pPr>
            <w:r>
              <w:rPr>
                <w:rFonts w:ascii="Arial" w:cs="Arial" w:eastAsia="Arial" w:hAnsi="Arial"/>
                <w:sz w:val="13"/>
                <w:szCs w:val="13"/>
                <w:b w:val="1"/>
                <w:bCs w:val="1"/>
                <w:color w:val="auto"/>
                <w:w w:val="88"/>
              </w:rPr>
              <w:t>Preferred Stock</w:t>
            </w:r>
          </w:p>
        </w:tc>
        <w:tc>
          <w:tcPr>
            <w:tcW w:w="80" w:type="dxa"/>
            <w:vAlign w:val="bottom"/>
          </w:tcPr>
          <w:p>
            <w:pPr>
              <w:spacing w:after="0"/>
              <w:rPr>
                <w:sz w:val="13"/>
                <w:szCs w:val="13"/>
                <w:color w:val="auto"/>
              </w:rPr>
            </w:pPr>
          </w:p>
        </w:tc>
        <w:tc>
          <w:tcPr>
            <w:tcW w:w="1560" w:type="dxa"/>
            <w:vAlign w:val="bottom"/>
            <w:gridSpan w:val="3"/>
          </w:tcPr>
          <w:p>
            <w:pPr>
              <w:jc w:val="right"/>
              <w:ind w:right="233"/>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7"/>
              </w:rPr>
              <w:t>Paid-in</w:t>
            </w:r>
          </w:p>
        </w:tc>
        <w:tc>
          <w:tcPr>
            <w:tcW w:w="980" w:type="dxa"/>
            <w:vAlign w:val="bottom"/>
            <w:gridSpan w:val="3"/>
          </w:tcPr>
          <w:p>
            <w:pPr>
              <w:spacing w:after="0"/>
              <w:rPr>
                <w:sz w:val="20"/>
                <w:szCs w:val="20"/>
                <w:color w:val="auto"/>
              </w:rPr>
            </w:pPr>
            <w:r>
              <w:rPr>
                <w:rFonts w:ascii="Arial" w:cs="Arial" w:eastAsia="Arial" w:hAnsi="Arial"/>
                <w:sz w:val="13"/>
                <w:szCs w:val="13"/>
                <w:b w:val="1"/>
                <w:bCs w:val="1"/>
                <w:color w:val="auto"/>
                <w:w w:val="98"/>
              </w:rPr>
              <w:t>Comprehensive</w:t>
            </w:r>
          </w:p>
        </w:tc>
        <w:tc>
          <w:tcPr>
            <w:tcW w:w="10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820" w:type="dxa"/>
            <w:vAlign w:val="bottom"/>
            <w:gridSpan w:val="3"/>
          </w:tcPr>
          <w:p>
            <w:pPr>
              <w:ind w:left="20"/>
              <w:spacing w:after="0"/>
              <w:rPr>
                <w:sz w:val="20"/>
                <w:szCs w:val="20"/>
                <w:color w:val="auto"/>
              </w:rPr>
            </w:pPr>
            <w:r>
              <w:rPr>
                <w:rFonts w:ascii="Arial" w:cs="Arial" w:eastAsia="Arial" w:hAnsi="Arial"/>
                <w:sz w:val="13"/>
                <w:szCs w:val="13"/>
                <w:b w:val="1"/>
                <w:bCs w:val="1"/>
                <w:color w:val="auto"/>
                <w:w w:val="91"/>
              </w:rPr>
              <w:t>Stockholders'</w:t>
            </w:r>
          </w:p>
        </w:tc>
        <w:tc>
          <w:tcPr>
            <w:tcW w:w="0" w:type="dxa"/>
            <w:vAlign w:val="bottom"/>
          </w:tcPr>
          <w:p>
            <w:pPr>
              <w:spacing w:after="0"/>
              <w:rPr>
                <w:sz w:val="1"/>
                <w:szCs w:val="1"/>
                <w:color w:val="auto"/>
              </w:rPr>
            </w:pPr>
          </w:p>
        </w:tc>
      </w:tr>
      <w:tr>
        <w:trPr>
          <w:trHeight w:val="142"/>
        </w:trPr>
        <w:tc>
          <w:tcPr>
            <w:tcW w:w="3480" w:type="dxa"/>
            <w:vAlign w:val="bottom"/>
            <w:tcBorders>
              <w:bottom w:val="single" w:sz="8" w:color="CFF0FC"/>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3"/>
                <w:szCs w:val="13"/>
                <w:b w:val="1"/>
                <w:bCs w:val="1"/>
                <w:color w:val="auto"/>
              </w:rPr>
              <w:t>Shares</w:t>
            </w:r>
          </w:p>
        </w:tc>
        <w:tc>
          <w:tcPr>
            <w:tcW w:w="220" w:type="dxa"/>
            <w:vAlign w:val="bottom"/>
            <w:tcBorders>
              <w:top w:val="single" w:sz="8" w:color="auto"/>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3"/>
                <w:szCs w:val="13"/>
                <w:b w:val="1"/>
                <w:bCs w:val="1"/>
                <w:color w:val="auto"/>
                <w:w w:val="93"/>
              </w:rPr>
              <w:t>Amount</w:t>
            </w:r>
          </w:p>
        </w:tc>
        <w:tc>
          <w:tcPr>
            <w:tcW w:w="240" w:type="dxa"/>
            <w:vAlign w:val="bottom"/>
            <w:tcBorders>
              <w:bottom w:val="single" w:sz="8" w:color="CFF0FC"/>
              <w:right w:val="single" w:sz="8" w:color="auto"/>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3"/>
                <w:szCs w:val="13"/>
                <w:b w:val="1"/>
                <w:bCs w:val="1"/>
                <w:color w:val="auto"/>
              </w:rPr>
              <w:t>Shares</w:t>
            </w:r>
          </w:p>
        </w:tc>
        <w:tc>
          <w:tcPr>
            <w:tcW w:w="200" w:type="dxa"/>
            <w:vAlign w:val="bottom"/>
            <w:tcBorders>
              <w:top w:val="single" w:sz="8" w:color="auto"/>
              <w:bottom w:val="single" w:sz="8" w:color="CFF0FC"/>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Amount</w:t>
            </w:r>
          </w:p>
        </w:tc>
        <w:tc>
          <w:tcPr>
            <w:tcW w:w="160" w:type="dxa"/>
            <w:vAlign w:val="bottom"/>
            <w:tcBorders>
              <w:top w:val="single" w:sz="8" w:color="auto"/>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2"/>
              </w:rPr>
              <w:t>Capital</w:t>
            </w:r>
          </w:p>
        </w:tc>
        <w:tc>
          <w:tcPr>
            <w:tcW w:w="220" w:type="dxa"/>
            <w:vAlign w:val="bottom"/>
            <w:tcBorders>
              <w:bottom w:val="single" w:sz="8" w:color="CFF0FC"/>
            </w:tcBorders>
          </w:tcPr>
          <w:p>
            <w:pPr>
              <w:spacing w:after="0"/>
              <w:rPr>
                <w:sz w:val="12"/>
                <w:szCs w:val="12"/>
                <w:color w:val="auto"/>
              </w:rPr>
            </w:pPr>
          </w:p>
        </w:tc>
        <w:tc>
          <w:tcPr>
            <w:tcW w:w="8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3"/>
                <w:szCs w:val="13"/>
                <w:b w:val="1"/>
                <w:bCs w:val="1"/>
                <w:color w:val="auto"/>
                <w:w w:val="86"/>
              </w:rPr>
              <w:t>(Loss) Income</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3"/>
                <w:szCs w:val="13"/>
                <w:b w:val="1"/>
                <w:bCs w:val="1"/>
                <w:color w:val="auto"/>
              </w:rPr>
              <w:t>Deficit</w:t>
            </w:r>
          </w:p>
        </w:tc>
        <w:tc>
          <w:tcPr>
            <w:tcW w:w="20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73"/>
              <w:spacing w:after="0" w:line="142" w:lineRule="exact"/>
              <w:rPr>
                <w:sz w:val="20"/>
                <w:szCs w:val="20"/>
                <w:color w:val="auto"/>
              </w:rPr>
            </w:pPr>
            <w:r>
              <w:rPr>
                <w:rFonts w:ascii="Arial" w:cs="Arial" w:eastAsia="Arial" w:hAnsi="Arial"/>
                <w:sz w:val="13"/>
                <w:szCs w:val="13"/>
                <w:b w:val="1"/>
                <w:bCs w:val="1"/>
                <w:color w:val="auto"/>
                <w:w w:val="90"/>
              </w:rPr>
              <w:t>Equity</w:t>
            </w:r>
          </w:p>
        </w:tc>
        <w:tc>
          <w:tcPr>
            <w:tcW w:w="6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480" w:type="dxa"/>
            <w:vAlign w:val="bottom"/>
            <w:shd w:val="clear" w:color="auto" w:fill="CFF0FC"/>
          </w:tcPr>
          <w:p>
            <w:pPr>
              <w:spacing w:after="0"/>
              <w:rPr>
                <w:sz w:val="20"/>
                <w:szCs w:val="20"/>
                <w:color w:val="auto"/>
              </w:rPr>
            </w:pPr>
            <w:r>
              <w:rPr>
                <w:rFonts w:ascii="Arial" w:cs="Arial" w:eastAsia="Arial" w:hAnsi="Arial"/>
                <w:sz w:val="13"/>
                <w:szCs w:val="13"/>
                <w:color w:val="auto"/>
              </w:rPr>
              <w:t>Balance at December 31, 2019</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22,866,246</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168,933</w:t>
            </w:r>
          </w:p>
        </w:tc>
        <w:tc>
          <w:tcPr>
            <w:tcW w:w="2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3,046,200</w:t>
            </w: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453"/>
              <w:spacing w:after="0"/>
              <w:rPr>
                <w:sz w:val="20"/>
                <w:szCs w:val="20"/>
                <w:color w:val="auto"/>
              </w:rPr>
            </w:pPr>
            <w:r>
              <w:rPr>
                <w:rFonts w:ascii="Arial" w:cs="Arial" w:eastAsia="Arial" w:hAnsi="Arial"/>
                <w:sz w:val="13"/>
                <w:szCs w:val="13"/>
                <w:color w:val="auto"/>
                <w:w w:val="82"/>
              </w:rPr>
              <w:t>$</w:t>
            </w: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4,969</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(75,440)</w:t>
            </w: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(70,474)</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20"/>
                <w:szCs w:val="20"/>
                <w:color w:val="auto"/>
              </w:rPr>
            </w:pPr>
            <w:r>
              <w:rPr>
                <w:rFonts w:ascii="Arial" w:cs="Arial" w:eastAsia="Arial" w:hAnsi="Arial"/>
                <w:sz w:val="13"/>
                <w:szCs w:val="13"/>
                <w:color w:val="auto"/>
              </w:rPr>
              <w:t>Stock-based compensation expense</w:t>
            </w:r>
          </w:p>
        </w:tc>
        <w:tc>
          <w:tcPr>
            <w:tcW w:w="2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296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296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80" w:type="dxa"/>
            <w:vAlign w:val="bottom"/>
            <w:shd w:val="clear" w:color="auto" w:fill="CFF0FC"/>
          </w:tcPr>
          <w:p>
            <w:pPr>
              <w:spacing w:after="0"/>
              <w:rPr>
                <w:sz w:val="20"/>
                <w:szCs w:val="20"/>
                <w:color w:val="auto"/>
              </w:rPr>
            </w:pPr>
            <w:r>
              <w:rPr>
                <w:rFonts w:ascii="Arial" w:cs="Arial" w:eastAsia="Arial" w:hAnsi="Arial"/>
                <w:sz w:val="13"/>
                <w:szCs w:val="13"/>
                <w:color w:val="auto"/>
              </w:rPr>
              <w:t>Net loss</w:t>
            </w:r>
          </w:p>
        </w:tc>
        <w:tc>
          <w:tcPr>
            <w:tcW w:w="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8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(7,255)</w:t>
            </w:r>
          </w:p>
        </w:tc>
        <w:tc>
          <w:tcPr>
            <w:tcW w:w="1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(7,255)</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20"/>
                <w:szCs w:val="20"/>
                <w:color w:val="auto"/>
              </w:rPr>
            </w:pPr>
            <w:r>
              <w:rPr>
                <w:rFonts w:ascii="Arial" w:cs="Arial" w:eastAsia="Arial" w:hAnsi="Arial"/>
                <w:sz w:val="13"/>
                <w:szCs w:val="13"/>
                <w:color w:val="auto"/>
              </w:rPr>
              <w:t>Unrealized loss on available for sale investments</w:t>
            </w:r>
          </w:p>
        </w:tc>
        <w:tc>
          <w:tcPr>
            <w:tcW w:w="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(80)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20"/>
        </w:trPr>
        <w:tc>
          <w:tcPr>
            <w:tcW w:w="348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Balance at March 31, 2020</w:t>
            </w:r>
          </w:p>
        </w:tc>
        <w:tc>
          <w:tcPr>
            <w:tcW w:w="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480" w:type="dxa"/>
            <w:vAlign w:val="bottom"/>
            <w:vMerge w:val="continue"/>
            <w:shd w:val="clear" w:color="auto" w:fill="CFF0FC"/>
          </w:tcPr>
          <w:p>
            <w:pPr>
              <w:spacing w:after="0"/>
              <w:rPr>
                <w:sz w:val="13"/>
                <w:szCs w:val="13"/>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22,866,246</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168,933</w:t>
            </w:r>
          </w:p>
        </w:tc>
        <w:tc>
          <w:tcPr>
            <w:tcW w:w="2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3,046,200</w:t>
            </w: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453"/>
              <w:spacing w:after="0"/>
              <w:rPr>
                <w:sz w:val="20"/>
                <w:szCs w:val="20"/>
                <w:color w:val="auto"/>
              </w:rPr>
            </w:pPr>
            <w:r>
              <w:rPr>
                <w:rFonts w:ascii="Arial" w:cs="Arial" w:eastAsia="Arial" w:hAnsi="Arial"/>
                <w:sz w:val="13"/>
                <w:szCs w:val="13"/>
                <w:color w:val="auto"/>
                <w:w w:val="82"/>
              </w:rPr>
              <w:t>$</w:t>
            </w: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5,265</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(83)</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(82,695)</w:t>
            </w: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(77,513)</w:t>
            </w:r>
          </w:p>
        </w:tc>
        <w:tc>
          <w:tcPr>
            <w:tcW w:w="0" w:type="dxa"/>
            <w:vAlign w:val="bottom"/>
          </w:tcPr>
          <w:p>
            <w:pPr>
              <w:spacing w:after="0"/>
              <w:rPr>
                <w:sz w:val="1"/>
                <w:szCs w:val="1"/>
                <w:color w:val="auto"/>
              </w:rPr>
            </w:pPr>
          </w:p>
        </w:tc>
      </w:tr>
      <w:tr>
        <w:trPr>
          <w:trHeight w:val="20"/>
        </w:trPr>
        <w:tc>
          <w:tcPr>
            <w:tcW w:w="34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color w:val="auto"/>
              </w:rPr>
              <w:t>Stock-based compensation expense</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jc w:val="right"/>
              <w:ind w:right="220"/>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24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3" w:lineRule="exact"/>
              <w:rPr>
                <w:sz w:val="20"/>
                <w:szCs w:val="20"/>
                <w:color w:val="auto"/>
              </w:rPr>
            </w:pPr>
            <w:r>
              <w:rPr>
                <w:rFonts w:ascii="Arial" w:cs="Arial" w:eastAsia="Arial" w:hAnsi="Arial"/>
                <w:sz w:val="13"/>
                <w:szCs w:val="13"/>
                <w:color w:val="auto"/>
              </w:rPr>
              <w:t>—</w:t>
            </w:r>
          </w:p>
        </w:tc>
        <w:tc>
          <w:tcPr>
            <w:tcW w:w="600" w:type="dxa"/>
            <w:vAlign w:val="bottom"/>
          </w:tcPr>
          <w:p>
            <w:pPr>
              <w:spacing w:after="0"/>
              <w:rPr>
                <w:sz w:val="12"/>
                <w:szCs w:val="12"/>
                <w:color w:val="auto"/>
              </w:rPr>
            </w:pPr>
          </w:p>
        </w:tc>
        <w:tc>
          <w:tcPr>
            <w:tcW w:w="160" w:type="dxa"/>
            <w:vAlign w:val="bottom"/>
          </w:tcPr>
          <w:p>
            <w:pPr>
              <w:spacing w:after="0" w:line="14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Arial" w:cs="Arial" w:eastAsia="Arial" w:hAnsi="Arial"/>
                <w:sz w:val="13"/>
                <w:szCs w:val="13"/>
                <w:color w:val="auto"/>
              </w:rPr>
              <w:t>383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20"/>
              <w:spacing w:after="0" w:line="143"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Arial" w:cs="Arial" w:eastAsia="Arial" w:hAnsi="Arial"/>
                <w:sz w:val="13"/>
                <w:szCs w:val="13"/>
                <w:color w:val="auto"/>
              </w:rPr>
              <w:t>383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80" w:type="dxa"/>
            <w:vAlign w:val="bottom"/>
            <w:shd w:val="clear" w:color="auto" w:fill="CFF0FC"/>
          </w:tcPr>
          <w:p>
            <w:pPr>
              <w:spacing w:after="0"/>
              <w:rPr>
                <w:sz w:val="20"/>
                <w:szCs w:val="20"/>
                <w:color w:val="auto"/>
              </w:rPr>
            </w:pPr>
            <w:r>
              <w:rPr>
                <w:rFonts w:ascii="Arial" w:cs="Arial" w:eastAsia="Arial" w:hAnsi="Arial"/>
                <w:sz w:val="13"/>
                <w:szCs w:val="13"/>
                <w:color w:val="auto"/>
              </w:rPr>
              <w:t>Net loss</w:t>
            </w:r>
          </w:p>
        </w:tc>
        <w:tc>
          <w:tcPr>
            <w:tcW w:w="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8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(7,967)</w:t>
            </w:r>
          </w:p>
        </w:tc>
        <w:tc>
          <w:tcPr>
            <w:tcW w:w="1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(7,967)</w:t>
            </w:r>
          </w:p>
        </w:tc>
        <w:tc>
          <w:tcPr>
            <w:tcW w:w="0" w:type="dxa"/>
            <w:vAlign w:val="bottom"/>
          </w:tcPr>
          <w:p>
            <w:pPr>
              <w:spacing w:after="0"/>
              <w:rPr>
                <w:sz w:val="1"/>
                <w:szCs w:val="1"/>
                <w:color w:val="auto"/>
              </w:rPr>
            </w:pPr>
          </w:p>
        </w:tc>
      </w:tr>
      <w:tr>
        <w:trPr>
          <w:trHeight w:val="162"/>
        </w:trPr>
        <w:tc>
          <w:tcPr>
            <w:tcW w:w="348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Unrealized gain on available for sale investments</w:t>
            </w: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right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80" w:type="dxa"/>
            <w:vAlign w:val="bottom"/>
            <w:shd w:val="clear" w:color="auto" w:fill="CFF0FC"/>
          </w:tcPr>
          <w:p>
            <w:pPr>
              <w:spacing w:after="0"/>
              <w:rPr>
                <w:sz w:val="20"/>
                <w:szCs w:val="20"/>
                <w:color w:val="auto"/>
              </w:rPr>
            </w:pPr>
            <w:r>
              <w:rPr>
                <w:rFonts w:ascii="Arial" w:cs="Arial" w:eastAsia="Arial" w:hAnsi="Arial"/>
                <w:sz w:val="13"/>
                <w:szCs w:val="13"/>
                <w:color w:val="auto"/>
              </w:rPr>
              <w:t>Balance at June 30, 2020</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22,866,246</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168,933</w:t>
            </w:r>
          </w:p>
        </w:tc>
        <w:tc>
          <w:tcPr>
            <w:tcW w:w="2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3,046,200</w:t>
            </w: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453"/>
              <w:spacing w:after="0"/>
              <w:rPr>
                <w:sz w:val="20"/>
                <w:szCs w:val="20"/>
                <w:color w:val="auto"/>
              </w:rPr>
            </w:pPr>
            <w:r>
              <w:rPr>
                <w:rFonts w:ascii="Arial" w:cs="Arial" w:eastAsia="Arial" w:hAnsi="Arial"/>
                <w:sz w:val="13"/>
                <w:szCs w:val="13"/>
                <w:color w:val="auto"/>
                <w:w w:val="82"/>
              </w:rPr>
              <w:t>$</w:t>
            </w: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5,648</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FF0FC"/>
          </w:tcPr>
          <w:p>
            <w:pPr>
              <w:spacing w:after="0"/>
              <w:rPr>
                <w:sz w:val="13"/>
                <w:szCs w:val="13"/>
                <w:color w:val="auto"/>
              </w:rPr>
            </w:pP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(90,662)</w:t>
            </w: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(85,009)</w:t>
            </w:r>
          </w:p>
        </w:tc>
        <w:tc>
          <w:tcPr>
            <w:tcW w:w="0" w:type="dxa"/>
            <w:vAlign w:val="bottom"/>
          </w:tcPr>
          <w:p>
            <w:pPr>
              <w:spacing w:after="0"/>
              <w:rPr>
                <w:sz w:val="1"/>
                <w:szCs w:val="1"/>
                <w:color w:val="auto"/>
              </w:rPr>
            </w:pPr>
          </w:p>
        </w:tc>
      </w:tr>
      <w:tr>
        <w:trPr>
          <w:trHeight w:val="20"/>
        </w:trPr>
        <w:tc>
          <w:tcPr>
            <w:tcW w:w="34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color w:val="auto"/>
              </w:rPr>
              <w:t>Issuance of Series D convertible preferred stock,</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4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80" w:type="dxa"/>
            <w:vAlign w:val="bottom"/>
          </w:tcPr>
          <w:p>
            <w:pPr>
              <w:ind w:left="100"/>
              <w:spacing w:after="0"/>
              <w:rPr>
                <w:sz w:val="20"/>
                <w:szCs w:val="20"/>
                <w:color w:val="auto"/>
              </w:rPr>
            </w:pPr>
            <w:r>
              <w:rPr>
                <w:rFonts w:ascii="Arial" w:cs="Arial" w:eastAsia="Arial" w:hAnsi="Arial"/>
                <w:sz w:val="13"/>
                <w:szCs w:val="13"/>
                <w:color w:val="auto"/>
              </w:rPr>
              <w:t>net of issuance costs of $210</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5,321,864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69,790</w:t>
            </w: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480" w:type="dxa"/>
            <w:vAlign w:val="bottom"/>
            <w:shd w:val="clear" w:color="auto" w:fill="CFF0FC"/>
          </w:tcPr>
          <w:p>
            <w:pPr>
              <w:spacing w:after="0"/>
              <w:rPr>
                <w:sz w:val="20"/>
                <w:szCs w:val="20"/>
                <w:color w:val="auto"/>
              </w:rPr>
            </w:pPr>
            <w:r>
              <w:rPr>
                <w:rFonts w:ascii="Arial" w:cs="Arial" w:eastAsia="Arial" w:hAnsi="Arial"/>
                <w:sz w:val="13"/>
                <w:szCs w:val="13"/>
                <w:color w:val="auto"/>
              </w:rPr>
              <w:t>Conversion of convertible preferred stock to common stock</w:t>
            </w:r>
          </w:p>
        </w:tc>
        <w:tc>
          <w:tcPr>
            <w:tcW w:w="98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(28,188,110)</w:t>
            </w:r>
          </w:p>
        </w:tc>
        <w:tc>
          <w:tcPr>
            <w:tcW w:w="100" w:type="dxa"/>
            <w:vAlign w:val="bottom"/>
            <w:shd w:val="clear" w:color="auto" w:fill="CFF0FC"/>
          </w:tcPr>
          <w:p>
            <w:pPr>
              <w:spacing w:after="0"/>
              <w:rPr>
                <w:sz w:val="14"/>
                <w:szCs w:val="14"/>
                <w:color w:val="auto"/>
              </w:rPr>
            </w:pPr>
          </w:p>
        </w:tc>
        <w:tc>
          <w:tcPr>
            <w:tcW w:w="88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(238,723)</w:t>
            </w: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28,188,110</w:t>
            </w: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238,723</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238,723</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80" w:type="dxa"/>
            <w:vAlign w:val="bottom"/>
          </w:tcPr>
          <w:p>
            <w:pPr>
              <w:spacing w:after="0"/>
              <w:rPr>
                <w:sz w:val="20"/>
                <w:szCs w:val="20"/>
                <w:color w:val="auto"/>
              </w:rPr>
            </w:pPr>
            <w:r>
              <w:rPr>
                <w:rFonts w:ascii="Arial" w:cs="Arial" w:eastAsia="Arial" w:hAnsi="Arial"/>
                <w:sz w:val="13"/>
                <w:szCs w:val="13"/>
                <w:color w:val="auto"/>
              </w:rPr>
              <w:t>Exercise of warrants</w:t>
            </w:r>
          </w:p>
        </w:tc>
        <w:tc>
          <w:tcPr>
            <w:tcW w:w="2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9,688</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80" w:type="dxa"/>
            <w:vAlign w:val="bottom"/>
            <w:shd w:val="clear" w:color="auto" w:fill="CFF0FC"/>
          </w:tcPr>
          <w:p>
            <w:pPr>
              <w:spacing w:after="0"/>
              <w:rPr>
                <w:sz w:val="20"/>
                <w:szCs w:val="20"/>
                <w:color w:val="auto"/>
              </w:rPr>
            </w:pPr>
            <w:r>
              <w:rPr>
                <w:rFonts w:ascii="Arial" w:cs="Arial" w:eastAsia="Arial" w:hAnsi="Arial"/>
                <w:sz w:val="13"/>
                <w:szCs w:val="13"/>
                <w:color w:val="auto"/>
                <w:w w:val="99"/>
              </w:rPr>
              <w:t>Issuance of common stock, net of issuance costs of $20,374</w:t>
            </w:r>
          </w:p>
        </w:tc>
        <w:tc>
          <w:tcPr>
            <w:tcW w:w="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8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13,529,750</w:t>
            </w: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223,161</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223,161</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80" w:type="dxa"/>
            <w:vAlign w:val="bottom"/>
          </w:tcPr>
          <w:p>
            <w:pPr>
              <w:spacing w:after="0"/>
              <w:rPr>
                <w:sz w:val="20"/>
                <w:szCs w:val="20"/>
                <w:color w:val="auto"/>
              </w:rPr>
            </w:pPr>
            <w:r>
              <w:rPr>
                <w:rFonts w:ascii="Arial" w:cs="Arial" w:eastAsia="Arial" w:hAnsi="Arial"/>
                <w:sz w:val="13"/>
                <w:szCs w:val="13"/>
                <w:color w:val="auto"/>
              </w:rPr>
              <w:t>Stock-based compensation expense</w:t>
            </w:r>
          </w:p>
        </w:tc>
        <w:tc>
          <w:tcPr>
            <w:tcW w:w="2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670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670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80" w:type="dxa"/>
            <w:vAlign w:val="bottom"/>
            <w:shd w:val="clear" w:color="auto" w:fill="CFF0FC"/>
          </w:tcPr>
          <w:p>
            <w:pPr>
              <w:spacing w:after="0"/>
              <w:rPr>
                <w:sz w:val="20"/>
                <w:szCs w:val="20"/>
                <w:color w:val="auto"/>
              </w:rPr>
            </w:pPr>
            <w:r>
              <w:rPr>
                <w:rFonts w:ascii="Arial" w:cs="Arial" w:eastAsia="Arial" w:hAnsi="Arial"/>
                <w:sz w:val="13"/>
                <w:szCs w:val="13"/>
                <w:color w:val="auto"/>
              </w:rPr>
              <w:t>Net loss</w:t>
            </w:r>
          </w:p>
        </w:tc>
        <w:tc>
          <w:tcPr>
            <w:tcW w:w="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8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(8,764)</w:t>
            </w:r>
          </w:p>
        </w:tc>
        <w:tc>
          <w:tcPr>
            <w:tcW w:w="1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(8,764)</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20"/>
                <w:szCs w:val="20"/>
                <w:color w:val="auto"/>
              </w:rPr>
            </w:pPr>
            <w:r>
              <w:rPr>
                <w:rFonts w:ascii="Arial" w:cs="Arial" w:eastAsia="Arial" w:hAnsi="Arial"/>
                <w:sz w:val="13"/>
                <w:szCs w:val="13"/>
                <w:color w:val="auto"/>
              </w:rPr>
              <w:t>Unrealized loss on available for sale investments</w:t>
            </w:r>
          </w:p>
        </w:tc>
        <w:tc>
          <w:tcPr>
            <w:tcW w:w="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0"/>
        </w:trPr>
        <w:tc>
          <w:tcPr>
            <w:tcW w:w="348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Balance at September 30, 2020</w:t>
            </w:r>
          </w:p>
        </w:tc>
        <w:tc>
          <w:tcPr>
            <w:tcW w:w="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80" w:type="dxa"/>
            <w:vAlign w:val="bottom"/>
            <w:vMerge w:val="continue"/>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44,773,748</w:t>
            </w: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453"/>
              <w:spacing w:after="0"/>
              <w:rPr>
                <w:sz w:val="20"/>
                <w:szCs w:val="20"/>
                <w:color w:val="auto"/>
              </w:rPr>
            </w:pPr>
            <w:r>
              <w:rPr>
                <w:rFonts w:ascii="Arial" w:cs="Arial" w:eastAsia="Arial" w:hAnsi="Arial"/>
                <w:sz w:val="13"/>
                <w:szCs w:val="13"/>
                <w:color w:val="auto"/>
                <w:w w:val="82"/>
              </w:rPr>
              <w:t>$</w:t>
            </w: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468,396</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(99,426)</w:t>
            </w: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368,970</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3"/>
            <w:vMerge w:val="restart"/>
          </w:tcPr>
          <w:p>
            <w:pPr>
              <w:jc w:val="center"/>
              <w:ind w:right="14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3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40" w:type="dxa"/>
            <w:vAlign w:val="bottom"/>
            <w:tcBorders>
              <w:right w:val="single" w:sz="8" w:color="auto"/>
            </w:tcBorders>
            <w:gridSpan w:val="5"/>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Convertible</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1"/>
                <w:szCs w:val="11"/>
                <w:color w:val="auto"/>
              </w:rPr>
            </w:pPr>
          </w:p>
        </w:tc>
        <w:tc>
          <w:tcPr>
            <w:tcW w:w="8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3"/>
        </w:trPr>
        <w:tc>
          <w:tcPr>
            <w:tcW w:w="3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40" w:type="dxa"/>
            <w:vAlign w:val="bottom"/>
            <w:tcBorders>
              <w:right w:val="single" w:sz="8" w:color="auto"/>
            </w:tcBorders>
            <w:gridSpan w:val="5"/>
          </w:tcPr>
          <w:p>
            <w:pPr>
              <w:jc w:val="center"/>
              <w:ind w:right="240"/>
              <w:spacing w:after="0"/>
              <w:rPr>
                <w:sz w:val="20"/>
                <w:szCs w:val="20"/>
                <w:color w:val="auto"/>
              </w:rPr>
            </w:pPr>
            <w:r>
              <w:rPr>
                <w:rFonts w:ascii="Arial" w:cs="Arial" w:eastAsia="Arial" w:hAnsi="Arial"/>
                <w:sz w:val="13"/>
                <w:szCs w:val="13"/>
                <w:b w:val="1"/>
                <w:bCs w:val="1"/>
                <w:color w:val="auto"/>
                <w:w w:val="88"/>
              </w:rPr>
              <w:t>Preferred Stock</w:t>
            </w:r>
          </w:p>
        </w:tc>
        <w:tc>
          <w:tcPr>
            <w:tcW w:w="80" w:type="dxa"/>
            <w:vAlign w:val="bottom"/>
          </w:tcPr>
          <w:p>
            <w:pPr>
              <w:spacing w:after="0"/>
              <w:rPr>
                <w:sz w:val="13"/>
                <w:szCs w:val="13"/>
                <w:color w:val="auto"/>
              </w:rPr>
            </w:pPr>
          </w:p>
        </w:tc>
        <w:tc>
          <w:tcPr>
            <w:tcW w:w="1560" w:type="dxa"/>
            <w:vAlign w:val="bottom"/>
            <w:gridSpan w:val="3"/>
          </w:tcPr>
          <w:p>
            <w:pPr>
              <w:jc w:val="right"/>
              <w:ind w:right="233"/>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7"/>
              </w:rPr>
              <w:t>Paid-in</w:t>
            </w:r>
          </w:p>
        </w:tc>
        <w:tc>
          <w:tcPr>
            <w:tcW w:w="980" w:type="dxa"/>
            <w:vAlign w:val="bottom"/>
            <w:gridSpan w:val="3"/>
          </w:tcPr>
          <w:p>
            <w:pPr>
              <w:spacing w:after="0"/>
              <w:rPr>
                <w:sz w:val="20"/>
                <w:szCs w:val="20"/>
                <w:color w:val="auto"/>
              </w:rPr>
            </w:pPr>
            <w:r>
              <w:rPr>
                <w:rFonts w:ascii="Arial" w:cs="Arial" w:eastAsia="Arial" w:hAnsi="Arial"/>
                <w:sz w:val="13"/>
                <w:szCs w:val="13"/>
                <w:b w:val="1"/>
                <w:bCs w:val="1"/>
                <w:color w:val="auto"/>
                <w:w w:val="98"/>
              </w:rPr>
              <w:t>Comprehensive</w:t>
            </w:r>
          </w:p>
        </w:tc>
        <w:tc>
          <w:tcPr>
            <w:tcW w:w="10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820" w:type="dxa"/>
            <w:vAlign w:val="bottom"/>
            <w:gridSpan w:val="3"/>
          </w:tcPr>
          <w:p>
            <w:pPr>
              <w:ind w:left="20"/>
              <w:spacing w:after="0"/>
              <w:rPr>
                <w:sz w:val="20"/>
                <w:szCs w:val="20"/>
                <w:color w:val="auto"/>
              </w:rPr>
            </w:pPr>
            <w:r>
              <w:rPr>
                <w:rFonts w:ascii="Arial" w:cs="Arial" w:eastAsia="Arial" w:hAnsi="Arial"/>
                <w:sz w:val="13"/>
                <w:szCs w:val="13"/>
                <w:b w:val="1"/>
                <w:bCs w:val="1"/>
                <w:color w:val="auto"/>
                <w:w w:val="91"/>
              </w:rPr>
              <w:t>Stockholders'</w:t>
            </w:r>
          </w:p>
        </w:tc>
        <w:tc>
          <w:tcPr>
            <w:tcW w:w="0" w:type="dxa"/>
            <w:vAlign w:val="bottom"/>
          </w:tcPr>
          <w:p>
            <w:pPr>
              <w:spacing w:after="0"/>
              <w:rPr>
                <w:sz w:val="1"/>
                <w:szCs w:val="1"/>
                <w:color w:val="auto"/>
              </w:rPr>
            </w:pPr>
          </w:p>
        </w:tc>
      </w:tr>
      <w:tr>
        <w:trPr>
          <w:trHeight w:val="142"/>
        </w:trPr>
        <w:tc>
          <w:tcPr>
            <w:tcW w:w="348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3"/>
                <w:szCs w:val="13"/>
                <w:b w:val="1"/>
                <w:bCs w:val="1"/>
                <w:color w:val="auto"/>
              </w:rPr>
              <w:t>Shares</w:t>
            </w:r>
          </w:p>
        </w:tc>
        <w:tc>
          <w:tcPr>
            <w:tcW w:w="220" w:type="dxa"/>
            <w:vAlign w:val="bottom"/>
            <w:tcBorders>
              <w:top w:val="single" w:sz="8" w:color="auto"/>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3"/>
                <w:szCs w:val="13"/>
                <w:b w:val="1"/>
                <w:bCs w:val="1"/>
                <w:color w:val="auto"/>
                <w:w w:val="93"/>
              </w:rPr>
              <w:t>Amount</w:t>
            </w:r>
          </w:p>
        </w:tc>
        <w:tc>
          <w:tcPr>
            <w:tcW w:w="240" w:type="dxa"/>
            <w:vAlign w:val="bottom"/>
            <w:tcBorders>
              <w:bottom w:val="single" w:sz="8" w:color="CFF0FC"/>
              <w:right w:val="single" w:sz="8" w:color="auto"/>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3"/>
                <w:szCs w:val="13"/>
                <w:b w:val="1"/>
                <w:bCs w:val="1"/>
                <w:color w:val="auto"/>
              </w:rPr>
              <w:t>Shares</w:t>
            </w:r>
          </w:p>
        </w:tc>
        <w:tc>
          <w:tcPr>
            <w:tcW w:w="200" w:type="dxa"/>
            <w:vAlign w:val="bottom"/>
            <w:tcBorders>
              <w:top w:val="single" w:sz="8" w:color="auto"/>
              <w:bottom w:val="single" w:sz="8" w:color="CFF0FC"/>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Amount</w:t>
            </w:r>
          </w:p>
        </w:tc>
        <w:tc>
          <w:tcPr>
            <w:tcW w:w="160" w:type="dxa"/>
            <w:vAlign w:val="bottom"/>
            <w:tcBorders>
              <w:top w:val="single" w:sz="8" w:color="auto"/>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2"/>
              </w:rPr>
              <w:t>Capital</w:t>
            </w:r>
          </w:p>
        </w:tc>
        <w:tc>
          <w:tcPr>
            <w:tcW w:w="220" w:type="dxa"/>
            <w:vAlign w:val="bottom"/>
            <w:tcBorders>
              <w:bottom w:val="single" w:sz="8" w:color="CFF0FC"/>
            </w:tcBorders>
          </w:tcPr>
          <w:p>
            <w:pPr>
              <w:spacing w:after="0"/>
              <w:rPr>
                <w:sz w:val="12"/>
                <w:szCs w:val="12"/>
                <w:color w:val="auto"/>
              </w:rPr>
            </w:pPr>
          </w:p>
        </w:tc>
        <w:tc>
          <w:tcPr>
            <w:tcW w:w="8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3"/>
                <w:szCs w:val="13"/>
                <w:b w:val="1"/>
                <w:bCs w:val="1"/>
                <w:color w:val="auto"/>
                <w:w w:val="86"/>
              </w:rPr>
              <w:t>(Loss) Income</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3"/>
                <w:szCs w:val="13"/>
                <w:b w:val="1"/>
                <w:bCs w:val="1"/>
                <w:color w:val="auto"/>
              </w:rPr>
              <w:t>Deficit</w:t>
            </w:r>
          </w:p>
        </w:tc>
        <w:tc>
          <w:tcPr>
            <w:tcW w:w="20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73"/>
              <w:spacing w:after="0" w:line="142" w:lineRule="exact"/>
              <w:rPr>
                <w:sz w:val="20"/>
                <w:szCs w:val="20"/>
                <w:color w:val="auto"/>
              </w:rPr>
            </w:pPr>
            <w:r>
              <w:rPr>
                <w:rFonts w:ascii="Arial" w:cs="Arial" w:eastAsia="Arial" w:hAnsi="Arial"/>
                <w:sz w:val="13"/>
                <w:szCs w:val="13"/>
                <w:b w:val="1"/>
                <w:bCs w:val="1"/>
                <w:color w:val="auto"/>
                <w:w w:val="90"/>
              </w:rPr>
              <w:t>Equity</w:t>
            </w:r>
          </w:p>
        </w:tc>
        <w:tc>
          <w:tcPr>
            <w:tcW w:w="6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480" w:type="dxa"/>
            <w:vAlign w:val="bottom"/>
            <w:shd w:val="clear" w:color="auto" w:fill="CFF0FC"/>
          </w:tcPr>
          <w:p>
            <w:pPr>
              <w:spacing w:after="0"/>
              <w:rPr>
                <w:sz w:val="20"/>
                <w:szCs w:val="20"/>
                <w:color w:val="auto"/>
              </w:rPr>
            </w:pPr>
            <w:r>
              <w:rPr>
                <w:rFonts w:ascii="Arial" w:cs="Arial" w:eastAsia="Arial" w:hAnsi="Arial"/>
                <w:sz w:val="13"/>
                <w:szCs w:val="13"/>
                <w:color w:val="auto"/>
              </w:rPr>
              <w:t>Balance at December 31, 2020</w:t>
            </w:r>
          </w:p>
        </w:tc>
        <w:tc>
          <w:tcPr>
            <w:tcW w:w="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44,777,818</w:t>
            </w: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453"/>
              <w:spacing w:after="0"/>
              <w:rPr>
                <w:sz w:val="20"/>
                <w:szCs w:val="20"/>
                <w:color w:val="auto"/>
              </w:rPr>
            </w:pPr>
            <w:r>
              <w:rPr>
                <w:rFonts w:ascii="Arial" w:cs="Arial" w:eastAsia="Arial" w:hAnsi="Arial"/>
                <w:sz w:val="13"/>
                <w:szCs w:val="13"/>
                <w:color w:val="auto"/>
                <w:w w:val="82"/>
              </w:rPr>
              <w:t>$</w:t>
            </w: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469,001</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(109,880)</w:t>
            </w: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359,121</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80" w:type="dxa"/>
            <w:vAlign w:val="bottom"/>
          </w:tcPr>
          <w:p>
            <w:pPr>
              <w:spacing w:after="0"/>
              <w:rPr>
                <w:sz w:val="20"/>
                <w:szCs w:val="20"/>
                <w:color w:val="auto"/>
              </w:rPr>
            </w:pPr>
            <w:r>
              <w:rPr>
                <w:rFonts w:ascii="Arial" w:cs="Arial" w:eastAsia="Arial" w:hAnsi="Arial"/>
                <w:sz w:val="13"/>
                <w:szCs w:val="13"/>
                <w:color w:val="auto"/>
                <w:w w:val="97"/>
              </w:rPr>
              <w:t>Exercise of stock options and common stock issued under the</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480" w:type="dxa"/>
            <w:vAlign w:val="bottom"/>
          </w:tcPr>
          <w:p>
            <w:pPr>
              <w:ind w:left="100"/>
              <w:spacing w:after="0"/>
              <w:rPr>
                <w:sz w:val="20"/>
                <w:szCs w:val="20"/>
                <w:color w:val="auto"/>
              </w:rPr>
            </w:pPr>
            <w:r>
              <w:rPr>
                <w:rFonts w:ascii="Arial" w:cs="Arial" w:eastAsia="Arial" w:hAnsi="Arial"/>
                <w:sz w:val="13"/>
                <w:szCs w:val="13"/>
                <w:color w:val="auto"/>
              </w:rPr>
              <w:t>2020 ESPP</w:t>
            </w:r>
          </w:p>
        </w:tc>
        <w:tc>
          <w:tcPr>
            <w:tcW w:w="2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103,351</w:t>
            </w: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80" w:type="dxa"/>
            <w:vAlign w:val="bottom"/>
            <w:shd w:val="clear" w:color="auto" w:fill="CFF0FC"/>
          </w:tcPr>
          <w:p>
            <w:pPr>
              <w:spacing w:after="0"/>
              <w:rPr>
                <w:sz w:val="20"/>
                <w:szCs w:val="20"/>
                <w:color w:val="auto"/>
              </w:rPr>
            </w:pPr>
            <w:r>
              <w:rPr>
                <w:rFonts w:ascii="Arial" w:cs="Arial" w:eastAsia="Arial" w:hAnsi="Arial"/>
                <w:sz w:val="13"/>
                <w:szCs w:val="13"/>
                <w:color w:val="auto"/>
              </w:rPr>
              <w:t>Stock-based compensation expense</w:t>
            </w:r>
          </w:p>
        </w:tc>
        <w:tc>
          <w:tcPr>
            <w:tcW w:w="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8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80" w:type="dxa"/>
            <w:vAlign w:val="bottom"/>
          </w:tcPr>
          <w:p>
            <w:pPr>
              <w:spacing w:after="0"/>
              <w:rPr>
                <w:sz w:val="20"/>
                <w:szCs w:val="20"/>
                <w:color w:val="auto"/>
              </w:rPr>
            </w:pPr>
            <w:r>
              <w:rPr>
                <w:rFonts w:ascii="Arial" w:cs="Arial" w:eastAsia="Arial" w:hAnsi="Arial"/>
                <w:sz w:val="13"/>
                <w:szCs w:val="13"/>
                <w:color w:val="auto"/>
              </w:rPr>
              <w:t>Net loss</w:t>
            </w:r>
          </w:p>
        </w:tc>
        <w:tc>
          <w:tcPr>
            <w:tcW w:w="2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(11,602)</w:t>
            </w:r>
          </w:p>
        </w:tc>
        <w:tc>
          <w:tcPr>
            <w:tcW w:w="14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(11,602)</w:t>
            </w:r>
          </w:p>
        </w:tc>
        <w:tc>
          <w:tcPr>
            <w:tcW w:w="0" w:type="dxa"/>
            <w:vAlign w:val="bottom"/>
          </w:tcPr>
          <w:p>
            <w:pPr>
              <w:spacing w:after="0"/>
              <w:rPr>
                <w:sz w:val="1"/>
                <w:szCs w:val="1"/>
                <w:color w:val="auto"/>
              </w:rPr>
            </w:pPr>
          </w:p>
        </w:tc>
      </w:tr>
      <w:tr>
        <w:trPr>
          <w:trHeight w:val="162"/>
        </w:trPr>
        <w:tc>
          <w:tcPr>
            <w:tcW w:w="3480" w:type="dxa"/>
            <w:vAlign w:val="bottom"/>
            <w:shd w:val="clear" w:color="auto" w:fill="CFF0FC"/>
          </w:tcPr>
          <w:p>
            <w:pPr>
              <w:spacing w:after="0"/>
              <w:rPr>
                <w:sz w:val="20"/>
                <w:szCs w:val="20"/>
                <w:color w:val="auto"/>
              </w:rPr>
            </w:pPr>
            <w:r>
              <w:rPr>
                <w:rFonts w:ascii="Arial" w:cs="Arial" w:eastAsia="Arial" w:hAnsi="Arial"/>
                <w:sz w:val="13"/>
                <w:szCs w:val="13"/>
                <w:color w:val="auto"/>
              </w:rPr>
              <w:t>Unrealized loss on available for sale investments</w:t>
            </w:r>
          </w:p>
        </w:tc>
        <w:tc>
          <w:tcPr>
            <w:tcW w:w="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3"/>
                <w:szCs w:val="13"/>
                <w:color w:val="auto"/>
              </w:rPr>
              <w:t>Balance at March 31, 2021</w:t>
            </w:r>
          </w:p>
        </w:tc>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4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44,881,169</w:t>
            </w:r>
          </w:p>
        </w:tc>
        <w:tc>
          <w:tcPr>
            <w:tcW w:w="200" w:type="dxa"/>
            <w:vAlign w:val="bottom"/>
          </w:tcPr>
          <w:p>
            <w:pPr>
              <w:spacing w:after="0"/>
              <w:rPr>
                <w:sz w:val="17"/>
                <w:szCs w:val="17"/>
                <w:color w:val="auto"/>
              </w:rPr>
            </w:pPr>
          </w:p>
        </w:tc>
        <w:tc>
          <w:tcPr>
            <w:tcW w:w="600" w:type="dxa"/>
            <w:vAlign w:val="bottom"/>
          </w:tcPr>
          <w:p>
            <w:pPr>
              <w:jc w:val="right"/>
              <w:ind w:right="453"/>
              <w:spacing w:after="0"/>
              <w:rPr>
                <w:sz w:val="20"/>
                <w:szCs w:val="20"/>
                <w:color w:val="auto"/>
              </w:rPr>
            </w:pPr>
            <w:r>
              <w:rPr>
                <w:rFonts w:ascii="Arial" w:cs="Arial" w:eastAsia="Arial" w:hAnsi="Arial"/>
                <w:sz w:val="13"/>
                <w:szCs w:val="13"/>
                <w:color w:val="auto"/>
                <w:w w:val="82"/>
              </w:rPr>
              <w:t>$</w:t>
            </w: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469,790</w:t>
            </w:r>
          </w:p>
        </w:tc>
        <w:tc>
          <w:tcPr>
            <w:tcW w:w="22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(13)</w:t>
            </w:r>
          </w:p>
        </w:tc>
        <w:tc>
          <w:tcPr>
            <w:tcW w:w="2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(121,482)</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348,295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3480" w:type="dxa"/>
            <w:vAlign w:val="bottom"/>
            <w:tcBorders>
              <w:top w:val="single" w:sz="8" w:color="CFF0FC"/>
            </w:tcBorders>
            <w:shd w:val="clear" w:color="auto" w:fill="CFF0FC"/>
          </w:tcPr>
          <w:p>
            <w:pPr>
              <w:spacing w:after="0" w:line="132" w:lineRule="exact"/>
              <w:rPr>
                <w:sz w:val="20"/>
                <w:szCs w:val="20"/>
                <w:color w:val="auto"/>
              </w:rPr>
            </w:pPr>
            <w:r>
              <w:rPr>
                <w:rFonts w:ascii="Arial" w:cs="Arial" w:eastAsia="Arial" w:hAnsi="Arial"/>
                <w:sz w:val="13"/>
                <w:szCs w:val="13"/>
                <w:color w:val="auto"/>
                <w:w w:val="97"/>
              </w:rPr>
              <w:t>Exercise of stock options and common stock issued under the</w:t>
            </w:r>
          </w:p>
        </w:tc>
        <w:tc>
          <w:tcPr>
            <w:tcW w:w="20" w:type="dxa"/>
            <w:vAlign w:val="bottom"/>
            <w:tcBorders>
              <w:top w:val="single" w:sz="8" w:color="CFF0FC"/>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right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2020 ESPP</w:t>
            </w:r>
          </w:p>
        </w:tc>
        <w:tc>
          <w:tcPr>
            <w:tcW w:w="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88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332,398</w:t>
            </w: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1,256</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1,256</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80" w:type="dxa"/>
            <w:vAlign w:val="bottom"/>
          </w:tcPr>
          <w:p>
            <w:pPr>
              <w:spacing w:after="0"/>
              <w:rPr>
                <w:sz w:val="20"/>
                <w:szCs w:val="20"/>
                <w:color w:val="auto"/>
              </w:rPr>
            </w:pPr>
            <w:r>
              <w:rPr>
                <w:rFonts w:ascii="Arial" w:cs="Arial" w:eastAsia="Arial" w:hAnsi="Arial"/>
                <w:sz w:val="13"/>
                <w:szCs w:val="13"/>
                <w:color w:val="auto"/>
              </w:rPr>
              <w:t>Stock-based compensation expense</w:t>
            </w:r>
          </w:p>
        </w:tc>
        <w:tc>
          <w:tcPr>
            <w:tcW w:w="2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1,150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80" w:type="dxa"/>
            <w:vAlign w:val="bottom"/>
            <w:shd w:val="clear" w:color="auto" w:fill="CFF0FC"/>
          </w:tcPr>
          <w:p>
            <w:pPr>
              <w:spacing w:after="0"/>
              <w:rPr>
                <w:sz w:val="20"/>
                <w:szCs w:val="20"/>
                <w:color w:val="auto"/>
              </w:rPr>
            </w:pPr>
            <w:r>
              <w:rPr>
                <w:rFonts w:ascii="Arial" w:cs="Arial" w:eastAsia="Arial" w:hAnsi="Arial"/>
                <w:sz w:val="13"/>
                <w:szCs w:val="13"/>
                <w:color w:val="auto"/>
              </w:rPr>
              <w:t>Net loss</w:t>
            </w:r>
          </w:p>
        </w:tc>
        <w:tc>
          <w:tcPr>
            <w:tcW w:w="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8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(12,874)</w:t>
            </w:r>
          </w:p>
        </w:tc>
        <w:tc>
          <w:tcPr>
            <w:tcW w:w="1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(12,874)</w:t>
            </w:r>
          </w:p>
        </w:tc>
        <w:tc>
          <w:tcPr>
            <w:tcW w:w="0" w:type="dxa"/>
            <w:vAlign w:val="bottom"/>
          </w:tcPr>
          <w:p>
            <w:pPr>
              <w:spacing w:after="0"/>
              <w:rPr>
                <w:sz w:val="1"/>
                <w:szCs w:val="1"/>
                <w:color w:val="auto"/>
              </w:rPr>
            </w:pPr>
          </w:p>
        </w:tc>
      </w:tr>
      <w:tr>
        <w:trPr>
          <w:trHeight w:val="162"/>
        </w:trPr>
        <w:tc>
          <w:tcPr>
            <w:tcW w:w="348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Unrealized gain on available for sale investments</w:t>
            </w:r>
          </w:p>
        </w:tc>
        <w:tc>
          <w:tcPr>
            <w:tcW w:w="2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right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480" w:type="dxa"/>
            <w:vAlign w:val="bottom"/>
            <w:shd w:val="clear" w:color="auto" w:fill="CFF0FC"/>
          </w:tcPr>
          <w:p>
            <w:pPr>
              <w:spacing w:after="0"/>
              <w:rPr>
                <w:sz w:val="20"/>
                <w:szCs w:val="20"/>
                <w:color w:val="auto"/>
              </w:rPr>
            </w:pPr>
            <w:r>
              <w:rPr>
                <w:rFonts w:ascii="Arial" w:cs="Arial" w:eastAsia="Arial" w:hAnsi="Arial"/>
                <w:sz w:val="13"/>
                <w:szCs w:val="13"/>
                <w:color w:val="auto"/>
              </w:rPr>
              <w:t>Balance at June 30, 2021</w:t>
            </w:r>
          </w:p>
        </w:tc>
        <w:tc>
          <w:tcPr>
            <w:tcW w:w="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45,213,567</w:t>
            </w: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453"/>
              <w:spacing w:after="0"/>
              <w:rPr>
                <w:sz w:val="20"/>
                <w:szCs w:val="20"/>
                <w:color w:val="auto"/>
              </w:rPr>
            </w:pPr>
            <w:r>
              <w:rPr>
                <w:rFonts w:ascii="Arial" w:cs="Arial" w:eastAsia="Arial" w:hAnsi="Arial"/>
                <w:sz w:val="13"/>
                <w:szCs w:val="13"/>
                <w:color w:val="auto"/>
                <w:w w:val="82"/>
              </w:rPr>
              <w:t>$</w:t>
            </w: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472,196</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FF0FC"/>
          </w:tcPr>
          <w:p>
            <w:pPr>
              <w:spacing w:after="0"/>
              <w:rPr>
                <w:sz w:val="13"/>
                <w:szCs w:val="13"/>
                <w:color w:val="auto"/>
              </w:rPr>
            </w:pP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(134,356)</w:t>
            </w: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337,847</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color w:val="auto"/>
                <w:w w:val="97"/>
              </w:rPr>
              <w:t>Exercise of stock options and common stock issued under the</w:t>
            </w:r>
          </w:p>
        </w:tc>
        <w:tc>
          <w:tcPr>
            <w:tcW w:w="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4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80" w:type="dxa"/>
            <w:vAlign w:val="bottom"/>
          </w:tcPr>
          <w:p>
            <w:pPr>
              <w:ind w:left="100"/>
              <w:spacing w:after="0"/>
              <w:rPr>
                <w:sz w:val="20"/>
                <w:szCs w:val="20"/>
                <w:color w:val="auto"/>
              </w:rPr>
            </w:pPr>
            <w:r>
              <w:rPr>
                <w:rFonts w:ascii="Arial" w:cs="Arial" w:eastAsia="Arial" w:hAnsi="Arial"/>
                <w:sz w:val="13"/>
                <w:szCs w:val="13"/>
                <w:color w:val="auto"/>
              </w:rPr>
              <w:t>2020 ESPP</w:t>
            </w:r>
          </w:p>
        </w:tc>
        <w:tc>
          <w:tcPr>
            <w:tcW w:w="2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138,640</w:t>
            </w: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309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80" w:type="dxa"/>
            <w:vAlign w:val="bottom"/>
            <w:shd w:val="clear" w:color="auto" w:fill="CFF0FC"/>
          </w:tcPr>
          <w:p>
            <w:pPr>
              <w:spacing w:after="0"/>
              <w:rPr>
                <w:sz w:val="20"/>
                <w:szCs w:val="20"/>
                <w:color w:val="auto"/>
              </w:rPr>
            </w:pPr>
            <w:r>
              <w:rPr>
                <w:rFonts w:ascii="Arial" w:cs="Arial" w:eastAsia="Arial" w:hAnsi="Arial"/>
                <w:sz w:val="13"/>
                <w:szCs w:val="13"/>
                <w:color w:val="auto"/>
              </w:rPr>
              <w:t>Stock-based compensation expense</w:t>
            </w:r>
          </w:p>
        </w:tc>
        <w:tc>
          <w:tcPr>
            <w:tcW w:w="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8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1,796</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1,796</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80" w:type="dxa"/>
            <w:vAlign w:val="bottom"/>
          </w:tcPr>
          <w:p>
            <w:pPr>
              <w:spacing w:after="0"/>
              <w:rPr>
                <w:sz w:val="20"/>
                <w:szCs w:val="20"/>
                <w:color w:val="auto"/>
              </w:rPr>
            </w:pPr>
            <w:r>
              <w:rPr>
                <w:rFonts w:ascii="Arial" w:cs="Arial" w:eastAsia="Arial" w:hAnsi="Arial"/>
                <w:sz w:val="13"/>
                <w:szCs w:val="13"/>
                <w:color w:val="auto"/>
              </w:rPr>
              <w:t>Net loss</w:t>
            </w:r>
          </w:p>
        </w:tc>
        <w:tc>
          <w:tcPr>
            <w:tcW w:w="2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(15,011)</w:t>
            </w:r>
          </w:p>
        </w:tc>
        <w:tc>
          <w:tcPr>
            <w:tcW w:w="14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(15,011)</w:t>
            </w:r>
          </w:p>
        </w:tc>
        <w:tc>
          <w:tcPr>
            <w:tcW w:w="0" w:type="dxa"/>
            <w:vAlign w:val="bottom"/>
          </w:tcPr>
          <w:p>
            <w:pPr>
              <w:spacing w:after="0"/>
              <w:rPr>
                <w:sz w:val="1"/>
                <w:szCs w:val="1"/>
                <w:color w:val="auto"/>
              </w:rPr>
            </w:pPr>
          </w:p>
        </w:tc>
      </w:tr>
      <w:tr>
        <w:trPr>
          <w:trHeight w:val="162"/>
        </w:trPr>
        <w:tc>
          <w:tcPr>
            <w:tcW w:w="3480" w:type="dxa"/>
            <w:vAlign w:val="bottom"/>
            <w:shd w:val="clear" w:color="auto" w:fill="CFF0FC"/>
          </w:tcPr>
          <w:p>
            <w:pPr>
              <w:spacing w:after="0"/>
              <w:rPr>
                <w:sz w:val="20"/>
                <w:szCs w:val="20"/>
                <w:color w:val="auto"/>
              </w:rPr>
            </w:pPr>
            <w:r>
              <w:rPr>
                <w:rFonts w:ascii="Arial" w:cs="Arial" w:eastAsia="Arial" w:hAnsi="Arial"/>
                <w:sz w:val="13"/>
                <w:szCs w:val="13"/>
                <w:color w:val="auto"/>
              </w:rPr>
              <w:t>Unrealized loss on available for sale investments</w:t>
            </w:r>
          </w:p>
        </w:tc>
        <w:tc>
          <w:tcPr>
            <w:tcW w:w="20" w:type="dxa"/>
            <w:vAlign w:val="bottom"/>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480" w:type="dxa"/>
            <w:vAlign w:val="bottom"/>
          </w:tcPr>
          <w:p>
            <w:pPr>
              <w:spacing w:after="0"/>
              <w:rPr>
                <w:sz w:val="20"/>
                <w:szCs w:val="20"/>
                <w:color w:val="auto"/>
              </w:rPr>
            </w:pPr>
            <w:r>
              <w:rPr>
                <w:rFonts w:ascii="Arial" w:cs="Arial" w:eastAsia="Arial" w:hAnsi="Arial"/>
                <w:sz w:val="13"/>
                <w:szCs w:val="13"/>
                <w:color w:val="auto"/>
              </w:rPr>
              <w:t>Balance at September 30, 2021</w:t>
            </w:r>
          </w:p>
        </w:tc>
        <w:tc>
          <w:tcPr>
            <w:tcW w:w="2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45,352,207</w:t>
            </w:r>
          </w:p>
        </w:tc>
        <w:tc>
          <w:tcPr>
            <w:tcW w:w="200" w:type="dxa"/>
            <w:vAlign w:val="bottom"/>
          </w:tcPr>
          <w:p>
            <w:pPr>
              <w:spacing w:after="0"/>
              <w:rPr>
                <w:sz w:val="13"/>
                <w:szCs w:val="13"/>
                <w:color w:val="auto"/>
              </w:rPr>
            </w:pPr>
          </w:p>
        </w:tc>
        <w:tc>
          <w:tcPr>
            <w:tcW w:w="600" w:type="dxa"/>
            <w:vAlign w:val="bottom"/>
          </w:tcPr>
          <w:p>
            <w:pPr>
              <w:jc w:val="right"/>
              <w:ind w:right="453"/>
              <w:spacing w:after="0"/>
              <w:rPr>
                <w:sz w:val="20"/>
                <w:szCs w:val="20"/>
                <w:color w:val="auto"/>
              </w:rPr>
            </w:pPr>
            <w:r>
              <w:rPr>
                <w:rFonts w:ascii="Arial" w:cs="Arial" w:eastAsia="Arial" w:hAnsi="Arial"/>
                <w:sz w:val="13"/>
                <w:szCs w:val="13"/>
                <w:color w:val="auto"/>
                <w:w w:val="82"/>
              </w:rPr>
              <w:t>$</w:t>
            </w: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474,301</w:t>
            </w:r>
          </w:p>
        </w:tc>
        <w:tc>
          <w:tcPr>
            <w:tcW w:w="22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3"/>
                <w:szCs w:val="13"/>
                <w:color w:val="auto"/>
              </w:rPr>
            </w:pPr>
          </w:p>
        </w:tc>
        <w:tc>
          <w:tcPr>
            <w:tcW w:w="2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(149,367)</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324,948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776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(39,487)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(23,986)</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3,573</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Amortization of premiums on marketable securities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459</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lease expense</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operating assets and liabilities:</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(1,743)</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(385)</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Accrued expenses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(34,543)</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and equipment</w:t>
            </w: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(1,087)</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3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(235,167)</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(14,512)</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Maturities of marketable securities</w:t>
            </w: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85,111</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(used in) provided by investing activities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(151,143)</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Proceeds from issuance of convertible preferred stock, net</w:t>
            </w:r>
          </w:p>
        </w:tc>
        <w:tc>
          <w:tcPr>
            <w:tcW w:w="34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the issuance of common stock, net</w:t>
            </w: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224,541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1,727</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1,727</w:t>
            </w:r>
          </w:p>
        </w:tc>
        <w:tc>
          <w:tcPr>
            <w:tcW w:w="2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294,331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ind w:left="74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(183,959)</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299,872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 beginning of period</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361,422</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73,278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 end of period</w:t>
            </w: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177,463</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373,150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of noncash investing activities</w:t>
            </w: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Lease incentives used for leasehold improvements</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b w:val="1"/>
                <w:bCs w:val="1"/>
                <w:color w:val="auto"/>
              </w:rPr>
              <w:t>Supplemental disclosures of noncash financing activities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Conversion of convertible preferred stock to common stock</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238,723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Conversion of warrant liability to common stock</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Unpaid offering costs</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income tax</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1" w:lineRule="exact"/>
        <w:rPr>
          <w:sz w:val="20"/>
          <w:szCs w:val="20"/>
          <w:color w:val="auto"/>
        </w:rPr>
      </w:pPr>
    </w:p>
    <w:p>
      <w:pPr>
        <w:jc w:val="center"/>
        <w:ind w:left="680" w:right="8000" w:hanging="672"/>
        <w:spacing w:after="0" w:line="450" w:lineRule="auto"/>
        <w:tabs>
          <w:tab w:leader="none" w:pos="181" w:val="left"/>
        </w:tabs>
        <w:numPr>
          <w:ilvl w:val="0"/>
          <w:numId w:val="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Formation and Business of the Company Organization and Liquidity</w:t>
      </w:r>
    </w:p>
    <w:p>
      <w:pPr>
        <w:spacing w:after="0" w:line="1" w:lineRule="exact"/>
        <w:rPr>
          <w:sz w:val="20"/>
          <w:szCs w:val="20"/>
          <w:color w:val="auto"/>
        </w:rPr>
      </w:pPr>
    </w:p>
    <w:p>
      <w:pPr>
        <w:ind w:right="460" w:firstLine="679"/>
        <w:spacing w:after="0" w:line="259" w:lineRule="auto"/>
        <w:rPr>
          <w:sz w:val="20"/>
          <w:szCs w:val="20"/>
          <w:color w:val="auto"/>
        </w:rPr>
      </w:pPr>
      <w:r>
        <w:rPr>
          <w:rFonts w:ascii="Arial" w:cs="Arial" w:eastAsia="Arial" w:hAnsi="Arial"/>
          <w:sz w:val="18"/>
          <w:szCs w:val="18"/>
          <w:color w:val="auto"/>
        </w:rPr>
        <w:t>PMV Pharmaceuticals, Inc. (the “Company”) was incorporated in the state of Delaware in March 2013. Since inception, the Company has devoted substantially all of its time and efforts to performing research and development activities and raising capital. The Company is a clinical-stage oncology company pioneering the discovery and development of small molecule, tumor agnostic therapies designed to target p53 mutations. The Company’s headquarters are currently located in Cranbury, New Jersey.</w:t>
      </w:r>
    </w:p>
    <w:p>
      <w:pPr>
        <w:spacing w:after="0" w:line="79" w:lineRule="exact"/>
        <w:rPr>
          <w:sz w:val="20"/>
          <w:szCs w:val="20"/>
          <w:color w:val="auto"/>
        </w:rPr>
      </w:pPr>
    </w:p>
    <w:p>
      <w:pPr>
        <w:ind w:right="80" w:firstLine="679"/>
        <w:spacing w:after="0" w:line="254" w:lineRule="auto"/>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87" w:lineRule="exact"/>
        <w:rPr>
          <w:sz w:val="20"/>
          <w:szCs w:val="20"/>
          <w:color w:val="auto"/>
        </w:rPr>
      </w:pPr>
    </w:p>
    <w:p>
      <w:pPr>
        <w:ind w:right="20" w:firstLine="679"/>
        <w:spacing w:after="0" w:line="290" w:lineRule="auto"/>
        <w:rPr>
          <w:sz w:val="20"/>
          <w:szCs w:val="20"/>
          <w:color w:val="auto"/>
        </w:rPr>
      </w:pPr>
      <w:r>
        <w:rPr>
          <w:rFonts w:ascii="Arial" w:cs="Arial" w:eastAsia="Arial" w:hAnsi="Arial"/>
          <w:sz w:val="16"/>
          <w:szCs w:val="16"/>
          <w:color w:val="auto"/>
        </w:rPr>
        <w:t>On September 25, 2020, the Company completed an initial public offering (the “IPO”) of 13,529,750 shares of common stock, at a public offering price of $18.00 per share including the exercise in full by the underwriters of their option to purchase up to 1,764,750 additional shares of commons stock, for aggregate gross proceeds of $243,536 and its shares started trading on The Nasdaq Global Select Market under the ticker symbol “PMVP.” The Company received $223,161 in net proceeds after deducting underwriting discounts and commissions and other offering expenses payable by the Company. In connection with the closing of the IPO, all of the Company’s outstanding shares of convertible preferred stock outstanding at the time of the IPO automatically converted into 28,188,110 shares of common stock. On September 18, 2020, the Company amended its certificate of incorporation to effect a 5.2651-for-1 reverse stock split of its issued and outstanding common and convertible preferred stock. The accompanying unaudited condensed financial statements and related notes give retroactive effect to the reverse stock split for all periods presented.</w:t>
      </w:r>
    </w:p>
    <w:p>
      <w:pPr>
        <w:spacing w:after="0" w:line="57" w:lineRule="exact"/>
        <w:rPr>
          <w:sz w:val="20"/>
          <w:szCs w:val="20"/>
          <w:color w:val="auto"/>
        </w:rPr>
      </w:pPr>
    </w:p>
    <w:p>
      <w:pPr>
        <w:ind w:right="80" w:firstLine="679"/>
        <w:spacing w:after="0" w:line="271" w:lineRule="auto"/>
        <w:rPr>
          <w:sz w:val="20"/>
          <w:szCs w:val="20"/>
          <w:color w:val="auto"/>
        </w:rPr>
      </w:pPr>
      <w:r>
        <w:rPr>
          <w:rFonts w:ascii="Arial" w:cs="Arial" w:eastAsia="Arial" w:hAnsi="Arial"/>
          <w:sz w:val="17"/>
          <w:szCs w:val="17"/>
          <w:color w:val="auto"/>
        </w:rPr>
        <w:t>The Company has incurred net losses and negative cash flows from operations since its inception. During the three and nine months ended September 30, 2021, the Company incurred a net loss of $15,011 and $39,487, respectively. For the nine months ended September 30, 2021, the Company used $34,543 of cash for operations. At September 30, 2021, the Company had an accumulated deficit of $149,367. Cash, cash equivalents, and restricted cash at September 30, 2021 were $177,463. Short and long term marketable securities totaled $149,611 at September 30, 2021. Management expects to incur substantial additional operating losses for the next several years and will need to obtain additional debt or equity financings in order to complete development of its products, obtain regulatory approvals, launch and commercialize its products and continue research and development programs. The Company believes it has adequate cash and cash equivalents to operate for at least the next twelve months from the date of issuance of these unaudited condensed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Summary of Significant Accounting Policies</w:t>
      </w:r>
    </w:p>
    <w:p>
      <w:pPr>
        <w:spacing w:after="0" w:line="117" w:lineRule="exact"/>
        <w:rPr>
          <w:sz w:val="20"/>
          <w:szCs w:val="20"/>
          <w:color w:val="auto"/>
        </w:rPr>
      </w:pPr>
    </w:p>
    <w:p>
      <w:pPr>
        <w:ind w:right="160" w:firstLine="679"/>
        <w:spacing w:after="0" w:line="286" w:lineRule="auto"/>
        <w:rPr>
          <w:sz w:val="20"/>
          <w:szCs w:val="20"/>
          <w:color w:val="auto"/>
        </w:rPr>
      </w:pPr>
      <w:r>
        <w:rPr>
          <w:rFonts w:ascii="Arial" w:cs="Arial" w:eastAsia="Arial" w:hAnsi="Arial"/>
          <w:sz w:val="17"/>
          <w:szCs w:val="17"/>
          <w:color w:val="auto"/>
        </w:rPr>
        <w:t>The Company’s significant accounting policies are disclosed in the audited financial statements for the year ended December 31, 2020, included in the Company’s Annual Report on Form 10-K filed with the United States Securities and Exchange Commission (the “SEC”) on March 3, 2021. Since the date of those financial statements, there have been no changes to its significant accounting policies except as noted below.</w:t>
      </w:r>
    </w:p>
    <w:p>
      <w:pPr>
        <w:spacing w:after="0" w:line="273"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679"/>
        <w:spacing w:after="0" w:line="272" w:lineRule="auto"/>
        <w:rPr>
          <w:sz w:val="20"/>
          <w:szCs w:val="20"/>
          <w:color w:val="auto"/>
        </w:rPr>
      </w:pPr>
      <w:r>
        <w:rPr>
          <w:rFonts w:ascii="Arial" w:cs="Arial" w:eastAsia="Arial" w:hAnsi="Arial"/>
          <w:sz w:val="17"/>
          <w:szCs w:val="17"/>
          <w:color w:val="auto"/>
        </w:rPr>
        <w:t>The accompanying unaudited condensed financial statements have been prepared in accordance with accounting principles generally accepted in the United States (“GAAP”) for interim financial information and with the interim period reporting requirements of Form 10-Q and Article 10 of Regulation S-X. The condensed balance sheet as of September 30, 2021, the condensed statements of operations and comprehensive loss, and condensed statements of convertible preferred stock and stockholders’ (deficit) equity for the three and nine months ended September 30, 2021 and 2020, and the condensed statements of cash flows for the nine months ended September 30, 2021 and 2020 are unaudited, but, in the opinion of management, include all adjustments, consisting only of normal recurring adjustments, which we consider necessary for a fair presentation of the financial position, operating results and cash flows for the periods presented. The results for any interim</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 w:name="page10"/>
    <w:bookmarkEnd w:id="9"/>
    <w:p>
      <w:pPr>
        <w:ind w:right="140"/>
        <w:spacing w:after="0" w:line="277" w:lineRule="auto"/>
        <w:rPr>
          <w:sz w:val="20"/>
          <w:szCs w:val="20"/>
          <w:color w:val="auto"/>
        </w:rPr>
      </w:pPr>
      <w:r>
        <w:rPr>
          <w:rFonts w:ascii="Arial" w:cs="Arial" w:eastAsia="Arial" w:hAnsi="Arial"/>
          <w:sz w:val="18"/>
          <w:szCs w:val="18"/>
          <w:color w:val="auto"/>
        </w:rPr>
        <w:t>period are not necessarily indicative of results for the year ending December 31, 2021 or for any other subsequent interim period. The condensed balance sheet at December 31, 2020 has been derived from our audited financial statements.</w:t>
      </w:r>
    </w:p>
    <w:p>
      <w:pPr>
        <w:spacing w:after="0" w:line="278"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0" w:firstLine="679"/>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Company bases its estimates and assumptions on historical experience when available and on various factors that it believes to be reasonable under the circumstances. Significant estimates and assumptions reflected in these financial statements include, but are not limited to, the fair values of common stock, convertible preferred stock and stock-based compensation. Actual results could differ materially from those estimates.</w:t>
      </w:r>
    </w:p>
    <w:p>
      <w:pPr>
        <w:spacing w:after="0" w:line="300"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firstLine="679"/>
        <w:spacing w:after="0" w:line="275" w:lineRule="auto"/>
        <w:rPr>
          <w:sz w:val="20"/>
          <w:szCs w:val="20"/>
          <w:color w:val="auto"/>
        </w:rPr>
      </w:pPr>
      <w:r>
        <w:rPr>
          <w:rFonts w:ascii="Arial" w:cs="Arial" w:eastAsia="Arial" w:hAnsi="Arial"/>
          <w:sz w:val="17"/>
          <w:szCs w:val="17"/>
          <w:color w:val="auto"/>
        </w:rPr>
        <w:t>In September 2020, the Company’s board of directors and stockholders approved an amendment to the Company’s amended and restated certificate of incorporation to affect a 5.2651-for-1 reverse stock split of the Company’s common stock and convertible preferred stock, which was effected on September 18, 2020. The par value of the common stock and convertible preferred stock were not adjusted as a result of the reverse stock split. Accordingly, all common stock, convertible preferred stock, stock options, and related per share amounts in these unaudited condensed financial statements have been retroactively adjusted for all periods presented to give effect to the reverse stock split.</w:t>
      </w:r>
    </w:p>
    <w:p>
      <w:pPr>
        <w:spacing w:after="0" w:line="284"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Management considers all highly liquid investments with original maturities of three months or less to be cash equivalents.</w:t>
      </w:r>
    </w:p>
    <w:p>
      <w:pPr>
        <w:spacing w:after="0" w:line="117" w:lineRule="exact"/>
        <w:rPr>
          <w:sz w:val="20"/>
          <w:szCs w:val="20"/>
          <w:color w:val="auto"/>
        </w:rPr>
      </w:pPr>
    </w:p>
    <w:p>
      <w:pPr>
        <w:ind w:firstLine="679"/>
        <w:spacing w:after="0" w:line="271" w:lineRule="auto"/>
        <w:rPr>
          <w:sz w:val="20"/>
          <w:szCs w:val="20"/>
          <w:color w:val="auto"/>
        </w:rPr>
      </w:pPr>
      <w:r>
        <w:rPr>
          <w:rFonts w:ascii="Arial" w:cs="Arial" w:eastAsia="Arial" w:hAnsi="Arial"/>
          <w:sz w:val="17"/>
          <w:szCs w:val="17"/>
          <w:color w:val="auto"/>
        </w:rPr>
        <w:t>The Company’s marketable debt securities have been classified and accounted for as available-for-sale. The Company classifies its marketable debt securities as either short-term or long-term based on each instrument’s underlying contractual maturity date. Marketable debt securities with maturities of 12 months or less are classified as short-term and marketable debt securities with maturities greater than 12 months are classified as long-term. As of September 30, 2021, the company’s long-term marketable debt securities have maturity dates no more than 2 years. The Company’s marketable debt securities are carried at fair value, with unrealized gains and losses, net of taxes, reported as a component of accumulated other comprehensive loss in stockholders’ deficit. Premiums and discounts on marketable debt securities are amortized into earnings over the life of the security. For the three months ended September 30, 2021 and 2020, the Company recorded $127 and $6 of amortization, respectively. For the nine months ended September 30, 2021 and 2020, the Company recorded $459 and $152 of amortization, respectively.</w:t>
      </w:r>
    </w:p>
    <w:p>
      <w:pPr>
        <w:spacing w:after="0" w:line="70" w:lineRule="exact"/>
        <w:rPr>
          <w:sz w:val="20"/>
          <w:szCs w:val="20"/>
          <w:color w:val="auto"/>
        </w:rPr>
      </w:pPr>
    </w:p>
    <w:p>
      <w:pPr>
        <w:ind w:right="40" w:firstLine="679"/>
        <w:spacing w:after="0" w:line="277" w:lineRule="auto"/>
        <w:rPr>
          <w:sz w:val="20"/>
          <w:szCs w:val="20"/>
          <w:color w:val="auto"/>
        </w:rPr>
      </w:pPr>
      <w:r>
        <w:rPr>
          <w:rFonts w:ascii="Arial" w:cs="Arial" w:eastAsia="Arial" w:hAnsi="Arial"/>
          <w:sz w:val="18"/>
          <w:szCs w:val="18"/>
          <w:color w:val="auto"/>
        </w:rPr>
        <w:t>Restricted cash as of September 30, 2021 included a $822 deposit at the Company’s commercial bank underlying a stand-by letter of credit issued in favor of a landlord (See Note 6) and is classified in current assets.</w:t>
      </w:r>
    </w:p>
    <w:p>
      <w:pPr>
        <w:spacing w:after="0" w:line="278"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right="80" w:firstLine="679"/>
        <w:spacing w:after="0" w:line="277" w:lineRule="auto"/>
        <w:rPr>
          <w:sz w:val="20"/>
          <w:szCs w:val="20"/>
          <w:color w:val="auto"/>
        </w:rPr>
      </w:pPr>
      <w:r>
        <w:rPr>
          <w:rFonts w:ascii="Arial" w:cs="Arial" w:eastAsia="Arial" w:hAnsi="Arial"/>
          <w:sz w:val="18"/>
          <w:szCs w:val="18"/>
          <w:color w:val="auto"/>
        </w:rPr>
        <w:t>The Company presents comprehensive loss in a single statement within its financial statements. Other comprehensive loss consists of unrealized gains and losses on marketable securities, net of tax.</w:t>
      </w:r>
    </w:p>
    <w:p>
      <w:pPr>
        <w:spacing w:after="0" w:line="278"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231F20"/>
        </w:rPr>
        <w:t>Leases</w:t>
      </w:r>
    </w:p>
    <w:p>
      <w:pPr>
        <w:spacing w:after="0" w:line="131" w:lineRule="exact"/>
        <w:rPr>
          <w:sz w:val="20"/>
          <w:szCs w:val="20"/>
          <w:color w:val="auto"/>
        </w:rPr>
      </w:pPr>
    </w:p>
    <w:p>
      <w:pPr>
        <w:ind w:right="60" w:firstLine="679"/>
        <w:spacing w:after="0" w:line="255" w:lineRule="auto"/>
        <w:rPr>
          <w:sz w:val="20"/>
          <w:szCs w:val="20"/>
          <w:color w:val="auto"/>
        </w:rPr>
      </w:pPr>
      <w:r>
        <w:rPr>
          <w:rFonts w:ascii="Arial" w:cs="Arial" w:eastAsia="Arial" w:hAnsi="Arial"/>
          <w:sz w:val="18"/>
          <w:szCs w:val="18"/>
          <w:color w:val="231F20"/>
        </w:rPr>
        <w:t>At the inception of an arrangement, the Company determines whether the arrangement is or contains a lease based on the circumstances present. The Company accounts for a contract as a lease when it has the right to control the asset for a period of time while obtaining substantially all of the asset’s economic benefits. The Company determines the initial classification and measurement of its operating right-of-use (“ROU”) assets and operating lease liabilities at the lease commencement date, and thereafter if modified. The lease term includes any renewal options that the Company is reasonably assured to exercise. The Company’s policy is to not record leases with a lease term of 12 months or less on its balance sheets. The Company’s only existing leases are for office and laboratory space.</w:t>
      </w:r>
    </w:p>
    <w:p>
      <w:pPr>
        <w:spacing w:after="0" w:line="84" w:lineRule="exact"/>
        <w:rPr>
          <w:sz w:val="20"/>
          <w:szCs w:val="20"/>
          <w:color w:val="auto"/>
        </w:rPr>
      </w:pPr>
    </w:p>
    <w:p>
      <w:pPr>
        <w:ind w:right="80" w:firstLine="679"/>
        <w:spacing w:after="0" w:line="263" w:lineRule="auto"/>
        <w:rPr>
          <w:sz w:val="20"/>
          <w:szCs w:val="20"/>
          <w:color w:val="auto"/>
        </w:rPr>
      </w:pPr>
      <w:r>
        <w:rPr>
          <w:rFonts w:ascii="Arial" w:cs="Arial" w:eastAsia="Arial" w:hAnsi="Arial"/>
          <w:sz w:val="18"/>
          <w:szCs w:val="18"/>
          <w:color w:val="231F20"/>
        </w:rPr>
        <w:t>The ROU asset represents the right to use the leased asset for the lease term. The lease liability represents the present value of the lease payments under the lease. The present value of lease payments is determined by using the interest rate implicit in the lease, if that rate is readily determinable; otherwise, the Company uses its estimated secured incremental borrowing rate for that lease term.</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0" w:name="page11"/>
    <w:bookmarkEnd w:id="10"/>
    <w:p>
      <w:pPr>
        <w:ind w:right="120" w:firstLine="679"/>
        <w:spacing w:after="0" w:line="277" w:lineRule="auto"/>
        <w:rPr>
          <w:sz w:val="20"/>
          <w:szCs w:val="20"/>
          <w:color w:val="auto"/>
        </w:rPr>
      </w:pPr>
      <w:r>
        <w:rPr>
          <w:rFonts w:ascii="Arial" w:cs="Arial" w:eastAsia="Arial" w:hAnsi="Arial"/>
          <w:sz w:val="18"/>
          <w:szCs w:val="18"/>
          <w:color w:val="231F20"/>
        </w:rPr>
        <w:t>Lease expense for operating leases is recognized on a straight-line basis over the reasonably assured lease term based on the total lease payments and is included in operating expense in the statements of operations.</w:t>
      </w:r>
    </w:p>
    <w:p>
      <w:pPr>
        <w:spacing w:after="0" w:line="76" w:lineRule="exact"/>
        <w:rPr>
          <w:sz w:val="20"/>
          <w:szCs w:val="20"/>
          <w:color w:val="auto"/>
        </w:rPr>
      </w:pPr>
    </w:p>
    <w:p>
      <w:pPr>
        <w:ind w:right="200" w:firstLine="679"/>
        <w:spacing w:after="0" w:line="263" w:lineRule="auto"/>
        <w:rPr>
          <w:sz w:val="20"/>
          <w:szCs w:val="20"/>
          <w:color w:val="auto"/>
        </w:rPr>
      </w:pPr>
      <w:r>
        <w:rPr>
          <w:rFonts w:ascii="Arial" w:cs="Arial" w:eastAsia="Arial" w:hAnsi="Arial"/>
          <w:sz w:val="18"/>
          <w:szCs w:val="18"/>
          <w:color w:val="auto"/>
        </w:rPr>
        <w:t>Payments due under each lease agreement include fixed and variable payments. Variable payments relate to the Company’s share of the lessor’s operating costs associated with the underlying asset and are recognized when the event on which those payments are assessed occurs. Neither of the Company’s leases contain residual value guarantees.</w:t>
      </w:r>
    </w:p>
    <w:p>
      <w:pPr>
        <w:spacing w:after="0" w:line="89" w:lineRule="exact"/>
        <w:rPr>
          <w:sz w:val="20"/>
          <w:szCs w:val="20"/>
          <w:color w:val="auto"/>
        </w:rPr>
      </w:pPr>
    </w:p>
    <w:p>
      <w:pPr>
        <w:jc w:val="both"/>
        <w:ind w:right="120" w:firstLine="679"/>
        <w:spacing w:after="0" w:line="263" w:lineRule="auto"/>
        <w:rPr>
          <w:sz w:val="20"/>
          <w:szCs w:val="20"/>
          <w:color w:val="auto"/>
        </w:rPr>
      </w:pPr>
      <w:r>
        <w:rPr>
          <w:rFonts w:ascii="Arial" w:cs="Arial" w:eastAsia="Arial" w:hAnsi="Arial"/>
          <w:sz w:val="18"/>
          <w:szCs w:val="18"/>
          <w:color w:val="auto"/>
        </w:rPr>
        <w:t>The interest rate implicit in lease agreements is typically not readily determinable, and as such, the Company utilizes the incremental borrowing rate to calculate lease liabilities, which is the rate incurred to borrow on a collateralized basis over a similar term an amount equal to the lease payments in a similar economic environment.</w:t>
      </w:r>
    </w:p>
    <w:p>
      <w:pPr>
        <w:spacing w:after="0" w:line="292"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117" w:lineRule="exact"/>
        <w:rPr>
          <w:sz w:val="20"/>
          <w:szCs w:val="20"/>
          <w:color w:val="auto"/>
        </w:rPr>
      </w:pPr>
    </w:p>
    <w:p>
      <w:pPr>
        <w:ind w:firstLine="679"/>
        <w:spacing w:after="0" w:line="289" w:lineRule="auto"/>
        <w:rPr>
          <w:sz w:val="20"/>
          <w:szCs w:val="20"/>
          <w:color w:val="auto"/>
        </w:rPr>
      </w:pPr>
      <w:r>
        <w:rPr>
          <w:rFonts w:ascii="Arial" w:cs="Arial" w:eastAsia="Arial" w:hAnsi="Arial"/>
          <w:sz w:val="16"/>
          <w:szCs w:val="16"/>
          <w:color w:val="231F20"/>
        </w:rPr>
        <w:t xml:space="preserve">In February 2016, the Financial Accounting Standards Board (the “FASB”) issued ASU No. 2016-02, </w:t>
      </w:r>
      <w:r>
        <w:rPr>
          <w:rFonts w:ascii="Arial" w:cs="Arial" w:eastAsia="Arial" w:hAnsi="Arial"/>
          <w:sz w:val="16"/>
          <w:szCs w:val="16"/>
          <w:i w:val="1"/>
          <w:iCs w:val="1"/>
          <w:color w:val="231F20"/>
        </w:rPr>
        <w:t>Leases</w:t>
      </w:r>
      <w:r>
        <w:rPr>
          <w:rFonts w:ascii="Arial" w:cs="Arial" w:eastAsia="Arial" w:hAnsi="Arial"/>
          <w:sz w:val="16"/>
          <w:szCs w:val="16"/>
          <w:color w:val="231F20"/>
        </w:rPr>
        <w:t xml:space="preserve"> (Topic 842), as amended by multiple standards updates, in order to increase transparency and comparability among organizations by requiring lessees to recognize most leases on their balance sheets and making targeted changes to lessor accounting. The most significant change arising from the new standard is the recognition of right of use assets and lease liabilities for leases classified as operating leases. </w:t>
      </w:r>
      <w:r>
        <w:rPr>
          <w:rFonts w:ascii="Arial" w:cs="Arial" w:eastAsia="Arial" w:hAnsi="Arial"/>
          <w:sz w:val="16"/>
          <w:szCs w:val="16"/>
          <w:color w:val="000000"/>
        </w:rPr>
        <w:t>The right-of-use lease liability for operating leases is based on the net present value of future</w:t>
      </w:r>
      <w:r>
        <w:rPr>
          <w:rFonts w:ascii="Arial" w:cs="Arial" w:eastAsia="Arial" w:hAnsi="Arial"/>
          <w:sz w:val="16"/>
          <w:szCs w:val="16"/>
          <w:color w:val="231F20"/>
        </w:rPr>
        <w:t xml:space="preserve"> </w:t>
      </w:r>
      <w:r>
        <w:rPr>
          <w:rFonts w:ascii="Arial" w:cs="Arial" w:eastAsia="Arial" w:hAnsi="Arial"/>
          <w:sz w:val="16"/>
          <w:szCs w:val="16"/>
          <w:color w:val="000000"/>
        </w:rPr>
        <w:t xml:space="preserve">minimum lease payments. Additionally, the right-of-use asset for operating leases is based on the lease liability adjusted for the reclassification of certain balance sheet amounts such as the long term portion of straight line rent liability and deferred lease incentives. </w:t>
      </w:r>
      <w:r>
        <w:rPr>
          <w:rFonts w:ascii="Arial" w:cs="Arial" w:eastAsia="Arial" w:hAnsi="Arial"/>
          <w:sz w:val="16"/>
          <w:szCs w:val="16"/>
          <w:color w:val="231F20"/>
        </w:rPr>
        <w:t>Under the standard, disclosures are required</w:t>
      </w:r>
      <w:r>
        <w:rPr>
          <w:rFonts w:ascii="Arial" w:cs="Arial" w:eastAsia="Arial" w:hAnsi="Arial"/>
          <w:sz w:val="16"/>
          <w:szCs w:val="16"/>
          <w:color w:val="000000"/>
        </w:rPr>
        <w:t xml:space="preserve"> </w:t>
      </w:r>
      <w:r>
        <w:rPr>
          <w:rFonts w:ascii="Arial" w:cs="Arial" w:eastAsia="Arial" w:hAnsi="Arial"/>
          <w:sz w:val="16"/>
          <w:szCs w:val="16"/>
          <w:color w:val="231F20"/>
        </w:rPr>
        <w:t>to enable financial statement users to assess the amount, timing, and uncertainty of cash flows arising from the leases. Companies are also required to recognize and measure leases existing at, or entered into after, the adoption date using a modified retrospective approach, with certain practical expedients available. Comparative periods prior to adoption have not been retrospectively adjusted.</w:t>
      </w:r>
    </w:p>
    <w:p>
      <w:pPr>
        <w:spacing w:after="0" w:line="72" w:lineRule="exact"/>
        <w:rPr>
          <w:sz w:val="20"/>
          <w:szCs w:val="20"/>
          <w:color w:val="auto"/>
        </w:rPr>
      </w:pPr>
    </w:p>
    <w:p>
      <w:pPr>
        <w:ind w:right="100" w:firstLine="679"/>
        <w:spacing w:after="0" w:line="291" w:lineRule="auto"/>
        <w:rPr>
          <w:sz w:val="20"/>
          <w:szCs w:val="20"/>
          <w:color w:val="auto"/>
        </w:rPr>
      </w:pPr>
      <w:r>
        <w:rPr>
          <w:rFonts w:ascii="Arial" w:cs="Arial" w:eastAsia="Arial" w:hAnsi="Arial"/>
          <w:sz w:val="16"/>
          <w:szCs w:val="16"/>
          <w:color w:val="231F20"/>
        </w:rPr>
        <w:t>The Company adopted the standard effective January 1, 2021 using the modified retrospective transition method. Upon adoption, the Company applied the package of practical expedients that allows an entity to not reassess (i) whether any expired or existing contracts are or contain leases, (ii) lease classification for any expired or existing leases and (iii) initial direct costs for any expired or existing leases. The Company elected the practical expedient not to apply the recognition requirements to short-term leases, defined as a lease that at the commencement date has a lease term of 12 months or less that does not include a purchase option to purchase the underlying asset that the Company is reasonably certain to exercise. Furthermore, the Company has elected the practical expedient to not separate lease and non-lease components by class of underlying asset for its existing leases. As the Company enters into new leases, it will continue to evaluate this accounting policy for any new classes of underlying assets.</w:t>
      </w:r>
    </w:p>
    <w:p>
      <w:pPr>
        <w:spacing w:after="0" w:line="72" w:lineRule="exact"/>
        <w:rPr>
          <w:sz w:val="20"/>
          <w:szCs w:val="20"/>
          <w:color w:val="auto"/>
        </w:rPr>
      </w:pPr>
    </w:p>
    <w:p>
      <w:pPr>
        <w:ind w:right="360" w:firstLine="679"/>
        <w:spacing w:after="0" w:line="277" w:lineRule="auto"/>
        <w:rPr>
          <w:sz w:val="20"/>
          <w:szCs w:val="20"/>
          <w:color w:val="auto"/>
        </w:rPr>
      </w:pPr>
      <w:r>
        <w:rPr>
          <w:rFonts w:ascii="Arial" w:cs="Arial" w:eastAsia="Arial" w:hAnsi="Arial"/>
          <w:sz w:val="18"/>
          <w:szCs w:val="18"/>
          <w:color w:val="231F20"/>
        </w:rPr>
        <w:t>Upon adoption, the Company recorded ROU assets of $970 and lease liabilities of $1,129. The standard did not have a material impact on the statement of operations or statement of cash flows.</w:t>
      </w:r>
    </w:p>
    <w:p>
      <w:pPr>
        <w:spacing w:after="0" w:line="76" w:lineRule="exact"/>
        <w:rPr>
          <w:sz w:val="20"/>
          <w:szCs w:val="20"/>
          <w:color w:val="auto"/>
        </w:rPr>
      </w:pPr>
    </w:p>
    <w:p>
      <w:pPr>
        <w:ind w:right="100" w:firstLine="679"/>
        <w:spacing w:after="0" w:line="257" w:lineRule="auto"/>
        <w:rPr>
          <w:sz w:val="20"/>
          <w:szCs w:val="20"/>
          <w:color w:val="auto"/>
        </w:rPr>
      </w:pPr>
      <w:r>
        <w:rPr>
          <w:rFonts w:ascii="Arial" w:cs="Arial" w:eastAsia="Arial" w:hAnsi="Arial"/>
          <w:sz w:val="18"/>
          <w:szCs w:val="18"/>
          <w:color w:val="auto"/>
        </w:rPr>
        <w:t>In December 2019, the FASB issued ASU 2019-12, Income Taxes – Simplifying the Accounting for Income Taxes. The new guidance simplifies the accounting for income taxes by removing several exceptions in the current standard and adding guidance to reduce complexity in certain areas, such as requiring that an entity reflect the effect of an enacted change in tax laws or rates in the annual effective tax rate computation in the interim period that includes the enactment date. The Company adopted this standard as of January 1, 2021. The adoption did not have a material impact on the Company’s financial statements.</w:t>
      </w:r>
    </w:p>
    <w:p>
      <w:pPr>
        <w:spacing w:after="0" w:line="296"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17" w:lineRule="exact"/>
        <w:rPr>
          <w:sz w:val="20"/>
          <w:szCs w:val="20"/>
          <w:color w:val="auto"/>
        </w:rPr>
      </w:pPr>
    </w:p>
    <w:p>
      <w:pPr>
        <w:ind w:right="40" w:firstLine="679"/>
        <w:spacing w:after="0" w:line="257"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of cash and cash equivalents and marketable securities. Cash and cash equivalents include a checking account and a money market account held at one financial institution. At times, such deposits may be in excess of insured limits. The Company has not experienced any losses on its deposits of cash and cash equivalents. The Company’s marketable debt securities are carried at fair value and include any unrealized gains and losses. Any investments with unrealized losses are considered to be temporarily impaired.</w:t>
      </w:r>
    </w:p>
    <w:p>
      <w:pPr>
        <w:spacing w:after="0" w:line="80" w:lineRule="exact"/>
        <w:rPr>
          <w:sz w:val="20"/>
          <w:szCs w:val="20"/>
          <w:color w:val="auto"/>
        </w:rPr>
      </w:pPr>
    </w:p>
    <w:p>
      <w:pPr>
        <w:ind w:right="120" w:firstLine="679"/>
        <w:spacing w:after="0" w:line="259" w:lineRule="auto"/>
        <w:rPr>
          <w:sz w:val="20"/>
          <w:szCs w:val="20"/>
          <w:color w:val="auto"/>
        </w:rPr>
      </w:pPr>
      <w:r>
        <w:rPr>
          <w:rFonts w:ascii="Arial" w:cs="Arial" w:eastAsia="Arial" w:hAnsi="Arial"/>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the product, competition from substitute products and larger companies, protection of proprietary technology, any future strategic relationships and dependence on key individuals.</w:t>
      </w:r>
    </w:p>
    <w:p>
      <w:pPr>
        <w:spacing w:after="0" w:line="79" w:lineRule="exact"/>
        <w:rPr>
          <w:sz w:val="20"/>
          <w:szCs w:val="20"/>
          <w:color w:val="auto"/>
        </w:rPr>
      </w:pPr>
    </w:p>
    <w:p>
      <w:pPr>
        <w:jc w:val="both"/>
        <w:ind w:right="240" w:firstLine="679"/>
        <w:spacing w:after="0" w:line="311" w:lineRule="auto"/>
        <w:rPr>
          <w:sz w:val="20"/>
          <w:szCs w:val="20"/>
          <w:color w:val="auto"/>
        </w:rPr>
      </w:pPr>
      <w:r>
        <w:rPr>
          <w:rFonts w:ascii="Arial" w:cs="Arial" w:eastAsia="Arial" w:hAnsi="Arial"/>
          <w:sz w:val="16"/>
          <w:szCs w:val="16"/>
          <w:color w:val="auto"/>
        </w:rPr>
        <w:t>Products developed by the Company require clearances from the U.S. Food and Drug Administration or other international regulatory agencies prior to commercial sales. There can be no assurance the Company’s product candidates will receive the necessary clearances. If the Company is denied clearance, clearance is delayed or it is unable to maintain clearance, it could have a materially adverse impact on the Company.</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ind w:firstLine="679"/>
        <w:spacing w:after="0" w:line="273" w:lineRule="auto"/>
        <w:rPr>
          <w:sz w:val="20"/>
          <w:szCs w:val="20"/>
          <w:color w:val="auto"/>
        </w:rPr>
      </w:pPr>
      <w:r>
        <w:rPr>
          <w:rFonts w:ascii="Arial" w:cs="Arial" w:eastAsia="Arial" w:hAnsi="Arial"/>
          <w:sz w:val="17"/>
          <w:szCs w:val="17"/>
          <w:color w:val="auto"/>
        </w:rPr>
        <w:t>In January 2020, the World Health Organization declared the outbreak of a novel coronavirus (COVID-19) as a “Public Health Emergency of International Concern,” which continues to spread throughout the world. The outbreak has adversely impacted global commercial activity and contributed to significant volatility in financial markets. The COVID-19 outbreak and government responses are creating disruption in global supply chains and adversely impacting many industries. The outbreak could have a continued material adverse impact on economic and market conditions and trigger a period of global economic slowdown. The Company continues to monitor the impact of the COVID-19 outbreak closely. The full extent to which the COVID-19 outbreak will impact its operations or financial results remains uncertain.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Fair Value Measurements</w:t>
      </w:r>
    </w:p>
    <w:p>
      <w:pPr>
        <w:spacing w:after="0" w:line="117" w:lineRule="exact"/>
        <w:rPr>
          <w:sz w:val="20"/>
          <w:szCs w:val="20"/>
          <w:color w:val="auto"/>
        </w:rPr>
      </w:pPr>
    </w:p>
    <w:p>
      <w:pPr>
        <w:ind w:right="220" w:firstLine="679"/>
        <w:spacing w:after="0" w:line="263" w:lineRule="auto"/>
        <w:rPr>
          <w:sz w:val="20"/>
          <w:szCs w:val="20"/>
          <w:color w:val="auto"/>
        </w:rPr>
      </w:pPr>
      <w:r>
        <w:rPr>
          <w:rFonts w:ascii="Arial" w:cs="Arial" w:eastAsia="Arial" w:hAnsi="Arial"/>
          <w:sz w:val="18"/>
          <w:szCs w:val="18"/>
          <w:color w:val="auto"/>
        </w:rPr>
        <w:t>The Company’s financial assets consist of money market funds, U.S. government debt securities and corporate debt securities. The following tables show the Company’s cash equivalents and available-for-sale securities’ carrying amounts and fair values at September 30, 2021 and December 31, 2020: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center"/>
              <w:ind w:left="618"/>
              <w:spacing w:after="0"/>
              <w:rPr>
                <w:sz w:val="20"/>
                <w:szCs w:val="20"/>
                <w:color w:val="auto"/>
              </w:rPr>
            </w:pPr>
            <w:r>
              <w:rPr>
                <w:rFonts w:ascii="Arial" w:cs="Arial" w:eastAsia="Arial" w:hAnsi="Arial"/>
                <w:sz w:val="14"/>
                <w:szCs w:val="14"/>
                <w:b w:val="1"/>
                <w:bCs w:val="1"/>
                <w:color w:val="auto"/>
                <w:w w:val="90"/>
              </w:rPr>
              <w:t>As of September 30, 2021</w:t>
            </w: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3"/>
              </w:rPr>
              <w:t>Quoted</w:t>
            </w:r>
          </w:p>
        </w:tc>
        <w:tc>
          <w:tcPr>
            <w:tcW w:w="100" w:type="dxa"/>
            <w:vAlign w:val="bottom"/>
          </w:tcPr>
          <w:p>
            <w:pPr>
              <w:spacing w:after="0"/>
              <w:rPr>
                <w:sz w:val="11"/>
                <w:szCs w:val="11"/>
                <w:color w:val="auto"/>
              </w:rPr>
            </w:pPr>
          </w:p>
        </w:tc>
        <w:tc>
          <w:tcPr>
            <w:tcW w:w="880" w:type="dxa"/>
            <w:vAlign w:val="bottom"/>
          </w:tcPr>
          <w:p>
            <w:pPr>
              <w:jc w:val="center"/>
              <w:ind w:right="21"/>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priced in</w:t>
            </w:r>
          </w:p>
        </w:tc>
        <w:tc>
          <w:tcPr>
            <w:tcW w:w="100" w:type="dxa"/>
            <w:vAlign w:val="bottom"/>
          </w:tcPr>
          <w:p>
            <w:pPr>
              <w:spacing w:after="0"/>
              <w:rPr>
                <w:sz w:val="12"/>
                <w:szCs w:val="12"/>
                <w:color w:val="auto"/>
              </w:rPr>
            </w:pPr>
          </w:p>
        </w:tc>
        <w:tc>
          <w:tcPr>
            <w:tcW w:w="88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1"/>
              </w:rPr>
              <w:t>other</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800" w:type="dxa"/>
            <w:vAlign w:val="bottom"/>
            <w:vMerge w:val="restart"/>
          </w:tcPr>
          <w:p>
            <w:pPr>
              <w:jc w:val="center"/>
              <w:ind w:right="138"/>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active</w:t>
            </w:r>
          </w:p>
        </w:tc>
        <w:tc>
          <w:tcPr>
            <w:tcW w:w="100" w:type="dxa"/>
            <w:vAlign w:val="bottom"/>
          </w:tcPr>
          <w:p>
            <w:pPr>
              <w:spacing w:after="0"/>
              <w:rPr>
                <w:sz w:val="12"/>
                <w:szCs w:val="12"/>
                <w:color w:val="auto"/>
              </w:rPr>
            </w:pPr>
          </w:p>
        </w:tc>
        <w:tc>
          <w:tcPr>
            <w:tcW w:w="8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9"/>
              </w:rPr>
              <w:t>observable</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markets</w:t>
            </w:r>
          </w:p>
        </w:tc>
        <w:tc>
          <w:tcPr>
            <w:tcW w:w="100" w:type="dxa"/>
            <w:vAlign w:val="bottom"/>
          </w:tcPr>
          <w:p>
            <w:pPr>
              <w:spacing w:after="0"/>
              <w:rPr>
                <w:sz w:val="12"/>
                <w:szCs w:val="12"/>
                <w:color w:val="auto"/>
              </w:rPr>
            </w:pPr>
          </w:p>
        </w:tc>
        <w:tc>
          <w:tcPr>
            <w:tcW w:w="8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0"/>
              </w:rPr>
              <w:t>inputs</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800" w:type="dxa"/>
            <w:vAlign w:val="bottom"/>
          </w:tcPr>
          <w:p>
            <w:pPr>
              <w:jc w:val="center"/>
              <w:ind w:right="138"/>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880" w:type="dxa"/>
            <w:vAlign w:val="bottom"/>
          </w:tcPr>
          <w:p>
            <w:pPr>
              <w:jc w:val="center"/>
              <w:ind w:right="21"/>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83"/>
        </w:trPr>
        <w:tc>
          <w:tcPr>
            <w:tcW w:w="5220" w:type="dxa"/>
            <w:vAlign w:val="bottom"/>
            <w:tcBorders>
              <w:top w:val="single" w:sz="8" w:color="CFF0FC"/>
            </w:tcBorders>
            <w:gridSpan w:val="2"/>
            <w:shd w:val="clear" w:color="auto" w:fill="CFF0FC"/>
          </w:tcPr>
          <w:p>
            <w:pPr>
              <w:spacing w:after="0" w:line="182" w:lineRule="exact"/>
              <w:rPr>
                <w:sz w:val="20"/>
                <w:szCs w:val="20"/>
                <w:color w:val="auto"/>
              </w:rPr>
            </w:pPr>
            <w:r>
              <w:rPr>
                <w:rFonts w:ascii="Arial" w:cs="Arial" w:eastAsia="Arial" w:hAnsi="Arial"/>
                <w:sz w:val="18"/>
                <w:szCs w:val="18"/>
                <w:color w:val="auto"/>
              </w:rPr>
              <w:t>Financial assets</w:t>
            </w:r>
          </w:p>
        </w:tc>
        <w:tc>
          <w:tcPr>
            <w:tcW w:w="14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auto"/>
            </w:tcBorders>
            <w:shd w:val="clear" w:color="auto" w:fill="CFF0FC"/>
          </w:tcPr>
          <w:p>
            <w:pPr>
              <w:spacing w:after="0" w:line="20" w:lineRule="exact"/>
              <w:rPr>
                <w:sz w:val="1"/>
                <w:szCs w:val="1"/>
                <w:color w:val="auto"/>
              </w:rPr>
            </w:pPr>
          </w:p>
        </w:tc>
        <w:tc>
          <w:tcPr>
            <w:tcW w:w="40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22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37,191</w:t>
            </w:r>
          </w:p>
        </w:tc>
        <w:tc>
          <w:tcPr>
            <w:tcW w:w="24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37,191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37,191</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securities</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255,428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255,428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255,428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20" w:type="dxa"/>
            <w:vAlign w:val="bottom"/>
            <w:gridSpan w:val="2"/>
          </w:tcPr>
          <w:p>
            <w:pPr>
              <w:spacing w:after="0"/>
              <w:rPr>
                <w:sz w:val="20"/>
                <w:szCs w:val="20"/>
                <w:color w:val="auto"/>
              </w:rPr>
            </w:pPr>
            <w:r>
              <w:rPr>
                <w:rFonts w:ascii="Arial" w:cs="Arial" w:eastAsia="Arial" w:hAnsi="Arial"/>
                <w:sz w:val="18"/>
                <w:szCs w:val="18"/>
                <w:color w:val="auto"/>
              </w:rPr>
              <w:t>Government securities</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31,683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31,683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31,683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financial assets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324,302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324,302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37,191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287,111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tcPr>
          <w:p>
            <w:pPr>
              <w:jc w:val="center"/>
              <w:ind w:left="618"/>
              <w:spacing w:after="0"/>
              <w:rPr>
                <w:sz w:val="20"/>
                <w:szCs w:val="20"/>
                <w:color w:val="auto"/>
              </w:rPr>
            </w:pPr>
            <w:r>
              <w:rPr>
                <w:rFonts w:ascii="Arial" w:cs="Arial" w:eastAsia="Arial" w:hAnsi="Arial"/>
                <w:sz w:val="14"/>
                <w:szCs w:val="14"/>
                <w:b w:val="1"/>
                <w:bCs w:val="1"/>
                <w:color w:val="auto"/>
                <w:w w:val="90"/>
              </w:rPr>
              <w:t>As of December 31, 2020</w:t>
            </w: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3"/>
              </w:rPr>
              <w:t>Quoted</w:t>
            </w:r>
          </w:p>
        </w:tc>
        <w:tc>
          <w:tcPr>
            <w:tcW w:w="100" w:type="dxa"/>
            <w:vAlign w:val="bottom"/>
          </w:tcPr>
          <w:p>
            <w:pPr>
              <w:spacing w:after="0"/>
              <w:rPr>
                <w:sz w:val="11"/>
                <w:szCs w:val="11"/>
                <w:color w:val="auto"/>
              </w:rPr>
            </w:pPr>
          </w:p>
        </w:tc>
        <w:tc>
          <w:tcPr>
            <w:tcW w:w="880" w:type="dxa"/>
            <w:vAlign w:val="bottom"/>
          </w:tcPr>
          <w:p>
            <w:pPr>
              <w:jc w:val="center"/>
              <w:ind w:right="21"/>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Priced in</w:t>
            </w:r>
          </w:p>
        </w:tc>
        <w:tc>
          <w:tcPr>
            <w:tcW w:w="100" w:type="dxa"/>
            <w:vAlign w:val="bottom"/>
          </w:tcPr>
          <w:p>
            <w:pPr>
              <w:spacing w:after="0"/>
              <w:rPr>
                <w:sz w:val="12"/>
                <w:szCs w:val="12"/>
                <w:color w:val="auto"/>
              </w:rPr>
            </w:pPr>
          </w:p>
        </w:tc>
        <w:tc>
          <w:tcPr>
            <w:tcW w:w="88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800" w:type="dxa"/>
            <w:vAlign w:val="bottom"/>
            <w:vMerge w:val="restart"/>
          </w:tcPr>
          <w:p>
            <w:pPr>
              <w:jc w:val="center"/>
              <w:ind w:right="138"/>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100" w:type="dxa"/>
            <w:vAlign w:val="bottom"/>
          </w:tcPr>
          <w:p>
            <w:pPr>
              <w:spacing w:after="0"/>
              <w:rPr>
                <w:sz w:val="12"/>
                <w:szCs w:val="12"/>
                <w:color w:val="auto"/>
              </w:rPr>
            </w:pPr>
          </w:p>
        </w:tc>
        <w:tc>
          <w:tcPr>
            <w:tcW w:w="8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2"/>
                <w:szCs w:val="12"/>
                <w:color w:val="auto"/>
              </w:rPr>
            </w:pPr>
          </w:p>
        </w:tc>
        <w:tc>
          <w:tcPr>
            <w:tcW w:w="88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800" w:type="dxa"/>
            <w:vAlign w:val="bottom"/>
          </w:tcPr>
          <w:p>
            <w:pPr>
              <w:jc w:val="center"/>
              <w:ind w:right="138"/>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880" w:type="dxa"/>
            <w:vAlign w:val="bottom"/>
          </w:tcPr>
          <w:p>
            <w:pPr>
              <w:jc w:val="center"/>
              <w:ind w:right="21"/>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83"/>
        </w:trPr>
        <w:tc>
          <w:tcPr>
            <w:tcW w:w="5220" w:type="dxa"/>
            <w:vAlign w:val="bottom"/>
            <w:tcBorders>
              <w:top w:val="single" w:sz="8" w:color="CFF0FC"/>
            </w:tcBorders>
            <w:gridSpan w:val="2"/>
            <w:shd w:val="clear" w:color="auto" w:fill="CFF0FC"/>
          </w:tcPr>
          <w:p>
            <w:pPr>
              <w:spacing w:after="0" w:line="182" w:lineRule="exact"/>
              <w:rPr>
                <w:sz w:val="20"/>
                <w:szCs w:val="20"/>
                <w:color w:val="auto"/>
              </w:rPr>
            </w:pPr>
            <w:r>
              <w:rPr>
                <w:rFonts w:ascii="Arial" w:cs="Arial" w:eastAsia="Arial" w:hAnsi="Arial"/>
                <w:sz w:val="18"/>
                <w:szCs w:val="18"/>
                <w:color w:val="auto"/>
              </w:rPr>
              <w:t>Financial assets</w:t>
            </w:r>
          </w:p>
        </w:tc>
        <w:tc>
          <w:tcPr>
            <w:tcW w:w="14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auto"/>
            </w:tcBorders>
            <w:shd w:val="clear" w:color="auto" w:fill="CFF0FC"/>
          </w:tcPr>
          <w:p>
            <w:pPr>
              <w:spacing w:after="0" w:line="20" w:lineRule="exact"/>
              <w:rPr>
                <w:sz w:val="1"/>
                <w:szCs w:val="1"/>
                <w:color w:val="auto"/>
              </w:rPr>
            </w:pPr>
          </w:p>
        </w:tc>
        <w:tc>
          <w:tcPr>
            <w:tcW w:w="40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240,033</w:t>
            </w:r>
          </w:p>
        </w:tc>
        <w:tc>
          <w:tcPr>
            <w:tcW w:w="24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240,033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240,033</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securities</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20" w:type="dxa"/>
            <w:vAlign w:val="bottom"/>
            <w:gridSpan w:val="2"/>
          </w:tcPr>
          <w:p>
            <w:pPr>
              <w:ind w:left="500"/>
              <w:spacing w:after="0"/>
              <w:rPr>
                <w:sz w:val="20"/>
                <w:szCs w:val="20"/>
                <w:color w:val="auto"/>
              </w:rPr>
            </w:pPr>
            <w:r>
              <w:rPr>
                <w:rFonts w:ascii="Arial" w:cs="Arial" w:eastAsia="Arial" w:hAnsi="Arial"/>
                <w:sz w:val="18"/>
                <w:szCs w:val="18"/>
                <w:color w:val="auto"/>
              </w:rPr>
              <w:t>Total financial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360,041</w:t>
            </w:r>
          </w:p>
        </w:tc>
        <w:tc>
          <w:tcPr>
            <w:tcW w:w="240" w:type="dxa"/>
            <w:vAlign w:val="bottom"/>
          </w:tcPr>
          <w:p>
            <w:pPr>
              <w:spacing w:after="0"/>
              <w:rPr>
                <w:sz w:val="19"/>
                <w:szCs w:val="19"/>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360,041</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240,033</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120,008</w:t>
            </w:r>
          </w:p>
        </w:tc>
        <w:tc>
          <w:tcPr>
            <w:tcW w:w="260" w:type="dxa"/>
            <w:vAlign w:val="bottom"/>
            <w:gridSpan w:val="2"/>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79"/>
        <w:spacing w:after="0" w:line="275" w:lineRule="auto"/>
        <w:rPr>
          <w:sz w:val="20"/>
          <w:szCs w:val="20"/>
          <w:color w:val="auto"/>
        </w:rPr>
      </w:pPr>
      <w:r>
        <w:rPr>
          <w:rFonts w:ascii="Arial" w:cs="Arial" w:eastAsia="Arial" w:hAnsi="Arial"/>
          <w:sz w:val="17"/>
          <w:szCs w:val="17"/>
          <w:b w:val="1"/>
          <w:bCs w:val="1"/>
          <w:i w:val="1"/>
          <w:iCs w:val="1"/>
          <w:color w:val="auto"/>
        </w:rPr>
        <w:t xml:space="preserve">Cash Equivalents </w:t>
      </w:r>
      <w:r>
        <w:rPr>
          <w:rFonts w:ascii="Arial" w:cs="Arial" w:eastAsia="Arial" w:hAnsi="Arial"/>
          <w:sz w:val="17"/>
          <w:szCs w:val="17"/>
          <w:color w:val="auto"/>
        </w:rPr>
        <w:t>— Cash equivalents of $174,691 as of September 30, 2021 consisted of money market funds of $37,191 and corporate debt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securities of $137,500. Cash equivalents of $360,041 as of December 31, 2020 consisted of money market funds of $240,033 and corporate debt securities of $120,008. Money market funds are classified within level 1 of the fair value hierarchy because they are valued using quoted market prices in active markets, whereas corporate debt securities are classified within level 2 of the fair value hierarchy because they are valued using inputs other than quoted prices that are observable for the asset or liability either directly or indirectly.</w:t>
      </w:r>
    </w:p>
    <w:p>
      <w:pPr>
        <w:spacing w:after="0" w:line="68" w:lineRule="exact"/>
        <w:rPr>
          <w:sz w:val="20"/>
          <w:szCs w:val="20"/>
          <w:color w:val="auto"/>
        </w:rPr>
      </w:pPr>
    </w:p>
    <w:p>
      <w:pPr>
        <w:ind w:right="200" w:firstLine="679"/>
        <w:spacing w:after="0" w:line="263" w:lineRule="auto"/>
        <w:rPr>
          <w:sz w:val="20"/>
          <w:szCs w:val="20"/>
          <w:color w:val="auto"/>
        </w:rPr>
      </w:pPr>
      <w:r>
        <w:rPr>
          <w:rFonts w:ascii="Arial" w:cs="Arial" w:eastAsia="Arial" w:hAnsi="Arial"/>
          <w:sz w:val="18"/>
          <w:szCs w:val="18"/>
          <w:b w:val="1"/>
          <w:bCs w:val="1"/>
          <w:i w:val="1"/>
          <w:iCs w:val="1"/>
          <w:color w:val="auto"/>
        </w:rPr>
        <w:t xml:space="preserve">Marketable Securities </w:t>
      </w:r>
      <w:r>
        <w:rPr>
          <w:rFonts w:ascii="Arial" w:cs="Arial" w:eastAsia="Arial" w:hAnsi="Arial"/>
          <w:sz w:val="18"/>
          <w:szCs w:val="18"/>
          <w:color w:val="auto"/>
        </w:rPr>
        <w:t>— Marketable securities of $149,611 as of September 30, 2021 consisted of corporate debt securities of $117,928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government debt securities of $31,683. There were $131,010 current marketable securities and $18,601 noncurrent marketable securities as of September 30, 2021. There were no marketable securities as of December 31, 2020.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4. Property and Equipment, Net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Machinery &amp; equipment</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1,989</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Computers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Furniture &amp; fixtures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Assets not placed in service</w:t>
            </w: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3,185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2,130</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2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(1,791)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(1,561)</w:t>
            </w: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79"/>
        <w:spacing w:after="0" w:line="277" w:lineRule="auto"/>
        <w:rPr>
          <w:sz w:val="20"/>
          <w:szCs w:val="20"/>
          <w:color w:val="auto"/>
        </w:rPr>
      </w:pPr>
      <w:r>
        <w:rPr>
          <w:rFonts w:ascii="Arial" w:cs="Arial" w:eastAsia="Arial" w:hAnsi="Arial"/>
          <w:sz w:val="18"/>
          <w:szCs w:val="18"/>
          <w:color w:val="auto"/>
        </w:rPr>
        <w:t>Depreciation expense for the three months ended September 30, 2021 and 2020 was $80 and $75, respectively. Depreciation expense for the nine months ended September 30, 2021 and 2020 was $230 and $257,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Accrued Expenses</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Accrued expenses consist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ind w:right="255"/>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3,109</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Accrued legal and professional services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 costs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liabilities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6,740</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Commitments and Contingencies</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180" w:firstLine="679"/>
        <w:spacing w:after="0" w:line="263" w:lineRule="auto"/>
        <w:rPr>
          <w:sz w:val="20"/>
          <w:szCs w:val="20"/>
          <w:color w:val="auto"/>
        </w:rPr>
      </w:pPr>
      <w:r>
        <w:rPr>
          <w:rFonts w:ascii="Arial" w:cs="Arial" w:eastAsia="Arial" w:hAnsi="Arial"/>
          <w:sz w:val="18"/>
          <w:szCs w:val="18"/>
          <w:color w:val="auto"/>
        </w:rPr>
        <w:t>In June 2015, the Company executed a noncancelable operating lease for approximately 13,000 square feet of laboratory, research and development, and office space in Cranbury, New Jersey for an initial base rent of $20.00 per square foot. This location operates as the Company’s current headquarters.</w:t>
      </w:r>
    </w:p>
    <w:p>
      <w:pPr>
        <w:spacing w:after="0" w:line="76" w:lineRule="exact"/>
        <w:rPr>
          <w:sz w:val="20"/>
          <w:szCs w:val="20"/>
          <w:color w:val="auto"/>
        </w:rPr>
      </w:pPr>
    </w:p>
    <w:p>
      <w:pPr>
        <w:ind w:right="80" w:firstLine="679"/>
        <w:spacing w:after="0" w:line="257" w:lineRule="auto"/>
        <w:rPr>
          <w:sz w:val="20"/>
          <w:szCs w:val="20"/>
          <w:color w:val="auto"/>
        </w:rPr>
      </w:pPr>
      <w:r>
        <w:rPr>
          <w:rFonts w:ascii="Arial" w:cs="Arial" w:eastAsia="Arial" w:hAnsi="Arial"/>
          <w:sz w:val="18"/>
          <w:szCs w:val="18"/>
          <w:color w:val="auto"/>
        </w:rPr>
        <w:t>In June 2017, the Company obtained an additional noncancelable operating lease for about 6,000 square feet of laboratory space in the same corporate center at an initial rental rate at $22.00 per square foot. As a result of the additional space, both leases will expire June 2022, with an option to renew for an additional five-year term. Both leases include a common area maintenance expense for $3.00 per square foot with an increase of 3% on the first month of each calendar year during the lease term and a management fee of 3% of the base rent. The Company is obligated to pay, on a pro-rata basis, real estate taxes and operating costs related to the premises.</w:t>
      </w:r>
    </w:p>
    <w:p>
      <w:pPr>
        <w:spacing w:after="0" w:line="80" w:lineRule="exact"/>
        <w:rPr>
          <w:sz w:val="20"/>
          <w:szCs w:val="20"/>
          <w:color w:val="auto"/>
        </w:rPr>
      </w:pPr>
    </w:p>
    <w:p>
      <w:pPr>
        <w:ind w:right="20" w:firstLine="679"/>
        <w:spacing w:after="0" w:line="255" w:lineRule="auto"/>
        <w:rPr>
          <w:sz w:val="20"/>
          <w:szCs w:val="20"/>
          <w:color w:val="auto"/>
        </w:rPr>
      </w:pPr>
      <w:r>
        <w:rPr>
          <w:rFonts w:ascii="Arial" w:cs="Arial" w:eastAsia="Arial" w:hAnsi="Arial"/>
          <w:sz w:val="18"/>
          <w:szCs w:val="18"/>
          <w:color w:val="auto"/>
        </w:rPr>
        <w:t>In August 2018, the Company executed two noncancelable operating leases. One lease for approximately 6,000 square feet for vivarium, laboratory and general office space in South Brunswick, New Jersey. The initial annual base rent is $15.50 per square foot and a management fee of 3% of the base rent. The Company is obligated to pay, on a pro-rata basis, insurance premiums, real estate taxes and operating costs related to the premises. The lease expires in July 2022, with an option for additional five-year term. The second lease is for office space in Lexington, Massachusetts, that expires August 2023, with an option to renew for a one-time, three-year extension. The initial annual base rent is $28.50 per square foot and will increase $1.00 per square foot at the end of each rent year.</w:t>
      </w:r>
    </w:p>
    <w:p>
      <w:pPr>
        <w:spacing w:after="0" w:line="84" w:lineRule="exact"/>
        <w:rPr>
          <w:sz w:val="20"/>
          <w:szCs w:val="20"/>
          <w:color w:val="auto"/>
        </w:rPr>
      </w:pPr>
    </w:p>
    <w:p>
      <w:pPr>
        <w:ind w:right="100" w:firstLine="679"/>
        <w:spacing w:after="0" w:line="259" w:lineRule="auto"/>
        <w:rPr>
          <w:sz w:val="20"/>
          <w:szCs w:val="20"/>
          <w:color w:val="auto"/>
        </w:rPr>
      </w:pPr>
      <w:r>
        <w:rPr>
          <w:rFonts w:ascii="Arial" w:cs="Arial" w:eastAsia="Arial" w:hAnsi="Arial"/>
          <w:sz w:val="18"/>
          <w:szCs w:val="18"/>
          <w:color w:val="auto"/>
        </w:rPr>
        <w:t>In 2018, the company received a lease incentive for the buildout of 420 Bedford Street in Lexington, MA. The Company was given an allowance for $165 on behalf of the lessor for construction of office space. Management recognizes this allowance as a lease incentive in its Right-of-Use asset and straight-lines the allowance throughout the term of the lease. As of September 30, 2021, the remaining rent incentive pertaining to the Lexington, MA lease totaled $73.</w:t>
      </w:r>
    </w:p>
    <w:p>
      <w:pPr>
        <w:spacing w:after="0" w:line="79" w:lineRule="exact"/>
        <w:rPr>
          <w:sz w:val="20"/>
          <w:szCs w:val="20"/>
          <w:color w:val="auto"/>
        </w:rPr>
      </w:pPr>
    </w:p>
    <w:p>
      <w:pPr>
        <w:ind w:right="40" w:firstLine="679"/>
        <w:spacing w:after="0" w:line="257" w:lineRule="auto"/>
        <w:rPr>
          <w:sz w:val="20"/>
          <w:szCs w:val="20"/>
          <w:color w:val="auto"/>
        </w:rPr>
      </w:pPr>
      <w:r>
        <w:rPr>
          <w:rFonts w:ascii="Arial" w:cs="Arial" w:eastAsia="Arial" w:hAnsi="Arial"/>
          <w:sz w:val="18"/>
          <w:szCs w:val="18"/>
          <w:color w:val="auto"/>
        </w:rPr>
        <w:t>In January 2021, the Company signed a lease for 50,581 square feet of office and laboratory space at One Research Way in Princeton, New Jersey. The Company intends to complete the relocation of their headquarters from Cranbury, NJ to One Research Way in Princeton NJ in early 2022. That lease term extends through 2032, has a five-year extension option, and is intended to replace our two existing facilities and the space is expected to become the Company’s future headquarters. Payment under this lease will total $19.6 million through May 2032. The Company received a lease incentive of $4.1 million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3" w:name="page14"/>
    <w:bookmarkEnd w:id="13"/>
    <w:p>
      <w:pPr>
        <w:jc w:val="both"/>
        <w:ind w:right="340"/>
        <w:spacing w:after="0" w:line="263" w:lineRule="auto"/>
        <w:rPr>
          <w:sz w:val="20"/>
          <w:szCs w:val="20"/>
          <w:color w:val="auto"/>
        </w:rPr>
      </w:pPr>
      <w:r>
        <w:rPr>
          <w:rFonts w:ascii="Arial" w:cs="Arial" w:eastAsia="Arial" w:hAnsi="Arial"/>
          <w:sz w:val="18"/>
          <w:szCs w:val="18"/>
          <w:color w:val="auto"/>
        </w:rPr>
        <w:t>from the lessor for a buildout of laboratory, vivarium, and office space, to be reimbursed to the Company in 2021 and 2022. Management estimated the timing and amounts of reimbursements and included them as a reduction of lease payments when initially measuring the lease liability and right-of-use asset upon commencement. As of September 30, 2021, no reimbursements were received.</w:t>
      </w:r>
    </w:p>
    <w:p>
      <w:pPr>
        <w:spacing w:after="0" w:line="7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components of lease cost for the three and nine months ended September 30, 2021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360" w:type="dxa"/>
            <w:vAlign w:val="bottom"/>
          </w:tcPr>
          <w:p>
            <w:pPr>
              <w:jc w:val="center"/>
              <w:ind w:left="288"/>
              <w:spacing w:after="0"/>
              <w:rPr>
                <w:sz w:val="20"/>
                <w:szCs w:val="20"/>
                <w:color w:val="auto"/>
              </w:rPr>
            </w:pPr>
            <w:r>
              <w:rPr>
                <w:rFonts w:ascii="Arial" w:cs="Arial" w:eastAsia="Arial" w:hAnsi="Arial"/>
                <w:sz w:val="14"/>
                <w:szCs w:val="14"/>
                <w:b w:val="1"/>
                <w:bCs w:val="1"/>
                <w:color w:val="auto"/>
                <w:w w:val="95"/>
              </w:rPr>
              <w:t>Three Months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Nine Months</w:t>
            </w:r>
          </w:p>
        </w:tc>
        <w:tc>
          <w:tcPr>
            <w:tcW w:w="0" w:type="dxa"/>
            <w:vAlign w:val="bottom"/>
          </w:tcPr>
          <w:p>
            <w:pPr>
              <w:spacing w:after="0"/>
              <w:rPr>
                <w:sz w:val="1"/>
                <w:szCs w:val="1"/>
                <w:color w:val="auto"/>
              </w:rPr>
            </w:pPr>
          </w:p>
        </w:tc>
      </w:tr>
      <w:tr>
        <w:trPr>
          <w:trHeight w:val="148"/>
        </w:trPr>
        <w:tc>
          <w:tcPr>
            <w:tcW w:w="7380" w:type="dxa"/>
            <w:vAlign w:val="bottom"/>
          </w:tcPr>
          <w:p>
            <w:pPr>
              <w:spacing w:after="0"/>
              <w:rPr>
                <w:sz w:val="12"/>
                <w:szCs w:val="12"/>
                <w:color w:val="auto"/>
              </w:rPr>
            </w:pPr>
          </w:p>
        </w:tc>
        <w:tc>
          <w:tcPr>
            <w:tcW w:w="136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93"/>
              </w:rPr>
              <w:t>Ended</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8"/>
        </w:trPr>
        <w:tc>
          <w:tcPr>
            <w:tcW w:w="73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7380" w:type="dxa"/>
            <w:vAlign w:val="bottom"/>
            <w:tcBorders>
              <w:bottom w:val="single" w:sz="8" w:color="CCEEFF"/>
            </w:tcBorders>
            <w:vMerge w:val="continue"/>
          </w:tcPr>
          <w:p>
            <w:pPr>
              <w:spacing w:after="0"/>
              <w:rPr>
                <w:sz w:val="14"/>
                <w:szCs w:val="14"/>
                <w:color w:val="auto"/>
              </w:rPr>
            </w:pPr>
          </w:p>
        </w:tc>
        <w:tc>
          <w:tcPr>
            <w:tcW w:w="136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89"/>
              </w:rPr>
              <w:t>2021</w:t>
            </w: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360" w:type="dxa"/>
            <w:vAlign w:val="bottom"/>
            <w:shd w:val="clear" w:color="auto" w:fill="CCEEFF"/>
          </w:tcPr>
          <w:p>
            <w:pPr>
              <w:jc w:val="right"/>
              <w:ind w:right="1208"/>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Variable lease cost</w:t>
            </w:r>
          </w:p>
        </w:tc>
        <w:tc>
          <w:tcPr>
            <w:tcW w:w="13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3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1360" w:type="dxa"/>
            <w:vAlign w:val="bottom"/>
            <w:tcBorders>
              <w:bottom w:val="single" w:sz="8" w:color="auto"/>
            </w:tcBorders>
            <w:shd w:val="clear" w:color="auto" w:fill="CCEEFF"/>
          </w:tcPr>
          <w:p>
            <w:pPr>
              <w:jc w:val="right"/>
              <w:ind w:right="1208"/>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3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Amounts reported in the balance sheet for leases where the Company is the lessee as of September 30, 2021 were as follows,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Nine Months</w:t>
            </w:r>
          </w:p>
        </w:tc>
        <w:tc>
          <w:tcPr>
            <w:tcW w:w="0" w:type="dxa"/>
            <w:vAlign w:val="bottom"/>
          </w:tcPr>
          <w:p>
            <w:pPr>
              <w:spacing w:after="0"/>
              <w:rPr>
                <w:sz w:val="1"/>
                <w:szCs w:val="1"/>
                <w:color w:val="auto"/>
              </w:rPr>
            </w:pPr>
          </w:p>
        </w:tc>
      </w:tr>
      <w:tr>
        <w:trPr>
          <w:trHeight w:val="148"/>
        </w:trPr>
        <w:tc>
          <w:tcPr>
            <w:tcW w:w="8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8760" w:type="dxa"/>
            <w:vAlign w:val="bottom"/>
            <w:vMerge w:val="restart"/>
          </w:tcPr>
          <w:p>
            <w:pPr>
              <w:spacing w:after="0"/>
              <w:rPr>
                <w:sz w:val="20"/>
                <w:szCs w:val="20"/>
                <w:color w:val="auto"/>
              </w:rPr>
            </w:pPr>
            <w:r>
              <w:rPr>
                <w:rFonts w:ascii="Arial" w:cs="Arial" w:eastAsia="Arial" w:hAnsi="Arial"/>
                <w:sz w:val="14"/>
                <w:szCs w:val="14"/>
                <w:b w:val="1"/>
                <w:bCs w:val="1"/>
                <w:color w:val="auto"/>
              </w:rPr>
              <w:t>Operating Leases:</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876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center"/>
              <w:ind w:right="316"/>
              <w:spacing w:after="0"/>
              <w:rPr>
                <w:sz w:val="20"/>
                <w:szCs w:val="20"/>
                <w:color w:val="auto"/>
              </w:rPr>
            </w:pPr>
            <w:r>
              <w:rPr>
                <w:rFonts w:ascii="Arial" w:cs="Arial" w:eastAsia="Arial" w:hAnsi="Arial"/>
                <w:sz w:val="14"/>
                <w:szCs w:val="14"/>
                <w:b w:val="1"/>
                <w:bCs w:val="1"/>
                <w:color w:val="auto"/>
                <w:w w:val="96"/>
              </w:rPr>
              <w:t>2021</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operating leases</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10,410</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current</w:t>
            </w:r>
          </w:p>
        </w:tc>
        <w:tc>
          <w:tcPr>
            <w:tcW w:w="56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lease liabilities, non-current</w:t>
            </w:r>
          </w:p>
        </w:tc>
        <w:tc>
          <w:tcPr>
            <w:tcW w:w="1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10,667</w:t>
            </w:r>
          </w:p>
        </w:tc>
        <w:tc>
          <w:tcPr>
            <w:tcW w:w="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11,212</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6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404"/>
        </w:trPr>
        <w:tc>
          <w:tcPr>
            <w:tcW w:w="8760" w:type="dxa"/>
            <w:vAlign w:val="bottom"/>
          </w:tcPr>
          <w:p>
            <w:pPr>
              <w:ind w:left="680"/>
              <w:spacing w:after="0"/>
              <w:rPr>
                <w:sz w:val="20"/>
                <w:szCs w:val="20"/>
                <w:color w:val="auto"/>
              </w:rPr>
            </w:pPr>
            <w:r>
              <w:rPr>
                <w:rFonts w:ascii="Arial" w:cs="Arial" w:eastAsia="Arial" w:hAnsi="Arial"/>
                <w:sz w:val="18"/>
                <w:szCs w:val="18"/>
                <w:color w:val="auto"/>
                <w:w w:val="91"/>
              </w:rPr>
              <w:t>Other information related to leases for the nine months ended September 30, 2021 is as follows, in thousands:</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6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1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56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30"/>
        </w:trPr>
        <w:tc>
          <w:tcPr>
            <w:tcW w:w="8760" w:type="dxa"/>
            <w:vAlign w:val="bottom"/>
          </w:tcPr>
          <w:p>
            <w:pPr>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10,314</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540" w:firstLine="679"/>
        <w:spacing w:after="0" w:line="277" w:lineRule="auto"/>
        <w:rPr>
          <w:sz w:val="20"/>
          <w:szCs w:val="20"/>
          <w:color w:val="auto"/>
        </w:rPr>
      </w:pPr>
      <w:r>
        <w:rPr>
          <w:rFonts w:ascii="Arial" w:cs="Arial" w:eastAsia="Arial" w:hAnsi="Arial"/>
          <w:sz w:val="18"/>
          <w:szCs w:val="18"/>
          <w:color w:val="auto"/>
        </w:rPr>
        <w:t>Future minimum lease payments, net of reimbursements, remaining as of September 30, 2021 under operating leases by fiscal year were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20" w:type="dxa"/>
            <w:vAlign w:val="bottom"/>
          </w:tcPr>
          <w:p>
            <w:pPr>
              <w:spacing w:after="0"/>
              <w:rPr>
                <w:sz w:val="20"/>
                <w:szCs w:val="20"/>
                <w:color w:val="auto"/>
              </w:rPr>
            </w:pPr>
            <w:r>
              <w:rPr>
                <w:rFonts w:ascii="Arial" w:cs="Arial" w:eastAsia="Arial" w:hAnsi="Arial"/>
                <w:sz w:val="14"/>
                <w:szCs w:val="14"/>
                <w:b w:val="1"/>
                <w:bCs w:val="1"/>
                <w:color w:val="auto"/>
              </w:rPr>
              <w:t>Fiscal year</w:t>
            </w:r>
          </w:p>
        </w:tc>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3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72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w:t>
            </w: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2022</w:t>
            </w:r>
          </w:p>
        </w:tc>
        <w:tc>
          <w:tcPr>
            <w:tcW w:w="2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(2,164)</w:t>
            </w:r>
          </w:p>
        </w:tc>
      </w:tr>
      <w:tr>
        <w:trPr>
          <w:trHeight w:val="23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8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120" w:type="dxa"/>
            <w:vAlign w:val="bottom"/>
            <w:shd w:val="clear" w:color="auto" w:fill="CCEEFF"/>
          </w:tcPr>
          <w:p>
            <w:pPr>
              <w:spacing w:after="0"/>
              <w:rPr>
                <w:sz w:val="19"/>
                <w:szCs w:val="19"/>
                <w:color w:val="auto"/>
              </w:rPr>
            </w:pPr>
          </w:p>
        </w:tc>
      </w:tr>
      <w:tr>
        <w:trPr>
          <w:trHeight w:val="229"/>
        </w:trPr>
        <w:tc>
          <w:tcPr>
            <w:tcW w:w="6120" w:type="dxa"/>
            <w:vAlign w:val="bottom"/>
          </w:tcPr>
          <w:p>
            <w:pPr>
              <w:spacing w:after="0"/>
              <w:rPr>
                <w:sz w:val="20"/>
                <w:szCs w:val="20"/>
                <w:color w:val="auto"/>
              </w:rPr>
            </w:pPr>
            <w:r>
              <w:rPr>
                <w:rFonts w:ascii="Arial" w:cs="Arial" w:eastAsia="Arial" w:hAnsi="Arial"/>
                <w:sz w:val="18"/>
                <w:szCs w:val="18"/>
                <w:color w:val="auto"/>
              </w:rPr>
              <w:t>2024</w:t>
            </w:r>
          </w:p>
        </w:tc>
        <w:tc>
          <w:tcPr>
            <w:tcW w:w="2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1,814</w:t>
            </w:r>
          </w:p>
        </w:tc>
        <w:tc>
          <w:tcPr>
            <w:tcW w:w="120" w:type="dxa"/>
            <w:vAlign w:val="bottom"/>
          </w:tcPr>
          <w:p>
            <w:pPr>
              <w:spacing w:after="0"/>
              <w:rPr>
                <w:sz w:val="19"/>
                <w:szCs w:val="19"/>
                <w:color w:val="auto"/>
              </w:rPr>
            </w:pPr>
          </w:p>
        </w:tc>
      </w:tr>
      <w:tr>
        <w:trPr>
          <w:trHeight w:val="23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8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20" w:type="dxa"/>
            <w:vAlign w:val="bottom"/>
            <w:shd w:val="clear" w:color="auto" w:fill="CCEEFF"/>
          </w:tcPr>
          <w:p>
            <w:pPr>
              <w:spacing w:after="0"/>
              <w:rPr>
                <w:sz w:val="19"/>
                <w:szCs w:val="19"/>
                <w:color w:val="auto"/>
              </w:rPr>
            </w:pPr>
          </w:p>
        </w:tc>
      </w:tr>
      <w:tr>
        <w:trPr>
          <w:trHeight w:val="230"/>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86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13,402</w:t>
            </w:r>
          </w:p>
        </w:tc>
        <w:tc>
          <w:tcPr>
            <w:tcW w:w="120" w:type="dxa"/>
            <w:vAlign w:val="bottom"/>
            <w:tcBorders>
              <w:bottom w:val="single" w:sz="8" w:color="CCEEFF"/>
            </w:tcBorders>
          </w:tcPr>
          <w:p>
            <w:pPr>
              <w:spacing w:after="0"/>
              <w:rPr>
                <w:sz w:val="19"/>
                <w:szCs w:val="19"/>
                <w:color w:val="auto"/>
              </w:rPr>
            </w:pPr>
          </w:p>
        </w:tc>
      </w:tr>
      <w:tr>
        <w:trPr>
          <w:trHeight w:val="223"/>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8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16,490</w:t>
            </w:r>
          </w:p>
        </w:tc>
        <w:tc>
          <w:tcPr>
            <w:tcW w:w="120" w:type="dxa"/>
            <w:vAlign w:val="bottom"/>
            <w:shd w:val="clear" w:color="auto" w:fill="CCEEFF"/>
          </w:tcPr>
          <w:p>
            <w:pPr>
              <w:spacing w:after="0"/>
              <w:rPr>
                <w:sz w:val="19"/>
                <w:szCs w:val="19"/>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Less: Amounts representing imputed interest</w:t>
            </w:r>
          </w:p>
        </w:tc>
        <w:tc>
          <w:tcPr>
            <w:tcW w:w="2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(5,278)</w:t>
            </w:r>
          </w:p>
        </w:tc>
      </w:tr>
      <w:tr>
        <w:trPr>
          <w:trHeight w:val="223"/>
        </w:trPr>
        <w:tc>
          <w:tcPr>
            <w:tcW w:w="6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286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679"/>
        <w:spacing w:after="0" w:line="277" w:lineRule="auto"/>
        <w:rPr>
          <w:sz w:val="20"/>
          <w:szCs w:val="20"/>
          <w:color w:val="auto"/>
        </w:rPr>
      </w:pPr>
      <w:r>
        <w:rPr>
          <w:rFonts w:ascii="Arial" w:cs="Arial" w:eastAsia="Arial" w:hAnsi="Arial"/>
          <w:sz w:val="18"/>
          <w:szCs w:val="18"/>
          <w:color w:val="auto"/>
        </w:rPr>
        <w:t>Rent expense recorded during the three months ended September 30, 2021 and 2020 was $511 and $118, respectively. Rent expense recorded during the nine months ended September 30, 2021 and 2020 was $1,180 and $444, respectively.</w:t>
      </w:r>
    </w:p>
    <w:p>
      <w:pPr>
        <w:spacing w:after="0" w:line="76" w:lineRule="exact"/>
        <w:rPr>
          <w:sz w:val="20"/>
          <w:szCs w:val="20"/>
          <w:color w:val="auto"/>
        </w:rPr>
      </w:pPr>
    </w:p>
    <w:p>
      <w:pPr>
        <w:ind w:right="40" w:firstLine="679"/>
        <w:spacing w:after="0" w:line="259" w:lineRule="auto"/>
        <w:rPr>
          <w:sz w:val="20"/>
          <w:szCs w:val="20"/>
          <w:color w:val="auto"/>
        </w:rPr>
      </w:pPr>
      <w:r>
        <w:rPr>
          <w:rFonts w:ascii="Arial" w:cs="Arial" w:eastAsia="Arial" w:hAnsi="Arial"/>
          <w:sz w:val="18"/>
          <w:szCs w:val="18"/>
          <w:color w:val="auto"/>
        </w:rPr>
        <w:t>The company currently subleases the office space at 420 Bedford Street in Lexington, MA to another company. This sublease agreement expires in August, 2023. In April 2021, the company entered into a sublease agreement with the previous tenants of the office space at One Research Way in Princeton, NJ, to begin April 2021 and end July 2021. As of September 30, 2021, sublease income for the Company was $29 and $89 for the three and nine months ended, respectively.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ind w:left="68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160" w:firstLine="679"/>
        <w:spacing w:after="0" w:line="308" w:lineRule="auto"/>
        <w:rPr>
          <w:sz w:val="20"/>
          <w:szCs w:val="20"/>
          <w:color w:val="auto"/>
        </w:rPr>
      </w:pPr>
      <w:r>
        <w:rPr>
          <w:rFonts w:ascii="Arial" w:cs="Arial" w:eastAsia="Arial" w:hAnsi="Arial"/>
          <w:sz w:val="17"/>
          <w:szCs w:val="17"/>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At September 30, 2021, there were no purchase commitments with third-party suppliers.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Stockholders’ Equity</w:t>
      </w:r>
    </w:p>
    <w:p>
      <w:pPr>
        <w:spacing w:after="0" w:line="117" w:lineRule="exact"/>
        <w:rPr>
          <w:sz w:val="20"/>
          <w:szCs w:val="20"/>
          <w:color w:val="auto"/>
        </w:rPr>
      </w:pPr>
    </w:p>
    <w:p>
      <w:pPr>
        <w:ind w:right="120" w:firstLine="679"/>
        <w:spacing w:after="0" w:line="286" w:lineRule="auto"/>
        <w:rPr>
          <w:sz w:val="20"/>
          <w:szCs w:val="20"/>
          <w:color w:val="auto"/>
        </w:rPr>
      </w:pPr>
      <w:r>
        <w:rPr>
          <w:rFonts w:ascii="Arial" w:cs="Arial" w:eastAsia="Arial" w:hAnsi="Arial"/>
          <w:sz w:val="17"/>
          <w:szCs w:val="17"/>
          <w:color w:val="auto"/>
        </w:rPr>
        <w:t>The Company is authorized to issue up to 1,000,000,000 shares of common stock with a par value of $0.00001 per share and 5,000,000 shares of preferred stock with a par value of $0.00001 per share. At September 30, 2021 and December 31, 2020, there were 45,352,207 and 44,777,818 shares of common stock issued and outstanding, respectively, and no shares of preferred stock issued and outstanding.</w:t>
      </w:r>
    </w:p>
    <w:p>
      <w:pPr>
        <w:spacing w:after="0" w:line="57" w:lineRule="exact"/>
        <w:rPr>
          <w:sz w:val="20"/>
          <w:szCs w:val="20"/>
          <w:color w:val="auto"/>
        </w:rPr>
      </w:pPr>
    </w:p>
    <w:p>
      <w:pPr>
        <w:ind w:right="560" w:firstLine="679"/>
        <w:spacing w:after="0" w:line="277" w:lineRule="auto"/>
        <w:rPr>
          <w:sz w:val="20"/>
          <w:szCs w:val="20"/>
          <w:color w:val="auto"/>
        </w:rPr>
      </w:pPr>
      <w:r>
        <w:rPr>
          <w:rFonts w:ascii="Arial" w:cs="Arial" w:eastAsia="Arial" w:hAnsi="Arial"/>
          <w:sz w:val="18"/>
          <w:szCs w:val="18"/>
          <w:color w:val="auto"/>
        </w:rPr>
        <w:t>Common stockholders are entitled to receive dividends if and when declared by the board of directors subject to the rights of any preferred stockholders. As of September 30, 2021, no dividends on common stock had been declared by the Company.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Stock Plan</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17" w:lineRule="exact"/>
        <w:rPr>
          <w:sz w:val="20"/>
          <w:szCs w:val="20"/>
          <w:color w:val="auto"/>
        </w:rPr>
      </w:pPr>
    </w:p>
    <w:p>
      <w:pPr>
        <w:ind w:firstLine="679"/>
        <w:spacing w:after="0" w:line="270" w:lineRule="auto"/>
        <w:rPr>
          <w:sz w:val="20"/>
          <w:szCs w:val="20"/>
          <w:color w:val="auto"/>
        </w:rPr>
      </w:pPr>
      <w:r>
        <w:rPr>
          <w:rFonts w:ascii="Arial" w:cs="Arial" w:eastAsia="Arial" w:hAnsi="Arial"/>
          <w:sz w:val="17"/>
          <w:szCs w:val="17"/>
          <w:color w:val="auto"/>
        </w:rPr>
        <w:t>The 2020 Equity Incentive Plan (the “2020 Plan”) was approved by the board of directors on September 24, 2020. The 2020 Plan provides for the grant of incentive stock options, non-qualified stock options, stock appreciation rights, restricted stock units, restricted stock awards, unrestricted stock awards, cash-based awards and dividend equivalent rights to the Company’s officers, employees, directors and consultants. The number of shares of common stock initially reserved for issuance under the 2020 Plan is 4,406,374, which shall be increased, upon approval by the board of directors, on January 1, 2021 and each January 1 thereafter, in an amount equal to the least of (i) 4,406,374 shares of common stock, (ii) five percent (5%) of the outstanding common stock on the immediately preceding December 31, or (iii) such number of common stock determined by the board of directors no later than the immediately preceding December 31. For 2021, the board of directors exercised its discretion under clause (iii) to increase the number of shares of common stock reserved for issuance under the 2020 Plan by a lesser amount of 1,343,334 shares, effective as of January 1, 2021. As of September 30, 2021, there were 3,699,920 shares available for issuance under the 2020 Plan.</w:t>
      </w:r>
    </w:p>
    <w:p>
      <w:pPr>
        <w:spacing w:after="0" w:line="289"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17" w:lineRule="exact"/>
        <w:rPr>
          <w:sz w:val="20"/>
          <w:szCs w:val="20"/>
          <w:color w:val="auto"/>
        </w:rPr>
      </w:pPr>
    </w:p>
    <w:p>
      <w:pPr>
        <w:ind w:right="40" w:firstLine="679"/>
        <w:spacing w:after="0" w:line="291" w:lineRule="auto"/>
        <w:rPr>
          <w:sz w:val="20"/>
          <w:szCs w:val="20"/>
          <w:color w:val="auto"/>
        </w:rPr>
      </w:pPr>
      <w:r>
        <w:rPr>
          <w:rFonts w:ascii="Arial" w:cs="Arial" w:eastAsia="Arial" w:hAnsi="Arial"/>
          <w:sz w:val="16"/>
          <w:szCs w:val="16"/>
          <w:color w:val="auto"/>
        </w:rPr>
        <w:t>The 2020 Employee Stock Purchase Plan (the “2020 ESPP”) was approved by the board of directors on September 24, 2020. A total of 400,572 shares of common stock were initially reserved for issuance under this plan, which shall be increased, upon approval by the board of directors, on January 1, 2021 and each January 1 thereafter, to the lesser of (i) 801,504 shares of common stock, (ii) 1% of the outstanding shares of common stock on the last day of the immediately preceding fiscal year, or (iii) an amount determined by the board of directors or any of its committees no later than the last day of the immediately preceding fiscal year. For 2021, the 2020 ESPP reserved shares were increased under clause (ii) by 447,778 shares, effective as of January 1, 2021. On May 20, 2021, employees exercised their right to purchase 36,586 shares under the 2020 ESPP. As of September 30, 2021, 36,586 shares are issued or outstanding, and there were 811,944 shares available for issuance, under the 2020 ESPP.</w:t>
      </w:r>
    </w:p>
    <w:p>
      <w:pPr>
        <w:spacing w:after="0" w:line="274"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2013 Equity Incentive Plan</w:t>
      </w:r>
    </w:p>
    <w:p>
      <w:pPr>
        <w:spacing w:after="0" w:line="117" w:lineRule="exact"/>
        <w:rPr>
          <w:sz w:val="20"/>
          <w:szCs w:val="20"/>
          <w:color w:val="auto"/>
        </w:rPr>
      </w:pPr>
    </w:p>
    <w:p>
      <w:pPr>
        <w:ind w:right="160" w:firstLine="679"/>
        <w:spacing w:after="0" w:line="259" w:lineRule="auto"/>
        <w:rPr>
          <w:sz w:val="20"/>
          <w:szCs w:val="20"/>
          <w:color w:val="auto"/>
        </w:rPr>
      </w:pPr>
      <w:r>
        <w:rPr>
          <w:rFonts w:ascii="Arial" w:cs="Arial" w:eastAsia="Arial" w:hAnsi="Arial"/>
          <w:sz w:val="18"/>
          <w:szCs w:val="18"/>
          <w:color w:val="auto"/>
        </w:rPr>
        <w:t>In 2013, the Company adopted the 2013 Stock Plan (the “2013 Plan”). On September 24, 2020, this plan was replaced by the 2020 Plan, and future issuances of incentive instruments will be governed by that plan. Subject to the provisions of the 2020 Plan, the Company had the option to either forfeit or repurchase remaining shares under the 2013 Equity Incentive Plan on or after the registration date. The Company chose to forfeit the remaining shares.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ind w:left="68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table summarizes option activity for the nine-month period ended September 30, 2021:</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Options Outstanding</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4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left="5"/>
              <w:spacing w:after="0" w:line="147" w:lineRule="exact"/>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r>
      <w:tr>
        <w:trPr>
          <w:trHeight w:val="162"/>
        </w:trPr>
        <w:tc>
          <w:tcPr>
            <w:tcW w:w="4700" w:type="dxa"/>
            <w:vAlign w:val="bottom"/>
          </w:tcPr>
          <w:p>
            <w:pPr>
              <w:spacing w:after="0"/>
              <w:rPr>
                <w:sz w:val="14"/>
                <w:szCs w:val="14"/>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17"/>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4"/>
                <w:szCs w:val="14"/>
                <w:color w:val="auto"/>
              </w:rPr>
            </w:pPr>
          </w:p>
        </w:tc>
        <w:tc>
          <w:tcPr>
            <w:tcW w:w="1640" w:type="dxa"/>
            <w:vAlign w:val="bottom"/>
            <w:gridSpan w:val="2"/>
          </w:tcPr>
          <w:p>
            <w:pPr>
              <w:jc w:val="center"/>
              <w:ind w:left="5"/>
              <w:spacing w:after="0"/>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Intrinsic</w:t>
            </w:r>
          </w:p>
        </w:tc>
      </w:tr>
      <w:tr>
        <w:trPr>
          <w:trHeight w:val="162"/>
        </w:trPr>
        <w:tc>
          <w:tcPr>
            <w:tcW w:w="4700" w:type="dxa"/>
            <w:vAlign w:val="bottom"/>
          </w:tcPr>
          <w:p>
            <w:pPr>
              <w:spacing w:after="0"/>
              <w:rPr>
                <w:sz w:val="14"/>
                <w:szCs w:val="14"/>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Available</w:t>
            </w:r>
          </w:p>
        </w:tc>
        <w:tc>
          <w:tcPr>
            <w:tcW w:w="14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Exercise</w:t>
            </w:r>
          </w:p>
        </w:tc>
        <w:tc>
          <w:tcPr>
            <w:tcW w:w="120" w:type="dxa"/>
            <w:vAlign w:val="bottom"/>
          </w:tcPr>
          <w:p>
            <w:pPr>
              <w:spacing w:after="0"/>
              <w:rPr>
                <w:sz w:val="14"/>
                <w:szCs w:val="14"/>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2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r>
      <w:tr>
        <w:trPr>
          <w:trHeight w:val="171"/>
        </w:trPr>
        <w:tc>
          <w:tcPr>
            <w:tcW w:w="4700" w:type="dxa"/>
            <w:vAlign w:val="bottom"/>
          </w:tcPr>
          <w:p>
            <w:pPr>
              <w:spacing w:after="0"/>
              <w:rPr>
                <w:sz w:val="14"/>
                <w:szCs w:val="14"/>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for Grant</w:t>
            </w:r>
          </w:p>
        </w:tc>
        <w:tc>
          <w:tcPr>
            <w:tcW w:w="14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Pr>
          <w:p>
            <w:pPr>
              <w:spacing w:after="0"/>
              <w:rPr>
                <w:sz w:val="14"/>
                <w:szCs w:val="14"/>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6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000s)</w:t>
            </w:r>
          </w:p>
        </w:tc>
      </w:tr>
      <w:tr>
        <w:trPr>
          <w:trHeight w:val="223"/>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Balances, December 31,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4,609,725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4,090,970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385"/>
              <w:spacing w:after="0"/>
              <w:rPr>
                <w:sz w:val="20"/>
                <w:szCs w:val="20"/>
                <w:color w:val="auto"/>
              </w:rPr>
            </w:pPr>
            <w:r>
              <w:rPr>
                <w:rFonts w:ascii="Arial" w:cs="Arial" w:eastAsia="Arial" w:hAnsi="Arial"/>
                <w:sz w:val="18"/>
                <w:szCs w:val="18"/>
                <w:color w:val="auto"/>
              </w:rPr>
              <w:t>7.13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238,792</w:t>
            </w:r>
          </w:p>
        </w:tc>
        <w:tc>
          <w:tcPr>
            <w:tcW w:w="100" w:type="dxa"/>
            <w:vAlign w:val="bottom"/>
            <w:tcBorders>
              <w:top w:val="single" w:sz="8" w:color="CCEEFF"/>
            </w:tcBorders>
            <w:shd w:val="clear" w:color="auto" w:fill="CCEEFF"/>
          </w:tcPr>
          <w:p>
            <w:pPr>
              <w:spacing w:after="0"/>
              <w:rPr>
                <w:sz w:val="19"/>
                <w:szCs w:val="19"/>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Options retired under 2013 Equity Plan</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(237,542)</w:t>
            </w:r>
          </w:p>
        </w:tc>
        <w:tc>
          <w:tcPr>
            <w:tcW w:w="160" w:type="dxa"/>
            <w:vAlign w:val="bottom"/>
          </w:tcPr>
          <w:p>
            <w:pPr>
              <w:spacing w:after="0"/>
              <w:rPr>
                <w:sz w:val="19"/>
                <w:szCs w:val="19"/>
                <w:color w:val="auto"/>
              </w:rPr>
            </w:pPr>
          </w:p>
        </w:tc>
        <w:tc>
          <w:tcPr>
            <w:tcW w:w="14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(715,380)</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715,380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Options forfeited / cancelled</w:t>
            </w:r>
          </w:p>
        </w:tc>
        <w:tc>
          <w:tcPr>
            <w:tcW w:w="1120" w:type="dxa"/>
            <w:vAlign w:val="bottom"/>
          </w:tcPr>
          <w:p>
            <w:pPr>
              <w:jc w:val="right"/>
              <w:spacing w:after="0"/>
              <w:rPr>
                <w:sz w:val="20"/>
                <w:szCs w:val="20"/>
                <w:color w:val="auto"/>
              </w:rPr>
            </w:pPr>
            <w:r>
              <w:rPr>
                <w:rFonts w:ascii="Arial" w:cs="Arial" w:eastAsia="Arial" w:hAnsi="Arial"/>
                <w:sz w:val="18"/>
                <w:szCs w:val="18"/>
                <w:color w:val="auto"/>
              </w:rPr>
              <w:t>43,117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(43,117)</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(537,803)</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3"/>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Balances September 30, 2021</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3,699,920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4,225,430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1640" w:type="dxa"/>
            <w:vAlign w:val="bottom"/>
            <w:tcBorders>
              <w:bottom w:val="single" w:sz="8" w:color="CCEEFF"/>
            </w:tcBorders>
            <w:gridSpan w:val="2"/>
          </w:tcPr>
          <w:p>
            <w:pPr>
              <w:jc w:val="right"/>
              <w:ind w:right="385"/>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94,079</w:t>
            </w:r>
          </w:p>
        </w:tc>
        <w:tc>
          <w:tcPr>
            <w:tcW w:w="100" w:type="dxa"/>
            <w:vAlign w:val="bottom"/>
            <w:tcBorders>
              <w:bottom w:val="single" w:sz="8" w:color="CCEEFF"/>
            </w:tcBorders>
          </w:tcPr>
          <w:p>
            <w:pPr>
              <w:spacing w:after="0"/>
              <w:rPr>
                <w:sz w:val="22"/>
                <w:szCs w:val="22"/>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September 30, 2021</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69"/>
        </w:trPr>
        <w:tc>
          <w:tcPr>
            <w:tcW w:w="4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Vested and expected to vest</w:t>
            </w:r>
          </w:p>
        </w:tc>
        <w:tc>
          <w:tcPr>
            <w:tcW w:w="11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4,225,430</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7.78</w:t>
            </w:r>
          </w:p>
        </w:tc>
        <w:tc>
          <w:tcPr>
            <w:tcW w:w="1640" w:type="dxa"/>
            <w:vAlign w:val="bottom"/>
            <w:tcBorders>
              <w:bottom w:val="single" w:sz="8" w:color="CCEEFF"/>
            </w:tcBorders>
            <w:gridSpan w:val="2"/>
          </w:tcPr>
          <w:p>
            <w:pPr>
              <w:jc w:val="right"/>
              <w:ind w:right="385"/>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94,079</w:t>
            </w:r>
          </w:p>
        </w:tc>
        <w:tc>
          <w:tcPr>
            <w:tcW w:w="100" w:type="dxa"/>
            <w:vAlign w:val="bottom"/>
            <w:tcBorders>
              <w:bottom w:val="single" w:sz="8" w:color="CCEEFF"/>
            </w:tcBorders>
          </w:tcPr>
          <w:p>
            <w:pPr>
              <w:spacing w:after="0"/>
              <w:rPr>
                <w:sz w:val="23"/>
                <w:szCs w:val="23"/>
                <w:color w:val="auto"/>
              </w:rPr>
            </w:pPr>
          </w:p>
        </w:tc>
      </w:tr>
      <w:tr>
        <w:trPr>
          <w:trHeight w:val="210"/>
        </w:trPr>
        <w:tc>
          <w:tcPr>
            <w:tcW w:w="4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Exercisable</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2,574,442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640" w:type="dxa"/>
            <w:vAlign w:val="bottom"/>
            <w:tcBorders>
              <w:bottom w:val="single" w:sz="8" w:color="CCEEFF"/>
            </w:tcBorders>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5.84</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69,247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79"/>
        <w:spacing w:after="0" w:line="277" w:lineRule="auto"/>
        <w:rPr>
          <w:sz w:val="20"/>
          <w:szCs w:val="20"/>
          <w:color w:val="auto"/>
        </w:rPr>
      </w:pPr>
      <w:r>
        <w:rPr>
          <w:rFonts w:ascii="Arial" w:cs="Arial" w:eastAsia="Arial" w:hAnsi="Arial"/>
          <w:sz w:val="18"/>
          <w:szCs w:val="18"/>
          <w:color w:val="auto"/>
        </w:rPr>
        <w:t>At September 30, 2021, the total compensation cost related to nonvested awards not yet recognized is $15,952. The weighted-average period over which the nonvested awards is expected to be recognized is 3.2 years.</w:t>
      </w:r>
    </w:p>
    <w:p>
      <w:pPr>
        <w:spacing w:after="0" w:line="62" w:lineRule="exact"/>
        <w:rPr>
          <w:sz w:val="20"/>
          <w:szCs w:val="20"/>
          <w:color w:val="auto"/>
        </w:rPr>
      </w:pPr>
    </w:p>
    <w:p>
      <w:pPr>
        <w:ind w:right="460" w:firstLine="679"/>
        <w:spacing w:after="0" w:line="342" w:lineRule="auto"/>
        <w:rPr>
          <w:sz w:val="20"/>
          <w:szCs w:val="20"/>
          <w:color w:val="auto"/>
        </w:rPr>
      </w:pPr>
      <w:r>
        <w:rPr>
          <w:rFonts w:ascii="Arial" w:cs="Arial" w:eastAsia="Arial" w:hAnsi="Arial"/>
          <w:sz w:val="16"/>
          <w:szCs w:val="16"/>
          <w:color w:val="auto"/>
        </w:rPr>
        <w:t>The Company estimated the fair value of the options using the Black-Scholes options valuation model. The fair value of the options is being amortized on a straight-line basis over the requisite service period of the awards. The fair value was estimated using the following assumptions: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21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Nine Months Ended</w:t>
            </w:r>
          </w:p>
        </w:tc>
        <w:tc>
          <w:tcPr>
            <w:tcW w:w="340" w:type="dxa"/>
            <w:vAlign w:val="bottom"/>
          </w:tcPr>
          <w:p>
            <w:pPr>
              <w:spacing w:after="0"/>
              <w:rPr>
                <w:sz w:val="14"/>
                <w:szCs w:val="14"/>
                <w:color w:val="auto"/>
              </w:rPr>
            </w:pPr>
          </w:p>
        </w:tc>
        <w:tc>
          <w:tcPr>
            <w:tcW w:w="2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6740" w:type="dxa"/>
            <w:vAlign w:val="bottom"/>
          </w:tcPr>
          <w:p>
            <w:pPr>
              <w:spacing w:after="0"/>
              <w:rPr>
                <w:sz w:val="14"/>
                <w:szCs w:val="14"/>
                <w:color w:val="auto"/>
              </w:rPr>
            </w:pPr>
          </w:p>
        </w:tc>
        <w:tc>
          <w:tcPr>
            <w:tcW w:w="21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Pr>
          <w:p>
            <w:pPr>
              <w:spacing w:after="0"/>
              <w:rPr>
                <w:sz w:val="14"/>
                <w:szCs w:val="14"/>
                <w:color w:val="auto"/>
              </w:rPr>
            </w:pPr>
          </w:p>
        </w:tc>
        <w:tc>
          <w:tcPr>
            <w:tcW w:w="2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6740" w:type="dxa"/>
            <w:vAlign w:val="bottom"/>
          </w:tcPr>
          <w:p>
            <w:pPr>
              <w:spacing w:after="0"/>
              <w:rPr>
                <w:sz w:val="14"/>
                <w:szCs w:val="14"/>
                <w:color w:val="auto"/>
              </w:rPr>
            </w:pPr>
          </w:p>
        </w:tc>
        <w:tc>
          <w:tcPr>
            <w:tcW w:w="1720" w:type="dxa"/>
            <w:vAlign w:val="bottom"/>
          </w:tcPr>
          <w:p>
            <w:pPr>
              <w:jc w:val="center"/>
              <w:ind w:left="278"/>
              <w:spacing w:after="0"/>
              <w:rPr>
                <w:sz w:val="20"/>
                <w:szCs w:val="20"/>
                <w:color w:val="auto"/>
              </w:rPr>
            </w:pPr>
            <w:r>
              <w:rPr>
                <w:rFonts w:ascii="Arial" w:cs="Arial" w:eastAsia="Arial" w:hAnsi="Arial"/>
                <w:sz w:val="14"/>
                <w:szCs w:val="14"/>
                <w:b w:val="1"/>
                <w:bCs w:val="1"/>
                <w:color w:val="auto"/>
                <w:w w:val="89"/>
              </w:rPr>
              <w:t>2021</w:t>
            </w:r>
          </w:p>
        </w:tc>
        <w:tc>
          <w:tcPr>
            <w:tcW w:w="380" w:type="dxa"/>
            <w:vAlign w:val="bottom"/>
          </w:tcPr>
          <w:p>
            <w:pPr>
              <w:spacing w:after="0"/>
              <w:rPr>
                <w:sz w:val="14"/>
                <w:szCs w:val="14"/>
                <w:color w:val="auto"/>
              </w:rPr>
            </w:pPr>
          </w:p>
        </w:tc>
        <w:tc>
          <w:tcPr>
            <w:tcW w:w="2280" w:type="dxa"/>
            <w:vAlign w:val="bottom"/>
            <w:gridSpan w:val="2"/>
          </w:tcPr>
          <w:p>
            <w:pPr>
              <w:jc w:val="center"/>
              <w:ind w:left="235"/>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4"/>
                <w:szCs w:val="14"/>
                <w:color w:val="auto"/>
              </w:rPr>
            </w:pPr>
          </w:p>
        </w:tc>
      </w:tr>
      <w:tr>
        <w:trPr>
          <w:trHeight w:val="223"/>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720" w:type="dxa"/>
            <w:vAlign w:val="bottom"/>
            <w:tcBorders>
              <w:top w:val="single" w:sz="8" w:color="auto"/>
            </w:tcBorders>
            <w:shd w:val="clear" w:color="auto" w:fill="CCEEFF"/>
          </w:tcPr>
          <w:p>
            <w:pPr>
              <w:jc w:val="center"/>
              <w:ind w:left="278"/>
              <w:spacing w:after="0"/>
              <w:rPr>
                <w:sz w:val="20"/>
                <w:szCs w:val="20"/>
                <w:color w:val="auto"/>
              </w:rPr>
            </w:pPr>
            <w:r>
              <w:rPr>
                <w:rFonts w:ascii="Arial" w:cs="Arial" w:eastAsia="Arial" w:hAnsi="Arial"/>
                <w:sz w:val="18"/>
                <w:szCs w:val="18"/>
                <w:color w:val="auto"/>
                <w:w w:val="91"/>
              </w:rPr>
              <w:t>0.35% - 1.22%</w:t>
            </w:r>
          </w:p>
        </w:tc>
        <w:tc>
          <w:tcPr>
            <w:tcW w:w="3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0.31% - 1.51%</w:t>
            </w:r>
          </w:p>
        </w:tc>
        <w:tc>
          <w:tcPr>
            <w:tcW w:w="120" w:type="dxa"/>
            <w:vAlign w:val="bottom"/>
            <w:tcBorders>
              <w:top w:val="single" w:sz="8" w:color="CCEEFF"/>
            </w:tcBorders>
            <w:shd w:val="clear" w:color="auto" w:fill="CCEEFF"/>
          </w:tcPr>
          <w:p>
            <w:pPr>
              <w:spacing w:after="0"/>
              <w:rPr>
                <w:sz w:val="19"/>
                <w:szCs w:val="19"/>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720" w:type="dxa"/>
            <w:vAlign w:val="bottom"/>
          </w:tcPr>
          <w:p>
            <w:pPr>
              <w:jc w:val="center"/>
              <w:ind w:left="298"/>
              <w:spacing w:after="0"/>
              <w:rPr>
                <w:sz w:val="20"/>
                <w:szCs w:val="20"/>
                <w:color w:val="auto"/>
              </w:rPr>
            </w:pPr>
            <w:r>
              <w:rPr>
                <w:rFonts w:ascii="Arial" w:cs="Arial" w:eastAsia="Arial" w:hAnsi="Arial"/>
                <w:sz w:val="18"/>
                <w:szCs w:val="18"/>
                <w:color w:val="auto"/>
                <w:w w:val="90"/>
              </w:rPr>
              <w:t>5.50 - 6.43</w:t>
            </w:r>
          </w:p>
        </w:tc>
        <w:tc>
          <w:tcPr>
            <w:tcW w:w="380" w:type="dxa"/>
            <w:vAlign w:val="bottom"/>
          </w:tcPr>
          <w:p>
            <w:pPr>
              <w:spacing w:after="0"/>
              <w:rPr>
                <w:sz w:val="19"/>
                <w:szCs w:val="19"/>
                <w:color w:val="auto"/>
              </w:rPr>
            </w:pPr>
          </w:p>
        </w:tc>
        <w:tc>
          <w:tcPr>
            <w:tcW w:w="2280" w:type="dxa"/>
            <w:vAlign w:val="bottom"/>
            <w:gridSpan w:val="2"/>
          </w:tcPr>
          <w:p>
            <w:pPr>
              <w:jc w:val="center"/>
              <w:ind w:left="235"/>
              <w:spacing w:after="0"/>
              <w:rPr>
                <w:sz w:val="20"/>
                <w:szCs w:val="20"/>
                <w:color w:val="auto"/>
              </w:rPr>
            </w:pPr>
            <w:r>
              <w:rPr>
                <w:rFonts w:ascii="Arial" w:cs="Arial" w:eastAsia="Arial" w:hAnsi="Arial"/>
                <w:sz w:val="18"/>
                <w:szCs w:val="18"/>
                <w:color w:val="auto"/>
                <w:w w:val="88"/>
              </w:rPr>
              <w:t>4.92 - 6.40</w:t>
            </w:r>
          </w:p>
        </w:tc>
        <w:tc>
          <w:tcPr>
            <w:tcW w:w="120" w:type="dxa"/>
            <w:vAlign w:val="bottom"/>
          </w:tcPr>
          <w:p>
            <w:pPr>
              <w:spacing w:after="0"/>
              <w:rPr>
                <w:sz w:val="19"/>
                <w:szCs w:val="19"/>
                <w:color w:val="auto"/>
              </w:rPr>
            </w:pPr>
          </w:p>
        </w:tc>
      </w:tr>
      <w:tr>
        <w:trPr>
          <w:trHeight w:val="23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720" w:type="dxa"/>
            <w:vAlign w:val="bottom"/>
            <w:shd w:val="clear" w:color="auto" w:fill="CCEEFF"/>
          </w:tcPr>
          <w:p>
            <w:pPr>
              <w:jc w:val="center"/>
              <w:ind w:left="278"/>
              <w:spacing w:after="0"/>
              <w:rPr>
                <w:sz w:val="20"/>
                <w:szCs w:val="20"/>
                <w:color w:val="auto"/>
              </w:rPr>
            </w:pPr>
            <w:r>
              <w:rPr>
                <w:rFonts w:ascii="Arial" w:cs="Arial" w:eastAsia="Arial" w:hAnsi="Arial"/>
                <w:sz w:val="18"/>
                <w:szCs w:val="18"/>
                <w:color w:val="auto"/>
                <w:w w:val="92"/>
              </w:rPr>
              <w:t>0%</w:t>
            </w:r>
          </w:p>
        </w:tc>
        <w:tc>
          <w:tcPr>
            <w:tcW w:w="38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jc w:val="center"/>
              <w:ind w:left="235"/>
              <w:spacing w:after="0"/>
              <w:rPr>
                <w:sz w:val="20"/>
                <w:szCs w:val="20"/>
                <w:color w:val="auto"/>
              </w:rPr>
            </w:pPr>
            <w:r>
              <w:rPr>
                <w:rFonts w:ascii="Arial" w:cs="Arial" w:eastAsia="Arial" w:hAnsi="Arial"/>
                <w:sz w:val="18"/>
                <w:szCs w:val="18"/>
                <w:color w:val="auto"/>
                <w:w w:val="92"/>
              </w:rPr>
              <w:t>0%</w:t>
            </w:r>
          </w:p>
        </w:tc>
        <w:tc>
          <w:tcPr>
            <w:tcW w:w="120" w:type="dxa"/>
            <w:vAlign w:val="bottom"/>
            <w:shd w:val="clear" w:color="auto" w:fill="CCEEFF"/>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Expected volatility</w:t>
            </w:r>
          </w:p>
        </w:tc>
        <w:tc>
          <w:tcPr>
            <w:tcW w:w="1720" w:type="dxa"/>
            <w:vAlign w:val="bottom"/>
          </w:tcPr>
          <w:p>
            <w:pPr>
              <w:jc w:val="center"/>
              <w:ind w:left="298"/>
              <w:spacing w:after="0"/>
              <w:rPr>
                <w:sz w:val="20"/>
                <w:szCs w:val="20"/>
                <w:color w:val="auto"/>
              </w:rPr>
            </w:pPr>
            <w:r>
              <w:rPr>
                <w:rFonts w:ascii="Arial" w:cs="Arial" w:eastAsia="Arial" w:hAnsi="Arial"/>
                <w:sz w:val="18"/>
                <w:szCs w:val="18"/>
                <w:color w:val="auto"/>
                <w:w w:val="90"/>
              </w:rPr>
              <w:t>79.00-79.90%</w:t>
            </w:r>
          </w:p>
        </w:tc>
        <w:tc>
          <w:tcPr>
            <w:tcW w:w="380" w:type="dxa"/>
            <w:vAlign w:val="bottom"/>
          </w:tcPr>
          <w:p>
            <w:pPr>
              <w:spacing w:after="0"/>
              <w:rPr>
                <w:sz w:val="20"/>
                <w:szCs w:val="20"/>
                <w:color w:val="auto"/>
              </w:rPr>
            </w:pPr>
          </w:p>
        </w:tc>
        <w:tc>
          <w:tcPr>
            <w:tcW w:w="2280" w:type="dxa"/>
            <w:vAlign w:val="bottom"/>
            <w:gridSpan w:val="2"/>
          </w:tcPr>
          <w:p>
            <w:pPr>
              <w:jc w:val="center"/>
              <w:ind w:left="235"/>
              <w:spacing w:after="0"/>
              <w:rPr>
                <w:sz w:val="20"/>
                <w:szCs w:val="20"/>
                <w:color w:val="auto"/>
              </w:rPr>
            </w:pPr>
            <w:r>
              <w:rPr>
                <w:rFonts w:ascii="Arial" w:cs="Arial" w:eastAsia="Arial" w:hAnsi="Arial"/>
                <w:sz w:val="18"/>
                <w:szCs w:val="18"/>
                <w:color w:val="auto"/>
                <w:w w:val="89"/>
              </w:rPr>
              <w:t>70.70% - 77.60%</w:t>
            </w:r>
          </w:p>
        </w:tc>
        <w:tc>
          <w:tcPr>
            <w:tcW w:w="120" w:type="dxa"/>
            <w:vAlign w:val="bottom"/>
          </w:tcPr>
          <w:p>
            <w:pPr>
              <w:spacing w:after="0"/>
              <w:rPr>
                <w:sz w:val="20"/>
                <w:szCs w:val="20"/>
                <w:color w:val="auto"/>
              </w:rPr>
            </w:pPr>
          </w:p>
        </w:tc>
      </w:tr>
      <w:tr>
        <w:trPr>
          <w:trHeight w:val="431"/>
        </w:trPr>
        <w:tc>
          <w:tcPr>
            <w:tcW w:w="11240" w:type="dxa"/>
            <w:vAlign w:val="bottom"/>
            <w:gridSpan w:val="6"/>
          </w:tcPr>
          <w:p>
            <w:pPr>
              <w:ind w:left="680"/>
              <w:spacing w:after="0"/>
              <w:rPr>
                <w:sz w:val="20"/>
                <w:szCs w:val="20"/>
                <w:color w:val="auto"/>
              </w:rPr>
            </w:pPr>
            <w:r>
              <w:rPr>
                <w:rFonts w:ascii="Arial" w:cs="Arial" w:eastAsia="Arial" w:hAnsi="Arial"/>
                <w:sz w:val="18"/>
                <w:szCs w:val="18"/>
                <w:color w:val="auto"/>
              </w:rPr>
              <w:t>The weighted average assumptions used to estimate the fair value of stock purchase rights under the ESPP are as follows:</w:t>
            </w:r>
          </w:p>
        </w:tc>
      </w:tr>
      <w:tr>
        <w:trPr>
          <w:trHeight w:val="436"/>
        </w:trPr>
        <w:tc>
          <w:tcPr>
            <w:tcW w:w="6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4"/>
              </w:rPr>
              <w:t>Nine Months Ended</w:t>
            </w:r>
          </w:p>
        </w:tc>
      </w:tr>
      <w:tr>
        <w:trPr>
          <w:trHeight w:val="162"/>
        </w:trPr>
        <w:tc>
          <w:tcPr>
            <w:tcW w:w="6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1"/>
              </w:rPr>
              <w:t>September 30,</w:t>
            </w:r>
          </w:p>
        </w:tc>
      </w:tr>
      <w:tr>
        <w:trPr>
          <w:trHeight w:val="171"/>
        </w:trPr>
        <w:tc>
          <w:tcPr>
            <w:tcW w:w="6740" w:type="dxa"/>
            <w:vAlign w:val="bottom"/>
            <w:tcBorders>
              <w:bottom w:val="single" w:sz="8" w:color="CCEEFF"/>
            </w:tcBorders>
          </w:tcPr>
          <w:p>
            <w:pPr>
              <w:spacing w:after="0"/>
              <w:rPr>
                <w:sz w:val="14"/>
                <w:szCs w:val="14"/>
                <w:color w:val="auto"/>
              </w:rPr>
            </w:pPr>
          </w:p>
        </w:tc>
        <w:tc>
          <w:tcPr>
            <w:tcW w:w="17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2"/>
          </w:tcPr>
          <w:p>
            <w:pPr>
              <w:jc w:val="center"/>
              <w:ind w:right="324"/>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4"/>
                <w:szCs w:val="14"/>
                <w:color w:val="auto"/>
              </w:rPr>
            </w:pPr>
          </w:p>
        </w:tc>
      </w:tr>
      <w:tr>
        <w:trPr>
          <w:trHeight w:val="22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jc w:val="center"/>
              <w:ind w:right="324"/>
              <w:spacing w:after="0"/>
              <w:rPr>
                <w:sz w:val="20"/>
                <w:szCs w:val="20"/>
                <w:color w:val="auto"/>
              </w:rPr>
            </w:pPr>
            <w:r>
              <w:rPr>
                <w:rFonts w:ascii="Arial" w:cs="Arial" w:eastAsia="Arial" w:hAnsi="Arial"/>
                <w:sz w:val="18"/>
                <w:szCs w:val="18"/>
                <w:color w:val="auto"/>
                <w:w w:val="93"/>
              </w:rPr>
              <w:t>0.02%</w:t>
            </w:r>
          </w:p>
        </w:tc>
        <w:tc>
          <w:tcPr>
            <w:tcW w:w="120" w:type="dxa"/>
            <w:vAlign w:val="bottom"/>
            <w:shd w:val="clear" w:color="auto" w:fill="CCEEFF"/>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80" w:type="dxa"/>
            <w:vAlign w:val="bottom"/>
            <w:gridSpan w:val="2"/>
          </w:tcPr>
          <w:p>
            <w:pPr>
              <w:jc w:val="center"/>
              <w:ind w:right="324"/>
              <w:spacing w:after="0"/>
              <w:rPr>
                <w:sz w:val="20"/>
                <w:szCs w:val="20"/>
                <w:color w:val="auto"/>
              </w:rPr>
            </w:pPr>
            <w:r>
              <w:rPr>
                <w:rFonts w:ascii="Arial" w:cs="Arial" w:eastAsia="Arial" w:hAnsi="Arial"/>
                <w:sz w:val="18"/>
                <w:szCs w:val="18"/>
                <w:color w:val="auto"/>
                <w:w w:val="95"/>
              </w:rPr>
              <w:t>0.5</w:t>
            </w:r>
          </w:p>
        </w:tc>
        <w:tc>
          <w:tcPr>
            <w:tcW w:w="120" w:type="dxa"/>
            <w:vAlign w:val="bottom"/>
          </w:tcPr>
          <w:p>
            <w:pPr>
              <w:spacing w:after="0"/>
              <w:rPr>
                <w:sz w:val="19"/>
                <w:szCs w:val="19"/>
                <w:color w:val="auto"/>
              </w:rPr>
            </w:pPr>
          </w:p>
        </w:tc>
      </w:tr>
      <w:tr>
        <w:trPr>
          <w:trHeight w:val="23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jc w:val="center"/>
              <w:ind w:right="324"/>
              <w:spacing w:after="0"/>
              <w:rPr>
                <w:sz w:val="20"/>
                <w:szCs w:val="20"/>
                <w:color w:val="auto"/>
              </w:rPr>
            </w:pPr>
            <w:r>
              <w:rPr>
                <w:rFonts w:ascii="Arial" w:cs="Arial" w:eastAsia="Arial" w:hAnsi="Arial"/>
                <w:sz w:val="18"/>
                <w:szCs w:val="18"/>
                <w:color w:val="auto"/>
                <w:w w:val="92"/>
              </w:rPr>
              <w:t>0%</w:t>
            </w:r>
          </w:p>
        </w:tc>
        <w:tc>
          <w:tcPr>
            <w:tcW w:w="120" w:type="dxa"/>
            <w:vAlign w:val="bottom"/>
            <w:shd w:val="clear" w:color="auto" w:fill="CCEEFF"/>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Expected volatility</w:t>
            </w:r>
          </w:p>
        </w:tc>
        <w:tc>
          <w:tcPr>
            <w:tcW w:w="1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80" w:type="dxa"/>
            <w:vAlign w:val="bottom"/>
            <w:gridSpan w:val="2"/>
          </w:tcPr>
          <w:p>
            <w:pPr>
              <w:jc w:val="center"/>
              <w:ind w:right="324"/>
              <w:spacing w:after="0"/>
              <w:rPr>
                <w:sz w:val="20"/>
                <w:szCs w:val="20"/>
                <w:color w:val="auto"/>
              </w:rPr>
            </w:pPr>
            <w:r>
              <w:rPr>
                <w:rFonts w:ascii="Arial" w:cs="Arial" w:eastAsia="Arial" w:hAnsi="Arial"/>
                <w:sz w:val="18"/>
                <w:szCs w:val="18"/>
                <w:color w:val="auto"/>
                <w:w w:val="91"/>
              </w:rPr>
              <w:t>79.00%</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ind w:right="180" w:firstLine="688"/>
        <w:spacing w:after="0" w:line="277" w:lineRule="auto"/>
        <w:rPr>
          <w:sz w:val="20"/>
          <w:szCs w:val="20"/>
          <w:color w:val="auto"/>
        </w:rPr>
      </w:pPr>
      <w:r>
        <w:rPr>
          <w:rFonts w:ascii="Arial" w:cs="Arial" w:eastAsia="Arial" w:hAnsi="Arial"/>
          <w:sz w:val="18"/>
          <w:szCs w:val="18"/>
          <w:color w:val="auto"/>
        </w:rPr>
        <w:t>Expected Term: The Company uses the simplified method to calculate expected term described in the SEC’s Staff Accounting Bulletin No. 107, which takes into account vesting term and expiration date of the options.</w:t>
      </w:r>
    </w:p>
    <w:p>
      <w:pPr>
        <w:spacing w:after="0" w:line="62" w:lineRule="exact"/>
        <w:rPr>
          <w:sz w:val="20"/>
          <w:szCs w:val="20"/>
          <w:color w:val="auto"/>
        </w:rPr>
      </w:pPr>
    </w:p>
    <w:p>
      <w:pPr>
        <w:ind w:left="680"/>
        <w:spacing w:after="0"/>
        <w:rPr>
          <w:sz w:val="20"/>
          <w:szCs w:val="20"/>
          <w:color w:val="auto"/>
        </w:rPr>
      </w:pPr>
      <w:r>
        <w:rPr>
          <w:rFonts w:ascii="Arial" w:cs="Arial" w:eastAsia="Arial" w:hAnsi="Arial"/>
          <w:sz w:val="17"/>
          <w:szCs w:val="17"/>
          <w:color w:val="auto"/>
        </w:rPr>
        <w:t>Volatility: Volatility is based on an average of the historical volatilities of comparable publicly traded companies for the expected term.</w:t>
      </w:r>
    </w:p>
    <w:p>
      <w:pPr>
        <w:spacing w:after="0" w:line="129" w:lineRule="exact"/>
        <w:rPr>
          <w:sz w:val="20"/>
          <w:szCs w:val="20"/>
          <w:color w:val="auto"/>
        </w:rPr>
      </w:pPr>
    </w:p>
    <w:p>
      <w:pPr>
        <w:ind w:right="340" w:firstLine="679"/>
        <w:spacing w:after="0" w:line="277" w:lineRule="auto"/>
        <w:rPr>
          <w:sz w:val="20"/>
          <w:szCs w:val="20"/>
          <w:color w:val="auto"/>
        </w:rPr>
      </w:pPr>
      <w:r>
        <w:rPr>
          <w:rFonts w:ascii="Arial" w:cs="Arial" w:eastAsia="Arial" w:hAnsi="Arial"/>
          <w:sz w:val="18"/>
          <w:szCs w:val="18"/>
          <w:color w:val="auto"/>
        </w:rPr>
        <w:t>Risk Free Interest Rate: The risk-free rate is based on the U.S. Treasury yields in effect at the time of grant for periods corresponding with the expected term of the option.</w:t>
      </w:r>
    </w:p>
    <w:p>
      <w:pPr>
        <w:spacing w:after="0" w:line="62" w:lineRule="exact"/>
        <w:rPr>
          <w:sz w:val="20"/>
          <w:szCs w:val="20"/>
          <w:color w:val="auto"/>
        </w:rPr>
      </w:pPr>
    </w:p>
    <w:p>
      <w:pPr>
        <w:ind w:right="240" w:firstLine="679"/>
        <w:spacing w:after="0" w:line="277" w:lineRule="auto"/>
        <w:rPr>
          <w:sz w:val="20"/>
          <w:szCs w:val="20"/>
          <w:color w:val="auto"/>
        </w:rPr>
      </w:pPr>
      <w:r>
        <w:rPr>
          <w:rFonts w:ascii="Arial" w:cs="Arial" w:eastAsia="Arial" w:hAnsi="Arial"/>
          <w:sz w:val="18"/>
          <w:szCs w:val="18"/>
          <w:color w:val="auto"/>
        </w:rPr>
        <w:t>Dividend Yield: The Company has never declared or paid any cash dividends and does not plan to pay cash dividends in the foreseeable future, and therefore, used an expected dividend yield of zero in the valuation model.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ind w:right="420" w:firstLine="679"/>
        <w:spacing w:after="0" w:line="277" w:lineRule="auto"/>
        <w:rPr>
          <w:sz w:val="20"/>
          <w:szCs w:val="20"/>
          <w:color w:val="auto"/>
        </w:rPr>
      </w:pPr>
      <w:r>
        <w:rPr>
          <w:rFonts w:ascii="Arial" w:cs="Arial" w:eastAsia="Arial" w:hAnsi="Arial"/>
          <w:sz w:val="18"/>
          <w:szCs w:val="18"/>
          <w:color w:val="auto"/>
        </w:rPr>
        <w:t>Stock-based compensation expense recorded under ASC 718 related to stock options granted was allocated to research and development and general and administrative expense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For the Three</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1"/>
              </w:rPr>
              <w:t>For the Nine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Months Ended</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1"/>
              </w:rPr>
              <w:t>Months Ended</w:t>
            </w:r>
          </w:p>
        </w:tc>
      </w:tr>
      <w:tr>
        <w:trPr>
          <w:trHeight w:val="218"/>
        </w:trPr>
        <w:tc>
          <w:tcPr>
            <w:tcW w:w="5840" w:type="dxa"/>
            <w:vAlign w:val="bottom"/>
          </w:tcPr>
          <w:p>
            <w:pPr>
              <w:spacing w:after="0"/>
              <w:rPr>
                <w:sz w:val="18"/>
                <w:szCs w:val="18"/>
                <w:color w:val="auto"/>
              </w:rPr>
            </w:pPr>
          </w:p>
        </w:tc>
        <w:tc>
          <w:tcPr>
            <w:tcW w:w="138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September 30,</w:t>
            </w:r>
          </w:p>
        </w:tc>
        <w:tc>
          <w:tcPr>
            <w:tcW w:w="240" w:type="dxa"/>
            <w:vAlign w:val="bottom"/>
          </w:tcPr>
          <w:p>
            <w:pPr>
              <w:spacing w:after="0"/>
              <w:rPr>
                <w:sz w:val="18"/>
                <w:szCs w:val="18"/>
                <w:color w:val="auto"/>
              </w:rPr>
            </w:pP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September 30,</w:t>
            </w:r>
          </w:p>
        </w:tc>
        <w:tc>
          <w:tcPr>
            <w:tcW w:w="100" w:type="dxa"/>
            <w:vAlign w:val="bottom"/>
          </w:tcPr>
          <w:p>
            <w:pPr>
              <w:spacing w:after="0"/>
              <w:rPr>
                <w:sz w:val="18"/>
                <w:szCs w:val="18"/>
                <w:color w:val="auto"/>
              </w:rPr>
            </w:pPr>
          </w:p>
        </w:tc>
      </w:tr>
      <w:tr>
        <w:trPr>
          <w:trHeight w:val="234"/>
        </w:trPr>
        <w:tc>
          <w:tcPr>
            <w:tcW w:w="58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20"/>
                <w:szCs w:val="20"/>
                <w:color w:val="auto"/>
              </w:rPr>
            </w:pPr>
          </w:p>
        </w:tc>
      </w:tr>
      <w:tr>
        <w:trPr>
          <w:trHeight w:val="223"/>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288</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9"/>
                <w:szCs w:val="19"/>
                <w:color w:val="auto"/>
              </w:rPr>
            </w:pPr>
          </w:p>
        </w:tc>
      </w:tr>
      <w:tr>
        <w:trPr>
          <w:trHeight w:val="229"/>
        </w:trPr>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2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382</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w:t>
            </w:r>
          </w:p>
        </w:tc>
        <w:tc>
          <w:tcPr>
            <w:tcW w:w="2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tcPr>
          <w:p>
            <w:pPr>
              <w:spacing w:after="0"/>
              <w:rPr>
                <w:sz w:val="19"/>
                <w:szCs w:val="19"/>
                <w:color w:val="auto"/>
              </w:rPr>
            </w:pPr>
          </w:p>
        </w:tc>
      </w:tr>
      <w:tr>
        <w:trPr>
          <w:trHeight w:val="223"/>
        </w:trPr>
        <w:tc>
          <w:tcPr>
            <w:tcW w:w="5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stock-based compensation</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670</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3,573</w:t>
            </w:r>
          </w:p>
        </w:tc>
        <w:tc>
          <w:tcPr>
            <w:tcW w:w="2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Income Taxes</w:t>
      </w:r>
    </w:p>
    <w:p>
      <w:pPr>
        <w:spacing w:after="0" w:line="117" w:lineRule="exact"/>
        <w:rPr>
          <w:sz w:val="20"/>
          <w:szCs w:val="20"/>
          <w:color w:val="auto"/>
        </w:rPr>
      </w:pPr>
    </w:p>
    <w:p>
      <w:pPr>
        <w:ind w:right="100" w:firstLine="679"/>
        <w:spacing w:after="0" w:line="263" w:lineRule="auto"/>
        <w:rPr>
          <w:sz w:val="20"/>
          <w:szCs w:val="20"/>
          <w:color w:val="auto"/>
        </w:rPr>
      </w:pPr>
      <w:r>
        <w:rPr>
          <w:rFonts w:ascii="Arial" w:cs="Arial" w:eastAsia="Arial" w:hAnsi="Arial"/>
          <w:sz w:val="18"/>
          <w:szCs w:val="18"/>
          <w:color w:val="auto"/>
        </w:rPr>
        <w:t>During the three months ended September 30, 2021 and 2020 and the nine months ended September 30, 2021 and 2020, the Company recorded a full valuation allowance on federal and state deferred tax assets since management does not forecast the Company to be in a taxable position in the near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Net Loss per Share</w:t>
      </w:r>
    </w:p>
    <w:p>
      <w:pPr>
        <w:spacing w:after="0" w:line="131" w:lineRule="exact"/>
        <w:rPr>
          <w:sz w:val="20"/>
          <w:szCs w:val="20"/>
          <w:color w:val="auto"/>
        </w:rPr>
      </w:pPr>
    </w:p>
    <w:p>
      <w:pPr>
        <w:ind w:right="220" w:firstLine="679"/>
        <w:spacing w:after="0" w:line="263" w:lineRule="auto"/>
        <w:rPr>
          <w:sz w:val="20"/>
          <w:szCs w:val="20"/>
          <w:color w:val="auto"/>
        </w:rPr>
      </w:pPr>
      <w:r>
        <w:rPr>
          <w:rFonts w:ascii="Arial" w:cs="Arial" w:eastAsia="Arial" w:hAnsi="Arial"/>
          <w:sz w:val="18"/>
          <w:szCs w:val="18"/>
          <w:color w:val="auto"/>
        </w:rPr>
        <w:t>The Company’s convertible preferred stock does not participate in losses. The Company excluded all outstanding stock options and restricted stock awards at each period end from the computation of diluted net loss per share attributable to common stockholders for the periods indicated because including them would have had an anti-dilutive effect.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6"/>
              </w:rPr>
              <w:t>For the Three</w:t>
            </w:r>
          </w:p>
        </w:tc>
        <w:tc>
          <w:tcPr>
            <w:tcW w:w="100" w:type="dxa"/>
            <w:vAlign w:val="bottom"/>
          </w:tcPr>
          <w:p>
            <w:pPr>
              <w:spacing w:after="0"/>
              <w:rPr>
                <w:sz w:val="14"/>
                <w:szCs w:val="14"/>
                <w:color w:val="auto"/>
              </w:rPr>
            </w:pPr>
          </w:p>
        </w:tc>
        <w:tc>
          <w:tcPr>
            <w:tcW w:w="25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5"/>
              </w:rPr>
              <w:t>For the Nine</w:t>
            </w:r>
          </w:p>
        </w:tc>
      </w:tr>
      <w:tr>
        <w:trPr>
          <w:trHeight w:val="171"/>
        </w:trPr>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Months Ended</w:t>
            </w:r>
          </w:p>
        </w:tc>
        <w:tc>
          <w:tcPr>
            <w:tcW w:w="100" w:type="dxa"/>
            <w:vAlign w:val="bottom"/>
          </w:tcPr>
          <w:p>
            <w:pPr>
              <w:spacing w:after="0"/>
              <w:rPr>
                <w:sz w:val="14"/>
                <w:szCs w:val="14"/>
                <w:color w:val="auto"/>
              </w:rPr>
            </w:pPr>
          </w:p>
        </w:tc>
        <w:tc>
          <w:tcPr>
            <w:tcW w:w="25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5"/>
              </w:rPr>
              <w:t>Months Ended</w:t>
            </w:r>
          </w:p>
        </w:tc>
      </w:tr>
      <w:tr>
        <w:trPr>
          <w:trHeight w:val="133"/>
        </w:trPr>
        <w:tc>
          <w:tcPr>
            <w:tcW w:w="58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rPr>
              <w:t>September 30,</w:t>
            </w: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57"/>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rPr>
              <w:t>September 30,</w:t>
            </w: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77"/>
              <w:spacing w:after="0" w:line="133" w:lineRule="exact"/>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1"/>
                <w:szCs w:val="11"/>
                <w:color w:val="auto"/>
              </w:rPr>
            </w:pPr>
          </w:p>
        </w:tc>
      </w:tr>
      <w:tr>
        <w:trPr>
          <w:trHeight w:val="171"/>
        </w:trPr>
        <w:tc>
          <w:tcPr>
            <w:tcW w:w="58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223"/>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(15,011)</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(8,764)</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(23,986)</w:t>
            </w:r>
          </w:p>
        </w:tc>
        <w:tc>
          <w:tcPr>
            <w:tcW w:w="100" w:type="dxa"/>
            <w:vAlign w:val="bottom"/>
            <w:shd w:val="clear" w:color="auto" w:fill="CCEEFF"/>
          </w:tcPr>
          <w:p>
            <w:pPr>
              <w:spacing w:after="0"/>
              <w:rPr>
                <w:sz w:val="19"/>
                <w:szCs w:val="19"/>
                <w:color w:val="auto"/>
              </w:rPr>
            </w:pPr>
          </w:p>
        </w:tc>
      </w:tr>
      <w:tr>
        <w:trPr>
          <w:trHeight w:val="230"/>
        </w:trPr>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Weighted-average number of shares - basic and diluted</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45,295,232</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6,022,457</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45,052,100</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4,045,527</w:t>
            </w:r>
          </w:p>
        </w:tc>
        <w:tc>
          <w:tcPr>
            <w:tcW w:w="100" w:type="dxa"/>
            <w:vAlign w:val="bottom"/>
            <w:tcBorders>
              <w:bottom w:val="single" w:sz="8" w:color="CCEEFF"/>
            </w:tcBorders>
          </w:tcPr>
          <w:p>
            <w:pPr>
              <w:spacing w:after="0"/>
              <w:rPr>
                <w:sz w:val="19"/>
                <w:szCs w:val="19"/>
                <w:color w:val="auto"/>
              </w:rPr>
            </w:pPr>
          </w:p>
        </w:tc>
      </w:tr>
      <w:tr>
        <w:trPr>
          <w:trHeight w:val="223"/>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9"/>
                <w:szCs w:val="19"/>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Related Parties</w:t>
      </w:r>
    </w:p>
    <w:p>
      <w:pPr>
        <w:spacing w:after="0" w:line="117" w:lineRule="exact"/>
        <w:rPr>
          <w:sz w:val="20"/>
          <w:szCs w:val="20"/>
          <w:color w:val="auto"/>
        </w:rPr>
      </w:pPr>
    </w:p>
    <w:p>
      <w:pPr>
        <w:ind w:right="60" w:firstLine="679"/>
        <w:spacing w:after="0" w:line="257" w:lineRule="auto"/>
        <w:rPr>
          <w:sz w:val="20"/>
          <w:szCs w:val="20"/>
          <w:color w:val="auto"/>
        </w:rPr>
      </w:pPr>
      <w:r>
        <w:rPr>
          <w:rFonts w:ascii="Arial" w:cs="Arial" w:eastAsia="Arial" w:hAnsi="Arial"/>
          <w:sz w:val="18"/>
          <w:szCs w:val="18"/>
          <w:color w:val="auto"/>
        </w:rPr>
        <w:t>The Company has consulting agreements with two members of its board of directors. The total of consulting fees paid in each of the three months ended September 30, 2021 and 2020 were $29 and $28, respectively. The total of consulting fees paid in each of the nine months ended September 30, 2021 and 2020 were $85 and $84, respectively. In May of 2021, the two members of the board of directors were awarded 5,781 options of company stock each, as per their updated Scientific Advisory Board agreements. There were no amounts owed under the consulting agreements at September 30, 2021 or December 31, 2020.</w:t>
      </w:r>
    </w:p>
    <w:p>
      <w:pPr>
        <w:spacing w:after="0" w:line="80" w:lineRule="exact"/>
        <w:rPr>
          <w:sz w:val="20"/>
          <w:szCs w:val="20"/>
          <w:color w:val="auto"/>
        </w:rPr>
      </w:pPr>
    </w:p>
    <w:p>
      <w:pPr>
        <w:ind w:right="300" w:firstLine="679"/>
        <w:spacing w:after="0" w:line="342" w:lineRule="auto"/>
        <w:rPr>
          <w:sz w:val="20"/>
          <w:szCs w:val="20"/>
          <w:color w:val="auto"/>
        </w:rPr>
      </w:pPr>
      <w:r>
        <w:rPr>
          <w:rFonts w:ascii="Arial" w:cs="Arial" w:eastAsia="Arial" w:hAnsi="Arial"/>
          <w:sz w:val="16"/>
          <w:szCs w:val="16"/>
          <w:color w:val="auto"/>
        </w:rPr>
        <w:t>During the fiscal year ended December 31, 2020, an investor provided $65 of financial consulting services to the Company. The Company has paid the entirety of the fees as of December 31, 2020. No amounts were paid or owed to the investors in the nine months ended September 30, 2021.</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firstLine="679"/>
        <w:spacing w:after="0" w:line="285" w:lineRule="auto"/>
        <w:rPr>
          <w:sz w:val="20"/>
          <w:szCs w:val="20"/>
          <w:color w:val="auto"/>
        </w:rPr>
      </w:pPr>
      <w:r>
        <w:rPr>
          <w:rFonts w:ascii="Arial" w:cs="Arial" w:eastAsia="Arial" w:hAnsi="Arial"/>
          <w:sz w:val="16"/>
          <w:szCs w:val="16"/>
          <w:i w:val="1"/>
          <w:iCs w:val="1"/>
          <w:color w:val="auto"/>
        </w:rPr>
        <w:t>You should read the following discussion of our financial condition and results of operations in conjunction with our unaudited financial statements and the related notes and other financial information included in this Quarterly Report on Form 10-Q and our audited financial statements and notes thereto as of and for the years ended December 31, 2020 and 2019 and the related Management’s Discussion and Analysis of Financial Condition and Results of Operations, including Contractual Obligations and Critical Accounting Policies and Significant Judgments and Estimates, included in our Annual Report on Form 10-K for the fiscal year ended December 31, 2020 filed with the Securities and Exchange Commission (SEC) on March 3,</w:t>
      </w:r>
    </w:p>
    <w:p>
      <w:pPr>
        <w:spacing w:after="0" w:line="2"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i w:val="1"/>
          <w:iCs w:val="1"/>
          <w:color w:val="auto"/>
        </w:rPr>
        <w:t>2021. Unless the context requires otherwise, references in this Quarterly Report on Form 10-Q to “we,” “us,” and “our” refer to PMV Pharmaceuticals, Inc.</w:t>
      </w:r>
    </w:p>
    <w:p>
      <w:pPr>
        <w:spacing w:after="0" w:line="77" w:lineRule="exact"/>
        <w:rPr>
          <w:sz w:val="20"/>
          <w:szCs w:val="20"/>
          <w:color w:val="auto"/>
        </w:rPr>
      </w:pPr>
    </w:p>
    <w:p>
      <w:pPr>
        <w:ind w:right="180" w:firstLine="679"/>
        <w:spacing w:after="0" w:line="296" w:lineRule="auto"/>
        <w:rPr>
          <w:sz w:val="20"/>
          <w:szCs w:val="20"/>
          <w:color w:val="auto"/>
        </w:rPr>
      </w:pPr>
      <w:r>
        <w:rPr>
          <w:rFonts w:ascii="Arial" w:cs="Arial" w:eastAsia="Arial" w:hAnsi="Arial"/>
          <w:sz w:val="16"/>
          <w:szCs w:val="16"/>
          <w:i w:val="1"/>
          <w:iCs w:val="1"/>
          <w:color w:val="auto"/>
        </w:rPr>
        <w:t>In addition to historical information, this Quarterly Report on Form 10-Q contains forward-looking statements that involve risks, uncertainties, and assumptions. Our actual results may differ materially from those anticipated in these forward-looking statements as a result of various factors, including but not limited to those set forth under the captions “Special Note Regarding Forward-Looking Statements,” “Item 1A. Risk Factors” and elsewhere in our Annual Report on Form 10-K for the fiscal year ended December 31, 2020, as updated by our subsequent filings under the Securities Exchange Act of 1934, as amended. Furthermore, past operating results are not necessarily indicative of results that may occur in future periods.</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79"/>
        <w:spacing w:after="0" w:line="271" w:lineRule="auto"/>
        <w:rPr>
          <w:sz w:val="20"/>
          <w:szCs w:val="20"/>
          <w:color w:val="auto"/>
        </w:rPr>
      </w:pPr>
      <w:r>
        <w:rPr>
          <w:rFonts w:ascii="Arial" w:cs="Arial" w:eastAsia="Arial" w:hAnsi="Arial"/>
          <w:sz w:val="17"/>
          <w:szCs w:val="17"/>
          <w:color w:val="auto"/>
        </w:rPr>
        <w:t>We are a clinical-stage oncology company pioneering the discovery and development of small molecule, tumor agnostic therapies designed to target p53 mutations.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the top ten most frequent, or hotspot, p53 mutations that are collectively associated with approximately 10-15% of all cancers.</w:t>
      </w:r>
    </w:p>
    <w:p>
      <w:pPr>
        <w:spacing w:after="0" w:line="70" w:lineRule="exact"/>
        <w:rPr>
          <w:sz w:val="20"/>
          <w:szCs w:val="20"/>
          <w:color w:val="auto"/>
        </w:rPr>
      </w:pPr>
    </w:p>
    <w:p>
      <w:pPr>
        <w:ind w:right="20" w:firstLine="679"/>
        <w:spacing w:after="0" w:line="287" w:lineRule="auto"/>
        <w:rPr>
          <w:sz w:val="20"/>
          <w:szCs w:val="20"/>
          <w:color w:val="auto"/>
        </w:rPr>
      </w:pPr>
      <w:r>
        <w:rPr>
          <w:rFonts w:ascii="Arial" w:cs="Arial" w:eastAsia="Arial" w:hAnsi="Arial"/>
          <w:sz w:val="16"/>
          <w:szCs w:val="16"/>
          <w:color w:val="auto"/>
        </w:rPr>
        <w:t>Since our formation in March 2013, we have devoted substantially all of our time and efforts to performing research and development activities and raising capital. We are not profitable and have incurred losses in each year since our inception. Our net losses were $34.4 million and $25.3 million for the years ended December 31, 2020 and 2019, respectively. During the three and nine months ended September 30, 2021, the Company incurred a net loss of $15.0 million and $39.5 million, respectively. As of September 30, 2021, we had an accumulated deficit of $149.4 million. We do not currently have any product candidates approved for sale, and we continue to incur significant research and development and general administrative expenses related to our operations. We initiated a Phase 1/2 clinical trial in October 2020 for our lead product candidate, PC14586. In October 2020, we were granted FDA Fast Track Designation of PC14586 for the treatment of patients with locally advanced or metastatic solid tumors that have a p53 Y220C mutation. We dosed our first patient in this clinical trial in the fourth quarter of 2020. We expect that our operating expenses will increase significantly as we advance our product candidates through preclinical and clinical development, seek regulatory approval and prepare for and, if approved, proceed to commercialization; acquire, discover, validate and develop additional product candidates; obtain, maintain, protect and enforce our intellectual property portfolio; and hire additional personnel. In addition, we have incurred, and will continue to incur additional costs associated with operating as a public company and expect to continue to incur significant losses for the foreseeable future.</w:t>
      </w:r>
    </w:p>
    <w:p>
      <w:pPr>
        <w:spacing w:after="0" w:line="60" w:lineRule="exact"/>
        <w:rPr>
          <w:sz w:val="20"/>
          <w:szCs w:val="20"/>
          <w:color w:val="auto"/>
        </w:rPr>
      </w:pPr>
    </w:p>
    <w:p>
      <w:pPr>
        <w:ind w:right="20" w:firstLine="679"/>
        <w:spacing w:after="0" w:line="275" w:lineRule="auto"/>
        <w:rPr>
          <w:sz w:val="20"/>
          <w:szCs w:val="20"/>
          <w:color w:val="auto"/>
        </w:rPr>
      </w:pPr>
      <w:r>
        <w:rPr>
          <w:rFonts w:ascii="Arial" w:cs="Arial" w:eastAsia="Arial" w:hAnsi="Arial"/>
          <w:sz w:val="17"/>
          <w:szCs w:val="17"/>
          <w:color w:val="auto"/>
        </w:rPr>
        <w:t>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corporate sources,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spacing w:after="0" w:line="68" w:lineRule="exact"/>
        <w:rPr>
          <w:sz w:val="20"/>
          <w:szCs w:val="20"/>
          <w:color w:val="auto"/>
        </w:rPr>
      </w:pPr>
    </w:p>
    <w:p>
      <w:pPr>
        <w:ind w:right="740" w:firstLine="679"/>
        <w:spacing w:after="0" w:line="286" w:lineRule="auto"/>
        <w:rPr>
          <w:sz w:val="20"/>
          <w:szCs w:val="20"/>
          <w:color w:val="auto"/>
        </w:rPr>
      </w:pPr>
      <w:r>
        <w:rPr>
          <w:rFonts w:ascii="Arial" w:cs="Arial" w:eastAsia="Arial" w:hAnsi="Arial"/>
          <w:sz w:val="17"/>
          <w:szCs w:val="17"/>
          <w:color w:val="auto"/>
        </w:rPr>
        <w:t>We plan to continue to use third-party service providers, including clinical research organizations, or CROs, and contract manufacturing organization, or CMOs, to carry out our preclinical and clinical development and to manufacture and supply the materials to be used during the development and commercialization of our product candidates. We do not currently have a sales force.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80" w:firstLine="679"/>
        <w:spacing w:after="0" w:line="259" w:lineRule="auto"/>
        <w:rPr>
          <w:sz w:val="20"/>
          <w:szCs w:val="20"/>
          <w:color w:val="auto"/>
        </w:rPr>
      </w:pPr>
      <w:r>
        <w:rPr>
          <w:rFonts w:ascii="Arial" w:cs="Arial" w:eastAsia="Arial" w:hAnsi="Arial"/>
          <w:sz w:val="18"/>
          <w:szCs w:val="18"/>
          <w:color w:val="auto"/>
        </w:rPr>
        <w:t>To date, we have not generated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40" w:firstLine="679"/>
        <w:spacing w:after="0" w:line="257" w:lineRule="auto"/>
        <w:rPr>
          <w:sz w:val="20"/>
          <w:szCs w:val="20"/>
          <w:color w:val="auto"/>
        </w:rPr>
      </w:pPr>
      <w:r>
        <w:rPr>
          <w:rFonts w:ascii="Arial" w:cs="Arial" w:eastAsia="Arial" w:hAnsi="Arial"/>
          <w:sz w:val="18"/>
          <w:szCs w:val="18"/>
          <w:color w:val="auto"/>
        </w:rPr>
        <w:t>Our research and development expenses consist primarily of costs incurred to conduct research, such as the discovery and development of our product candidates as well as the development of future product candidates. Research and development expenses include personnel costs, including stock-based compensation expense, third-party contractor services, laboratory materials and supplies, sourcing of raw materials and manufacturing of product candidates, depreciation and maintenance of research equipment and an allocation of related facilities costs. We expense research and development costs as they are incurred.</w:t>
      </w:r>
    </w:p>
    <w:p>
      <w:pPr>
        <w:spacing w:after="0" w:line="80" w:lineRule="exact"/>
        <w:rPr>
          <w:sz w:val="20"/>
          <w:szCs w:val="20"/>
          <w:color w:val="auto"/>
        </w:rPr>
      </w:pPr>
    </w:p>
    <w:p>
      <w:pPr>
        <w:ind w:right="100" w:firstLine="679"/>
        <w:spacing w:after="0" w:line="271" w:lineRule="auto"/>
        <w:rPr>
          <w:sz w:val="20"/>
          <w:szCs w:val="20"/>
          <w:color w:val="auto"/>
        </w:rPr>
      </w:pPr>
      <w:r>
        <w:rPr>
          <w:rFonts w:ascii="Arial" w:cs="Arial" w:eastAsia="Arial" w:hAnsi="Arial"/>
          <w:sz w:val="17"/>
          <w:szCs w:val="17"/>
          <w:color w:val="auto"/>
        </w:rPr>
        <w:t>As we are at a very early stage of development, we do not allocate our costs by product candidate or development program, as a significant amount of research and development expenses include compensation costs, materials, supplies, depreciation on and maintenance of research equipment, and the cost of services provided by outside contractors, which are not tracked by product candidate or development program. In particular, with respect to internal costs, several of our departments support multiple product candidate research and development programs, and therefore the costs cannot be allocated to a particular product candidate or development program. Substantially all of our research and development costs are associated with our lead product candidate, PC14586. In October 2020, we initiated a Phase 1/2 clinical trial for PC14586 and also were granted FDA Fast Track Designation of PC14586 for the treatment of patients with locally advanced or metastatic solid tumors that have a p53 Y220C mutation. We dosed our first patient in this clinical trial in the fourth quarter of 2020.</w:t>
      </w:r>
    </w:p>
    <w:p>
      <w:pPr>
        <w:spacing w:after="0" w:line="70" w:lineRule="exact"/>
        <w:rPr>
          <w:sz w:val="20"/>
          <w:szCs w:val="20"/>
          <w:color w:val="auto"/>
        </w:rPr>
      </w:pPr>
    </w:p>
    <w:p>
      <w:pPr>
        <w:ind w:right="40" w:firstLine="679"/>
        <w:spacing w:after="0" w:line="272" w:lineRule="auto"/>
        <w:rPr>
          <w:sz w:val="20"/>
          <w:szCs w:val="20"/>
          <w:color w:val="auto"/>
        </w:rPr>
      </w:pPr>
      <w:r>
        <w:rPr>
          <w:rFonts w:ascii="Arial" w:cs="Arial" w:eastAsia="Arial" w:hAnsi="Arial"/>
          <w:sz w:val="17"/>
          <w:szCs w:val="17"/>
          <w:color w:val="auto"/>
        </w:rPr>
        <w:t>We expect our research and development expenses to increase substantially in absolute dollars in the future as we advance our product candidates into and through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any future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w:t>
      </w:r>
    </w:p>
    <w:p>
      <w:pPr>
        <w:spacing w:after="0" w:line="285"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firstLine="679"/>
        <w:spacing w:after="0" w:line="291" w:lineRule="auto"/>
        <w:rPr>
          <w:sz w:val="20"/>
          <w:szCs w:val="20"/>
          <w:color w:val="auto"/>
        </w:rPr>
      </w:pPr>
      <w:r>
        <w:rPr>
          <w:rFonts w:ascii="Arial" w:cs="Arial" w:eastAsia="Arial" w:hAnsi="Arial"/>
          <w:sz w:val="16"/>
          <w:szCs w:val="16"/>
          <w:color w:val="auto"/>
        </w:rPr>
        <w:t>General and administrative expenses include personnel costs, expenses for outside professional services and other allocated expenses. Personnel costs consist of salaries, bonuses, benefits and stock-based compensation. Outside professional services consist of legal, accounting and audit services and other consulting fees. Allocated expenses consist of rent expense related to our office and research and development facility. We expect to incur additional expenses as a public company, including expenses related to compliance with the rules and regulations of the SEC, and those of any national securities exchange on which our securities are traded, additional insurance expenses, investor relations activities and other administrative and professional services. We expect to increase our headcount significantly to operate as a public company. We also expect to increase our general and administrative expenses as we advance our product candidates through preclinical research and development, manufacturing, clinical development and commercialization.</w:t>
      </w:r>
    </w:p>
    <w:p>
      <w:pPr>
        <w:spacing w:after="0" w:line="274"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17" w:lineRule="exact"/>
        <w:rPr>
          <w:sz w:val="20"/>
          <w:szCs w:val="20"/>
          <w:color w:val="auto"/>
        </w:rPr>
      </w:pPr>
    </w:p>
    <w:p>
      <w:pPr>
        <w:ind w:right="300" w:firstLine="679"/>
        <w:spacing w:after="0" w:line="277" w:lineRule="auto"/>
        <w:rPr>
          <w:sz w:val="20"/>
          <w:szCs w:val="20"/>
          <w:color w:val="auto"/>
        </w:rPr>
      </w:pPr>
      <w:r>
        <w:rPr>
          <w:rFonts w:ascii="Arial" w:cs="Arial" w:eastAsia="Arial" w:hAnsi="Arial"/>
          <w:sz w:val="18"/>
          <w:szCs w:val="18"/>
          <w:color w:val="auto"/>
        </w:rPr>
        <w:t>Interest income, net primarily consists of interest income from our interest-bearing cash, cash equivalents and short-term marketable securities and interest costs related to amortization of premiums and discounts on short-term marketable securities.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ind w:left="480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2021 and 2020</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40" w:type="dxa"/>
            <w:vAlign w:val="bottom"/>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66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34"/>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jc w:val="right"/>
              <w:ind w:right="43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9,162</w:t>
            </w:r>
          </w:p>
        </w:tc>
        <w:tc>
          <w:tcPr>
            <w:tcW w:w="260" w:type="dxa"/>
            <w:vAlign w:val="bottom"/>
          </w:tcPr>
          <w:p>
            <w:pPr>
              <w:spacing w:after="0"/>
              <w:rPr>
                <w:sz w:val="19"/>
                <w:szCs w:val="19"/>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5,992</w:t>
            </w:r>
          </w:p>
        </w:tc>
        <w:tc>
          <w:tcPr>
            <w:tcW w:w="16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5,935</w:t>
            </w:r>
          </w:p>
        </w:tc>
        <w:tc>
          <w:tcPr>
            <w:tcW w:w="2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15,097</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(15,097)</w:t>
            </w:r>
          </w:p>
        </w:tc>
        <w:tc>
          <w:tcPr>
            <w:tcW w:w="4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(8,701)</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(6,396)</w:t>
            </w: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net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500"/>
              <w:spacing w:after="0"/>
              <w:rPr>
                <w:sz w:val="20"/>
                <w:szCs w:val="20"/>
                <w:color w:val="auto"/>
              </w:rPr>
            </w:pPr>
            <w:r>
              <w:rPr>
                <w:rFonts w:ascii="Arial" w:cs="Arial" w:eastAsia="Arial" w:hAnsi="Arial"/>
                <w:sz w:val="18"/>
                <w:szCs w:val="18"/>
                <w:color w:val="auto"/>
              </w:rPr>
              <w:t>Total other income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Loss before provision for income taxes</w:t>
            </w: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(14,992)</w:t>
            </w:r>
          </w:p>
        </w:tc>
        <w:tc>
          <w:tcPr>
            <w:tcW w:w="4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(8,761)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(6,231)</w:t>
            </w: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(15,011)</w:t>
            </w: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(8,764)</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(6,247)</w:t>
            </w: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table summarizes our research and development expenses incurred during the periods indicated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0" w:type="dxa"/>
            <w:vAlign w:val="bottom"/>
            <w:gridSpan w:val="4"/>
          </w:tcPr>
          <w:p>
            <w:pPr>
              <w:jc w:val="right"/>
              <w:ind w:right="713"/>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40" w:type="dxa"/>
            <w:vAlign w:val="bottom"/>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66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37"/>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jc w:val="right"/>
              <w:ind w:right="433"/>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1,843</w:t>
            </w:r>
          </w:p>
        </w:tc>
        <w:tc>
          <w:tcPr>
            <w:tcW w:w="2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2,066</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Development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5,141</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Personnel related</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1,729</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2,041</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Stock-based compensation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2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9,162</w:t>
            </w:r>
          </w:p>
        </w:tc>
        <w:tc>
          <w:tcPr>
            <w:tcW w:w="2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5,992</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679"/>
        <w:spacing w:after="0" w:line="277" w:lineRule="auto"/>
        <w:rPr>
          <w:sz w:val="20"/>
          <w:szCs w:val="20"/>
          <w:color w:val="auto"/>
        </w:rPr>
      </w:pPr>
      <w:r>
        <w:rPr>
          <w:rFonts w:ascii="Arial" w:cs="Arial" w:eastAsia="Arial" w:hAnsi="Arial"/>
          <w:sz w:val="18"/>
          <w:szCs w:val="18"/>
          <w:color w:val="auto"/>
        </w:rPr>
        <w:t>Research and development expenses were $9.2 million for the three months ended September 30, 2021, compared to $6.0 million for the three months ended September 30, 2020. The increase of $3.2 million was primarily due to the following:</w:t>
      </w:r>
    </w:p>
    <w:p>
      <w:pPr>
        <w:spacing w:after="0" w:line="62" w:lineRule="exact"/>
        <w:rPr>
          <w:sz w:val="20"/>
          <w:szCs w:val="20"/>
          <w:color w:val="auto"/>
        </w:rPr>
      </w:pPr>
    </w:p>
    <w:p>
      <w:pPr>
        <w:ind w:left="980" w:hanging="297"/>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$0.2 million decrease in research expenses, largely driven by decreased contractual research organization costs;</w:t>
      </w:r>
    </w:p>
    <w:p>
      <w:pPr>
        <w:spacing w:after="0" w:line="117" w:lineRule="exact"/>
        <w:rPr>
          <w:rFonts w:ascii="Arial" w:cs="Arial" w:eastAsia="Arial" w:hAnsi="Arial"/>
          <w:sz w:val="18"/>
          <w:szCs w:val="18"/>
          <w:color w:val="auto"/>
        </w:rPr>
      </w:pPr>
    </w:p>
    <w:p>
      <w:pPr>
        <w:ind w:left="980" w:right="20" w:hanging="297"/>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$3.5 million increase in development expenses associated with advancing our lead product candidate, PC14586, through the Phase 1/2 clinical trial; and</w:t>
      </w:r>
    </w:p>
    <w:p>
      <w:pPr>
        <w:spacing w:after="0" w:line="62" w:lineRule="exact"/>
        <w:rPr>
          <w:rFonts w:ascii="Arial" w:cs="Arial" w:eastAsia="Arial" w:hAnsi="Arial"/>
          <w:sz w:val="18"/>
          <w:szCs w:val="18"/>
          <w:color w:val="auto"/>
        </w:rPr>
      </w:pPr>
    </w:p>
    <w:p>
      <w:pPr>
        <w:ind w:left="980" w:right="320" w:hanging="297"/>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$0.1 million decrease in expenses for personnel related costs and stock-based compensation, is primarily driven by the use of a payroll tax credit offset by an increased headcount for developing PC14586.</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ind w:left="68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300" w:firstLine="679"/>
        <w:spacing w:after="0" w:line="277" w:lineRule="auto"/>
        <w:rPr>
          <w:sz w:val="20"/>
          <w:szCs w:val="20"/>
          <w:color w:val="auto"/>
        </w:rPr>
      </w:pPr>
      <w:r>
        <w:rPr>
          <w:rFonts w:ascii="Arial" w:cs="Arial" w:eastAsia="Arial" w:hAnsi="Arial"/>
          <w:sz w:val="18"/>
          <w:szCs w:val="18"/>
          <w:color w:val="auto"/>
        </w:rPr>
        <w:t>General and administrative expenses were $5.9 million for the three months ended September 30, 2021, compared to $2.7 million for the three months ended September 30, 2020. The increase of $3.2 million was primarily due to the following:</w:t>
      </w:r>
    </w:p>
    <w:p>
      <w:pPr>
        <w:spacing w:after="0" w:line="76" w:lineRule="exact"/>
        <w:rPr>
          <w:sz w:val="20"/>
          <w:szCs w:val="20"/>
          <w:color w:val="auto"/>
        </w:rPr>
      </w:pPr>
    </w:p>
    <w:p>
      <w:pPr>
        <w:ind w:left="980" w:right="60" w:hanging="297"/>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$1.7 million increase in personnel and office related expense due to increased headcount to build out general and administrative infrastructure offset by $0.1 million decrease in office related costs; and</w:t>
      </w:r>
    </w:p>
    <w:p>
      <w:pPr>
        <w:spacing w:after="0" w:line="62" w:lineRule="exact"/>
        <w:rPr>
          <w:rFonts w:ascii="Arial" w:cs="Arial" w:eastAsia="Arial" w:hAnsi="Arial"/>
          <w:sz w:val="18"/>
          <w:szCs w:val="18"/>
          <w:color w:val="auto"/>
        </w:rPr>
      </w:pPr>
    </w:p>
    <w:p>
      <w:pPr>
        <w:ind w:left="980" w:right="200" w:hanging="297"/>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$0.4 million increase in finance and legal support, along with a $0.6 million increase for directors and officers insurance, and a $0.6 million increase due to facility related costs for the new office building in Princeton, NJ.</w:t>
      </w:r>
    </w:p>
    <w:p>
      <w:pPr>
        <w:spacing w:after="0" w:line="278"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17" w:lineRule="exact"/>
        <w:rPr>
          <w:sz w:val="20"/>
          <w:szCs w:val="20"/>
          <w:color w:val="auto"/>
        </w:rPr>
      </w:pPr>
    </w:p>
    <w:p>
      <w:pPr>
        <w:ind w:right="200" w:firstLine="679"/>
        <w:spacing w:after="0" w:line="279" w:lineRule="auto"/>
        <w:rPr>
          <w:sz w:val="20"/>
          <w:szCs w:val="20"/>
          <w:color w:val="auto"/>
        </w:rPr>
      </w:pPr>
      <w:r>
        <w:rPr>
          <w:rFonts w:ascii="Arial" w:cs="Arial" w:eastAsia="Arial" w:hAnsi="Arial"/>
          <w:sz w:val="17"/>
          <w:szCs w:val="17"/>
          <w:color w:val="auto"/>
        </w:rPr>
        <w:t>Interest income, net primarily consists of interest income from our interest-bearing cash, cash equivalents and marketable securities and interest costs related to amortization of premiums and discounts on marketable securities. Interest income, net was $0.1 million for the three months ended September 30, 2021. The increase of $0.1 million compared to the three months ended September 30, 2020 is driven by increased cash investments in marketable securities and U.S treasuries during the three months ended September 30, 2021.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40" w:type="dxa"/>
            <w:vAlign w:val="bottom"/>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207"/>
              <w:spacing w:after="0"/>
              <w:rPr>
                <w:sz w:val="20"/>
                <w:szCs w:val="20"/>
                <w:color w:val="auto"/>
              </w:rPr>
            </w:pPr>
            <w:r>
              <w:rPr>
                <w:rFonts w:ascii="Arial" w:cs="Arial" w:eastAsia="Arial" w:hAnsi="Arial"/>
                <w:sz w:val="14"/>
                <w:szCs w:val="14"/>
                <w:b w:val="1"/>
                <w:bCs w:val="1"/>
                <w:color w:val="auto"/>
              </w:rPr>
              <w:t>September,</w:t>
            </w: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66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34"/>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jc w:val="right"/>
              <w:ind w:right="432"/>
              <w:spacing w:after="0" w:line="155"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24,326</w:t>
            </w:r>
          </w:p>
        </w:tc>
        <w:tc>
          <w:tcPr>
            <w:tcW w:w="260" w:type="dxa"/>
            <w:vAlign w:val="bottom"/>
          </w:tcPr>
          <w:p>
            <w:pPr>
              <w:spacing w:after="0"/>
              <w:rPr>
                <w:sz w:val="19"/>
                <w:szCs w:val="19"/>
                <w:color w:val="auto"/>
              </w:rPr>
            </w:pP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17,752</w:t>
            </w:r>
          </w:p>
        </w:tc>
        <w:tc>
          <w:tcPr>
            <w:tcW w:w="16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6,574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15,495</w:t>
            </w:r>
          </w:p>
        </w:tc>
        <w:tc>
          <w:tcPr>
            <w:tcW w:w="26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39,821</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24,441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(39,821)</w:t>
            </w:r>
          </w:p>
        </w:tc>
        <w:tc>
          <w:tcPr>
            <w:tcW w:w="5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(24,441)</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(15,380)</w:t>
            </w: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net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9"/>
        </w:trPr>
        <w:tc>
          <w:tcPr>
            <w:tcW w:w="6640" w:type="dxa"/>
            <w:vAlign w:val="bottom"/>
          </w:tcPr>
          <w:p>
            <w:pPr>
              <w:ind w:left="26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500"/>
              <w:spacing w:after="0"/>
              <w:rPr>
                <w:sz w:val="20"/>
                <w:szCs w:val="20"/>
                <w:color w:val="auto"/>
              </w:rPr>
            </w:pPr>
            <w:r>
              <w:rPr>
                <w:rFonts w:ascii="Arial" w:cs="Arial" w:eastAsia="Arial" w:hAnsi="Arial"/>
                <w:sz w:val="18"/>
                <w:szCs w:val="18"/>
                <w:color w:val="auto"/>
              </w:rPr>
              <w:t>Total other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357</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Loss before provision for income taxes</w:t>
            </w: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(39,464)</w:t>
            </w:r>
          </w:p>
        </w:tc>
        <w:tc>
          <w:tcPr>
            <w:tcW w:w="5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(23,981)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(15,483)</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(39,487)</w:t>
            </w:r>
          </w:p>
        </w:tc>
        <w:tc>
          <w:tcPr>
            <w:tcW w:w="500" w:type="dxa"/>
            <w:vAlign w:val="bottom"/>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(23,986)</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(15,501)</w:t>
            </w: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table summarizes our research and development expenses incurred during the periods indicated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40" w:type="dxa"/>
            <w:vAlign w:val="bottom"/>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29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127"/>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3740" w:type="dxa"/>
            <w:vAlign w:val="bottom"/>
            <w:vMerge w:val="continue"/>
          </w:tcPr>
          <w:p>
            <w:pPr>
              <w:spacing w:after="0"/>
              <w:rPr>
                <w:sz w:val="13"/>
                <w:szCs w:val="13"/>
                <w:color w:val="auto"/>
              </w:rPr>
            </w:pPr>
          </w:p>
        </w:tc>
        <w:tc>
          <w:tcPr>
            <w:tcW w:w="2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37"/>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jc w:val="right"/>
              <w:ind w:right="433"/>
              <w:spacing w:after="0" w:line="155" w:lineRule="exact"/>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w:t>
            </w:r>
          </w:p>
        </w:tc>
        <w:tc>
          <w:tcPr>
            <w:tcW w:w="29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6,378</w:t>
            </w:r>
          </w:p>
        </w:tc>
        <w:tc>
          <w:tcPr>
            <w:tcW w:w="26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5,273</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Development</w:t>
            </w:r>
          </w:p>
        </w:tc>
        <w:tc>
          <w:tcPr>
            <w:tcW w:w="2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11,611</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6,190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Personnel related</w:t>
            </w:r>
          </w:p>
        </w:tc>
        <w:tc>
          <w:tcPr>
            <w:tcW w:w="2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5,354</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5,681</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Stock-based compensation</w:t>
            </w:r>
          </w:p>
        </w:tc>
        <w:tc>
          <w:tcPr>
            <w:tcW w:w="29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2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9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24,326</w:t>
            </w:r>
          </w:p>
        </w:tc>
        <w:tc>
          <w:tcPr>
            <w:tcW w:w="2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17,752</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900" w:type="dxa"/>
            <w:vAlign w:val="bottom"/>
            <w:vMerge w:val="restart"/>
          </w:tcPr>
          <w:p>
            <w:pPr>
              <w:jc w:val="right"/>
              <w:ind w:right="830"/>
              <w:spacing w:after="0"/>
              <w:rPr>
                <w:sz w:val="20"/>
                <w:szCs w:val="20"/>
                <w:color w:val="auto"/>
              </w:rPr>
            </w:pPr>
            <w:r>
              <w:rPr>
                <w:rFonts w:ascii="Arial" w:cs="Arial" w:eastAsia="Arial" w:hAnsi="Arial"/>
                <w:sz w:val="18"/>
                <w:szCs w:val="18"/>
                <w:color w:val="auto"/>
              </w:rPr>
              <w:t>17</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74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21" w:name="page22"/>
    <w:bookmarkEnd w:id="21"/>
    <w:p>
      <w:pPr>
        <w:ind w:right="220" w:firstLine="679"/>
        <w:spacing w:after="0" w:line="277" w:lineRule="auto"/>
        <w:rPr>
          <w:sz w:val="20"/>
          <w:szCs w:val="20"/>
          <w:color w:val="auto"/>
        </w:rPr>
      </w:pPr>
      <w:r>
        <w:rPr>
          <w:rFonts w:ascii="Arial" w:cs="Arial" w:eastAsia="Arial" w:hAnsi="Arial"/>
          <w:sz w:val="18"/>
          <w:szCs w:val="18"/>
          <w:color w:val="auto"/>
        </w:rPr>
        <w:t>Research and development expenses were $24.3 million for the nine months ended September 30, 2021, compared to $17.8 million for the nine months ended September 30, 2020. The increase of $6.5 million was primarily due to the following:</w:t>
      </w:r>
    </w:p>
    <w:p>
      <w:pPr>
        <w:spacing w:after="0" w:line="62" w:lineRule="exact"/>
        <w:rPr>
          <w:sz w:val="20"/>
          <w:szCs w:val="20"/>
          <w:color w:val="auto"/>
        </w:rPr>
      </w:pPr>
    </w:p>
    <w:p>
      <w:pPr>
        <w:ind w:left="980" w:hanging="297"/>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$1.1 million increase in research expenses, largely driven by increased contractual research organization costs focused on discovery research;</w:t>
      </w:r>
    </w:p>
    <w:p>
      <w:pPr>
        <w:spacing w:after="0" w:line="140" w:lineRule="exact"/>
        <w:rPr>
          <w:rFonts w:ascii="Arial" w:cs="Arial" w:eastAsia="Arial" w:hAnsi="Arial"/>
          <w:sz w:val="16"/>
          <w:szCs w:val="16"/>
          <w:color w:val="auto"/>
        </w:rPr>
      </w:pPr>
    </w:p>
    <w:p>
      <w:pPr>
        <w:ind w:left="980" w:right="100" w:hanging="297"/>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$5.4 million increase in development expenses associate with advancing our lead product candidate, PC14586, through the Phase 1/2 clinical trial; and</w:t>
      </w:r>
    </w:p>
    <w:p>
      <w:pPr>
        <w:spacing w:after="0" w:line="62" w:lineRule="exact"/>
        <w:rPr>
          <w:rFonts w:ascii="Arial" w:cs="Arial" w:eastAsia="Arial" w:hAnsi="Arial"/>
          <w:sz w:val="18"/>
          <w:szCs w:val="18"/>
          <w:color w:val="auto"/>
        </w:rPr>
      </w:pPr>
    </w:p>
    <w:p>
      <w:pPr>
        <w:ind w:left="980" w:right="300" w:hanging="297"/>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$0.1 million increase in expenses for personnel-related costs and stock-based compensation, primarily driven by the rise in the Company’s stock value subsequent to the IPO in September 2020.</w:t>
      </w:r>
    </w:p>
    <w:p>
      <w:pPr>
        <w:spacing w:after="0" w:line="278"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300" w:firstLine="679"/>
        <w:spacing w:after="0" w:line="277" w:lineRule="auto"/>
        <w:rPr>
          <w:sz w:val="20"/>
          <w:szCs w:val="20"/>
          <w:color w:val="auto"/>
        </w:rPr>
      </w:pPr>
      <w:r>
        <w:rPr>
          <w:rFonts w:ascii="Arial" w:cs="Arial" w:eastAsia="Arial" w:hAnsi="Arial"/>
          <w:sz w:val="18"/>
          <w:szCs w:val="18"/>
          <w:color w:val="auto"/>
        </w:rPr>
        <w:t>General and administrative expenses were $15.5 million for the nine months ended September 30, 2021, compared to $6.7 million for the nine months ended September 30, 2020. The increase of $8.8 million was primarily due to the following:</w:t>
      </w:r>
    </w:p>
    <w:p>
      <w:pPr>
        <w:spacing w:after="0" w:line="76" w:lineRule="exact"/>
        <w:rPr>
          <w:sz w:val="20"/>
          <w:szCs w:val="20"/>
          <w:color w:val="auto"/>
        </w:rPr>
      </w:pPr>
    </w:p>
    <w:p>
      <w:pPr>
        <w:ind w:left="980" w:right="140" w:hanging="297"/>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$4.4 million increase in personnel related expense due to increased headcount to build out general and administrative infrastructure offset by $0.1 million decrease in office related costs; and</w:t>
      </w:r>
    </w:p>
    <w:p>
      <w:pPr>
        <w:spacing w:after="0" w:line="62" w:lineRule="exact"/>
        <w:rPr>
          <w:rFonts w:ascii="Arial" w:cs="Arial" w:eastAsia="Arial" w:hAnsi="Arial"/>
          <w:sz w:val="18"/>
          <w:szCs w:val="18"/>
          <w:color w:val="auto"/>
        </w:rPr>
      </w:pPr>
    </w:p>
    <w:p>
      <w:pPr>
        <w:ind w:left="980" w:right="200" w:hanging="297"/>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$1.4 million increase in finance and legal support, along with a $1.9 million increase for directors and officers insurance, and a $1.1 million increase due to facility related costs for the new office building in Princeton, NJ.</w:t>
      </w:r>
    </w:p>
    <w:p>
      <w:pPr>
        <w:spacing w:after="0" w:line="278"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17" w:lineRule="exact"/>
        <w:rPr>
          <w:sz w:val="20"/>
          <w:szCs w:val="20"/>
          <w:color w:val="auto"/>
        </w:rPr>
      </w:pPr>
    </w:p>
    <w:p>
      <w:pPr>
        <w:ind w:right="140" w:firstLine="679"/>
        <w:spacing w:after="0" w:line="279" w:lineRule="auto"/>
        <w:rPr>
          <w:sz w:val="20"/>
          <w:szCs w:val="20"/>
          <w:color w:val="auto"/>
        </w:rPr>
      </w:pPr>
      <w:r>
        <w:rPr>
          <w:rFonts w:ascii="Arial" w:cs="Arial" w:eastAsia="Arial" w:hAnsi="Arial"/>
          <w:sz w:val="17"/>
          <w:szCs w:val="17"/>
          <w:color w:val="auto"/>
        </w:rPr>
        <w:t>Interest income, net primarily consists of interest income from our interest-bearing cash, cash equivalents and marketable securities and interest costs related to amortization of premiums and discounts on marketable securities. Interest income, net was $0.3 million for the nine months ended September 30, 2021 compared to $0.6 million for the nine months ended September 30, 2020. The decrease of $0.3 million is driven by decreased interest rates from cash investments in marketable securities and U.S treasuries during the nine months ended September 30, 2021.</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firstLine="679"/>
        <w:spacing w:after="0" w:line="288" w:lineRule="auto"/>
        <w:rPr>
          <w:sz w:val="20"/>
          <w:szCs w:val="20"/>
          <w:color w:val="auto"/>
        </w:rPr>
      </w:pPr>
      <w:r>
        <w:rPr>
          <w:rFonts w:ascii="Arial" w:cs="Arial" w:eastAsia="Arial" w:hAnsi="Arial"/>
          <w:sz w:val="16"/>
          <w:szCs w:val="16"/>
          <w:color w:val="auto"/>
        </w:rPr>
        <w:t>Since our inception, we have not generated any revenue from any product sales or any other sources and have incurred significant operating losses and negative cash flows from our operations. We have not yet commercialized any of our product candidates and we do not expect to generate revenue from sales of any product candidates for several years, if at all. As of September 30, 2021, we had cash, cash equivalents, and restricted cash of $177.5 million, current marketable securities of $131.0 million, noncurrent marketable securities of $18.6 million, and an accumulated deficit of $149.4 million. We have financed our operations primarily through issuances of our convertible preferred and common stock. In 2019, we sold an aggregate of 5,469,606 shares of our Series C convertible preferred stock to accredited investors, generating gross proceeds of $61.9 million. In July 2020, we sold an aggregate of 5,321,864 shares of our Series D convertible preferred stock to accredited investors, generating gross proceeds of $70.0 million. In September 2020, we completed an IPO of 13,529,750 shares of our common stock, which includes the exercise in full by the underwriters of their option to purchase 1,764,750 additional shares of common stock, at a public offering price of $18.00 per share for aggregate gross proceeds of $243.5 million. We received $223.2 million in net proceeds after deducting underwriting discounts and commissions and other offering expenses payable by us.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 and Future Funding Requirements</w:t>
      </w:r>
    </w:p>
    <w:p>
      <w:pPr>
        <w:spacing w:after="0" w:line="117" w:lineRule="exact"/>
        <w:rPr>
          <w:sz w:val="20"/>
          <w:szCs w:val="20"/>
          <w:color w:val="auto"/>
        </w:rPr>
      </w:pPr>
    </w:p>
    <w:p>
      <w:pPr>
        <w:ind w:right="40" w:firstLine="679"/>
        <w:spacing w:after="0" w:line="253" w:lineRule="auto"/>
        <w:rPr>
          <w:sz w:val="20"/>
          <w:szCs w:val="20"/>
          <w:color w:val="auto"/>
        </w:rPr>
      </w:pPr>
      <w:r>
        <w:rPr>
          <w:rFonts w:ascii="Arial" w:cs="Arial" w:eastAsia="Arial" w:hAnsi="Arial"/>
          <w:sz w:val="18"/>
          <w:szCs w:val="18"/>
          <w:color w:val="auto"/>
        </w:rPr>
        <w:t>We use our capital resources primarily to fund operating expenses, mainly research and development expenditures. We plan to increase our research and development expenses for the foreseeable future as we continue the preclinical and clinical development of our product candidates. At this time, due to the inherently unpredictable nature of preclinical and clinical development and given the early stage of our product candidates, we cannot reasonably estimate the costs we will incur and the timelines that will be required to complete development, obtain marketing approval and commercialize our current product candidates or any future product candidates, if at all. For the same reasons, we are also unable to predict when, if ever, we will generate revenue from product sales or whether, or when, if ever, we may achieve profitability.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ind w:right="120" w:firstLine="679"/>
        <w:spacing w:after="0" w:line="279" w:lineRule="auto"/>
        <w:rPr>
          <w:sz w:val="20"/>
          <w:szCs w:val="20"/>
          <w:color w:val="auto"/>
        </w:rPr>
      </w:pPr>
      <w:r>
        <w:rPr>
          <w:rFonts w:ascii="Arial" w:cs="Arial" w:eastAsia="Arial" w:hAnsi="Arial"/>
          <w:sz w:val="17"/>
          <w:szCs w:val="17"/>
          <w:color w:val="auto"/>
        </w:rPr>
        <w:t>Due to our significant research and development expenditures, we have generated substantial operating losses in each period since inception. We have incurred an accumulated deficit of $149.4 million through September 30, 2021. We expect to incur substantial additional losses in the future as we expand our research and development activities. Based on our research and development plans, we expect that our cash, cash equivalents and marketable securities as of September 30, 2021 will be sufficient to fund our operations at least through 2023.</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We have based this estimate on assumptions that may prove to be wrong, however, and we could use our capital resources sooner than we expect.</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timing and amount of our operating expenditures will depend largely on:</w:t>
      </w:r>
    </w:p>
    <w:p>
      <w:pPr>
        <w:spacing w:after="0" w:line="117" w:lineRule="exact"/>
        <w:rPr>
          <w:sz w:val="20"/>
          <w:szCs w:val="20"/>
          <w:color w:val="auto"/>
        </w:rPr>
      </w:pPr>
    </w:p>
    <w:p>
      <w:pPr>
        <w:ind w:left="980" w:hanging="297"/>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17" w:lineRule="exact"/>
        <w:rPr>
          <w:rFonts w:ascii="Arial" w:cs="Arial" w:eastAsia="Arial" w:hAnsi="Arial"/>
          <w:sz w:val="18"/>
          <w:szCs w:val="18"/>
          <w:color w:val="auto"/>
        </w:rPr>
      </w:pPr>
    </w:p>
    <w:p>
      <w:pPr>
        <w:ind w:left="980" w:hanging="297"/>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17" w:lineRule="exact"/>
        <w:rPr>
          <w:rFonts w:ascii="Arial" w:cs="Arial" w:eastAsia="Arial" w:hAnsi="Arial"/>
          <w:sz w:val="18"/>
          <w:szCs w:val="18"/>
          <w:color w:val="auto"/>
        </w:rPr>
      </w:pPr>
    </w:p>
    <w:p>
      <w:pPr>
        <w:ind w:left="980" w:hanging="297"/>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amount of milestone payments we may receive under any future collaboration agreements;</w:t>
      </w:r>
    </w:p>
    <w:p>
      <w:pPr>
        <w:spacing w:after="0" w:line="117" w:lineRule="exact"/>
        <w:rPr>
          <w:rFonts w:ascii="Arial" w:cs="Arial" w:eastAsia="Arial" w:hAnsi="Arial"/>
          <w:sz w:val="18"/>
          <w:szCs w:val="18"/>
          <w:color w:val="auto"/>
        </w:rPr>
      </w:pPr>
    </w:p>
    <w:p>
      <w:pPr>
        <w:ind w:left="980" w:hanging="297"/>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future licenses and research and development programs and to establish new collaboration arrangements;</w:t>
      </w:r>
    </w:p>
    <w:p>
      <w:pPr>
        <w:spacing w:after="0" w:line="117" w:lineRule="exact"/>
        <w:rPr>
          <w:rFonts w:ascii="Arial" w:cs="Arial" w:eastAsia="Arial" w:hAnsi="Arial"/>
          <w:sz w:val="18"/>
          <w:szCs w:val="18"/>
          <w:color w:val="auto"/>
        </w:rPr>
      </w:pPr>
    </w:p>
    <w:p>
      <w:pPr>
        <w:ind w:left="980" w:hanging="297"/>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and other intellectual property claims;</w:t>
      </w:r>
    </w:p>
    <w:p>
      <w:pPr>
        <w:spacing w:after="0" w:line="117" w:lineRule="exact"/>
        <w:rPr>
          <w:rFonts w:ascii="Arial" w:cs="Arial" w:eastAsia="Arial" w:hAnsi="Arial"/>
          <w:sz w:val="18"/>
          <w:szCs w:val="18"/>
          <w:color w:val="auto"/>
        </w:rPr>
      </w:pPr>
    </w:p>
    <w:p>
      <w:pPr>
        <w:ind w:left="980" w:hanging="297"/>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and timing of regulatory approvals; and</w:t>
      </w:r>
    </w:p>
    <w:p>
      <w:pPr>
        <w:spacing w:after="0" w:line="117" w:lineRule="exact"/>
        <w:rPr>
          <w:rFonts w:ascii="Arial" w:cs="Arial" w:eastAsia="Arial" w:hAnsi="Arial"/>
          <w:sz w:val="18"/>
          <w:szCs w:val="18"/>
          <w:color w:val="auto"/>
        </w:rPr>
      </w:pPr>
    </w:p>
    <w:p>
      <w:pPr>
        <w:ind w:left="980" w:right="740" w:hanging="297"/>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including personnel to support development of our product candidates and satisfy our obligations as a public company.</w:t>
      </w:r>
    </w:p>
    <w:p>
      <w:pPr>
        <w:spacing w:after="0" w:line="62" w:lineRule="exact"/>
        <w:rPr>
          <w:sz w:val="20"/>
          <w:szCs w:val="20"/>
          <w:color w:val="auto"/>
        </w:rPr>
      </w:pPr>
    </w:p>
    <w:p>
      <w:pPr>
        <w:ind w:right="20" w:firstLine="679"/>
        <w:spacing w:after="0" w:line="269" w:lineRule="auto"/>
        <w:rPr>
          <w:sz w:val="20"/>
          <w:szCs w:val="20"/>
          <w:color w:val="auto"/>
        </w:rPr>
      </w:pPr>
      <w:r>
        <w:rPr>
          <w:rFonts w:ascii="Arial" w:cs="Arial" w:eastAsia="Arial" w:hAnsi="Arial"/>
          <w:sz w:val="17"/>
          <w:szCs w:val="17"/>
          <w:color w:val="auto"/>
        </w:rPr>
        <w:t>Until such time, if ever, as we can generate substantial revenue from product sales, we expect to fund our operations and capital funding needs through equity and/or debt financing. We may also consider entering into collaboration arrangements or selectively partnering for clinical development and commercialization.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or our ability to incur additional indebtedness or pay dividends, among other items. If we raise additional funds through governmental funding, collaborations, strategic partnerships and alliances or marketing, distribution or licensing arrangements with third parties, we may have to relinquish valuable rights to our technologies, future revenue streams, research programs or product candidates or grant licenses on terms that may not be favorable to us. If we are not able to secure adequate additional funding, we may be forced to make reductions in spending, extend payment terms with suppliers, liquidate assets where possible, and/or suspend or curtail planned programs. Any of these actions could materially and adversely affect our business, financial condition, results of operations and prospects.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table summarizes our cash flows for the period indicated (in thousands):</w:t>
      </w:r>
    </w:p>
    <w:p>
      <w:pPr>
        <w:spacing w:after="0" w:line="230"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Nine Months Ended</w:t>
      </w:r>
    </w:p>
    <w:p>
      <w:pPr>
        <w:jc w:val="center"/>
        <w:ind w:left="762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56"/>
        </w:trPr>
        <w:tc>
          <w:tcPr>
            <w:tcW w:w="77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r>
      <w:tr>
        <w:trPr>
          <w:trHeight w:val="155"/>
        </w:trPr>
        <w:tc>
          <w:tcPr>
            <w:tcW w:w="7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right"/>
              <w:ind w:right="336"/>
              <w:spacing w:after="0" w:line="155" w:lineRule="exact"/>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ind w:right="356"/>
              <w:spacing w:after="0" w:line="155"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3"/>
                <w:szCs w:val="13"/>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used in operating activities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(34,543)</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(22,427)</w:t>
            </w: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Cash (used in) provided by investing activities</w:t>
            </w:r>
          </w:p>
        </w:tc>
        <w:tc>
          <w:tcPr>
            <w:tcW w:w="24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(151,143)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27,968</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294,331</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and cash equivalents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(183,959)</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299,872</w:t>
            </w:r>
          </w:p>
        </w:tc>
        <w:tc>
          <w:tcPr>
            <w:tcW w:w="100" w:type="dxa"/>
            <w:vAlign w:val="bottom"/>
            <w:shd w:val="clear" w:color="auto" w:fill="CFF0FC"/>
          </w:tcPr>
          <w:p>
            <w:pPr>
              <w:spacing w:after="0"/>
              <w:rPr>
                <w:sz w:val="19"/>
                <w:szCs w:val="19"/>
                <w:color w:val="auto"/>
              </w:rPr>
            </w:pPr>
          </w:p>
        </w:tc>
      </w:tr>
      <w:tr>
        <w:trPr>
          <w:trHeight w:val="20"/>
        </w:trPr>
        <w:tc>
          <w:tcPr>
            <w:tcW w:w="77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50"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20" w:firstLine="679"/>
        <w:spacing w:after="0" w:line="257" w:lineRule="auto"/>
        <w:rPr>
          <w:sz w:val="20"/>
          <w:szCs w:val="20"/>
          <w:color w:val="auto"/>
        </w:rPr>
      </w:pPr>
      <w:r>
        <w:rPr>
          <w:rFonts w:ascii="Arial" w:cs="Arial" w:eastAsia="Arial" w:hAnsi="Arial"/>
          <w:sz w:val="18"/>
          <w:szCs w:val="18"/>
          <w:color w:val="auto"/>
        </w:rPr>
        <w:t>Net cash used in operating activities for the nine months ended September 30, 2021, was $34.5 million, which consisted primarily of net loss of $39.5 million partially offset by non-cash charges of $4.9 million. Changes in our net operating assets increased operating cash by $0.1 million. The non-cash charges primarily consisted of stock-based compensation of $3.6 million, depreciation and amortization of $0.7 million, and non-cash lease expense of $0.6 million. The change in our net operating assets and liabilities was primarily due to an increase in prepaid expenses and other assets, an increase in accrued expenses, and a decrease in outstanding payables.</w:t>
      </w:r>
    </w:p>
    <w:p>
      <w:pPr>
        <w:spacing w:after="0" w:line="80" w:lineRule="exact"/>
        <w:rPr>
          <w:sz w:val="20"/>
          <w:szCs w:val="20"/>
          <w:color w:val="auto"/>
        </w:rPr>
      </w:pPr>
    </w:p>
    <w:p>
      <w:pPr>
        <w:ind w:right="220" w:firstLine="679"/>
        <w:spacing w:after="0" w:line="277" w:lineRule="auto"/>
        <w:rPr>
          <w:sz w:val="20"/>
          <w:szCs w:val="20"/>
          <w:color w:val="auto"/>
        </w:rPr>
      </w:pPr>
      <w:r>
        <w:rPr>
          <w:rFonts w:ascii="Arial" w:cs="Arial" w:eastAsia="Arial" w:hAnsi="Arial"/>
          <w:sz w:val="18"/>
          <w:szCs w:val="18"/>
          <w:color w:val="auto"/>
        </w:rPr>
        <w:t>Net cash used in operating activities for the nine months ended September 30, 2020, was $22.4 million, which consisted primarily of net loss of $24.0 million partially offset by non-cash charges of $1.9 million and by a net change of $0.3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spacing w:after="0" w:line="263" w:lineRule="auto"/>
        <w:rPr>
          <w:sz w:val="20"/>
          <w:szCs w:val="20"/>
          <w:color w:val="auto"/>
        </w:rPr>
      </w:pPr>
      <w:r>
        <w:rPr>
          <w:rFonts w:ascii="Arial" w:cs="Arial" w:eastAsia="Arial" w:hAnsi="Arial"/>
          <w:sz w:val="18"/>
          <w:szCs w:val="18"/>
          <w:color w:val="auto"/>
        </w:rPr>
        <w:t>million in our net operating assets. The non-cash charges primarily consisted of stock-based compensation of $1.3 million and depreciation and amortization of $0.4 million. The change in our net operating assets and liabilities was primarily due to an increase in accrued expenses partially offset by a decrease in outstanding payables in 2020.</w:t>
      </w:r>
    </w:p>
    <w:p>
      <w:pPr>
        <w:spacing w:after="0" w:line="292"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40" w:firstLine="679"/>
        <w:spacing w:after="0" w:line="263" w:lineRule="auto"/>
        <w:rPr>
          <w:sz w:val="20"/>
          <w:szCs w:val="20"/>
          <w:color w:val="auto"/>
        </w:rPr>
      </w:pPr>
      <w:r>
        <w:rPr>
          <w:rFonts w:ascii="Arial" w:cs="Arial" w:eastAsia="Arial" w:hAnsi="Arial"/>
          <w:sz w:val="18"/>
          <w:szCs w:val="18"/>
          <w:color w:val="auto"/>
        </w:rPr>
        <w:t>Our investing activities used $151.1 million of cash during the nine months ended September 30, 2021, which consisted primarily of purchases of marketable securities of $235.2 million, along with purchase of property and equipment of $1.1 million partially offset by maturities of marketable securities of $85.1 million.</w:t>
      </w:r>
    </w:p>
    <w:p>
      <w:pPr>
        <w:spacing w:after="0" w:line="76" w:lineRule="exact"/>
        <w:rPr>
          <w:sz w:val="20"/>
          <w:szCs w:val="20"/>
          <w:color w:val="auto"/>
        </w:rPr>
      </w:pPr>
    </w:p>
    <w:p>
      <w:pPr>
        <w:ind w:firstLine="679"/>
        <w:spacing w:after="0" w:line="263" w:lineRule="auto"/>
        <w:rPr>
          <w:sz w:val="20"/>
          <w:szCs w:val="20"/>
          <w:color w:val="auto"/>
        </w:rPr>
      </w:pPr>
      <w:r>
        <w:rPr>
          <w:rFonts w:ascii="Arial" w:cs="Arial" w:eastAsia="Arial" w:hAnsi="Arial"/>
          <w:sz w:val="18"/>
          <w:szCs w:val="18"/>
          <w:color w:val="auto"/>
        </w:rPr>
        <w:t>Our investing activities provided $28.0 million of cash during the nine months ended September 30, 2020, which consisted primarily of maturities of marketable securities of $42.6 million, partially offset by purchases of marketable securities of $14.5 million and purchases of property and equipment of $0.1 million.</w:t>
      </w:r>
    </w:p>
    <w:p>
      <w:pPr>
        <w:spacing w:after="0" w:line="292"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160" w:firstLine="679"/>
        <w:spacing w:after="0" w:line="277" w:lineRule="auto"/>
        <w:rPr>
          <w:sz w:val="20"/>
          <w:szCs w:val="20"/>
          <w:color w:val="auto"/>
        </w:rPr>
      </w:pPr>
      <w:r>
        <w:rPr>
          <w:rFonts w:ascii="Arial" w:cs="Arial" w:eastAsia="Arial" w:hAnsi="Arial"/>
          <w:sz w:val="18"/>
          <w:szCs w:val="18"/>
          <w:color w:val="auto"/>
        </w:rPr>
        <w:t>Our financing activities provided $1.7 million of cash during the nine months ended September 30, 2021, which consisted primarily of proceeds from the exercise of stock options.</w:t>
      </w:r>
    </w:p>
    <w:p>
      <w:pPr>
        <w:spacing w:after="0" w:line="76" w:lineRule="exact"/>
        <w:rPr>
          <w:sz w:val="20"/>
          <w:szCs w:val="20"/>
          <w:color w:val="auto"/>
        </w:rPr>
      </w:pPr>
    </w:p>
    <w:p>
      <w:pPr>
        <w:ind w:right="240" w:firstLine="679"/>
        <w:spacing w:after="0" w:line="263" w:lineRule="auto"/>
        <w:rPr>
          <w:sz w:val="20"/>
          <w:szCs w:val="20"/>
          <w:color w:val="auto"/>
        </w:rPr>
      </w:pPr>
      <w:r>
        <w:rPr>
          <w:rFonts w:ascii="Arial" w:cs="Arial" w:eastAsia="Arial" w:hAnsi="Arial"/>
          <w:sz w:val="18"/>
          <w:szCs w:val="18"/>
          <w:color w:val="auto"/>
        </w:rPr>
        <w:t>Our financing activities provided $294.3 million of cash during the nine months ended September 30, 2020, which consisted primarily of gross IPO proceeds of $243.5 million and Series D Preferred Stock issuance of $70.0 million, offset by equity issuance costs of $20.6 million. $1.4million of these issuance costs remained unpaid at September 30, 2020.</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80" w:firstLine="679"/>
        <w:spacing w:after="0" w:line="277" w:lineRule="auto"/>
        <w:rPr>
          <w:sz w:val="20"/>
          <w:szCs w:val="20"/>
          <w:color w:val="auto"/>
        </w:rPr>
      </w:pPr>
      <w:r>
        <w:rPr>
          <w:rFonts w:ascii="Arial" w:cs="Arial" w:eastAsia="Arial" w:hAnsi="Arial"/>
          <w:sz w:val="18"/>
          <w:szCs w:val="18"/>
          <w:color w:val="auto"/>
        </w:rPr>
        <w:t>We do not currently have, nor in the past had, any off-balance sheet arrangements, as defined in the rules and regulations of the SEC, during the periods presented.</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right="60" w:firstLine="679"/>
        <w:spacing w:after="0" w:line="259" w:lineRule="auto"/>
        <w:rPr>
          <w:sz w:val="20"/>
          <w:szCs w:val="20"/>
          <w:color w:val="auto"/>
        </w:rPr>
      </w:pPr>
      <w:r>
        <w:rPr>
          <w:rFonts w:ascii="Arial" w:cs="Arial" w:eastAsia="Arial" w:hAnsi="Arial"/>
          <w:sz w:val="18"/>
          <w:szCs w:val="18"/>
          <w:color w:val="auto"/>
        </w:rPr>
        <w:t>The preparation of our financial statements in conformity with accounting principles generally accepted in the United States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79" w:lineRule="exact"/>
        <w:rPr>
          <w:sz w:val="20"/>
          <w:szCs w:val="20"/>
          <w:color w:val="auto"/>
        </w:rPr>
      </w:pPr>
    </w:p>
    <w:p>
      <w:pPr>
        <w:ind w:firstLine="679"/>
        <w:spacing w:after="0" w:line="301" w:lineRule="auto"/>
        <w:rPr>
          <w:sz w:val="20"/>
          <w:szCs w:val="20"/>
          <w:color w:val="auto"/>
        </w:rPr>
      </w:pPr>
      <w:r>
        <w:rPr>
          <w:rFonts w:ascii="Arial" w:cs="Arial" w:eastAsia="Arial" w:hAnsi="Arial"/>
          <w:sz w:val="16"/>
          <w:szCs w:val="16"/>
          <w:color w:val="auto"/>
        </w:rPr>
        <w:t>We believe that the accounting policies described below involve a high degree of judgment and complexity. Accordingly, these are the policies we believe are the most critical to aid in fully understanding and evaluating our financial condition and results of our operations. During the nine month period ended September 30, 2021, there were no material changes to our critical accounting policies from those described in our audited financial statements for the year ended December 31, 2020 included in our Annual Report on Form 10-K filed with the SEC on March 3, 2021, except as noted below.</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 Accrued Research and Development Costs and Related Prepaid Expenses</w:t>
      </w:r>
    </w:p>
    <w:p>
      <w:pPr>
        <w:spacing w:after="0" w:line="117" w:lineRule="exact"/>
        <w:rPr>
          <w:sz w:val="20"/>
          <w:szCs w:val="20"/>
          <w:color w:val="auto"/>
        </w:rPr>
      </w:pPr>
    </w:p>
    <w:p>
      <w:pPr>
        <w:ind w:firstLine="679"/>
        <w:spacing w:after="0" w:line="275" w:lineRule="auto"/>
        <w:rPr>
          <w:sz w:val="20"/>
          <w:szCs w:val="20"/>
          <w:color w:val="auto"/>
        </w:rPr>
      </w:pPr>
      <w:r>
        <w:rPr>
          <w:rFonts w:ascii="Arial" w:cs="Arial" w:eastAsia="Arial" w:hAnsi="Arial"/>
          <w:sz w:val="17"/>
          <w:szCs w:val="17"/>
          <w:color w:val="auto"/>
        </w:rPr>
        <w:t>Research and development costs are expensed as incurred. Research and development expenses consist principally of personnel costs, including salaries, stock-based compensation and benefits for employees, third-party license fees and other operational costs related to our research and development activities, including sourcing of raw materials and manufacturing of our product candidates, allocated facility-related expenses and external costs of outside vendors, and other direct and indirect costs. Non-refundable research and development advance payments are deferred and capitalized. The capitalized amounts are expensed as the related goods are delivered or services are performed.</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660" w:firstLine="679"/>
        <w:spacing w:after="0" w:line="277" w:lineRule="auto"/>
        <w:rPr>
          <w:sz w:val="20"/>
          <w:szCs w:val="20"/>
          <w:color w:val="auto"/>
        </w:rPr>
      </w:pPr>
      <w:r>
        <w:rPr>
          <w:rFonts w:ascii="Arial" w:cs="Arial" w:eastAsia="Arial" w:hAnsi="Arial"/>
          <w:sz w:val="18"/>
          <w:szCs w:val="18"/>
          <w:color w:val="auto"/>
        </w:rPr>
        <w:t>For a description of recent accounting pronouncements, see Note 2 of the notes to our unaudited condensed financial statements included elsewhere in this Quarterly Report on Form 10-Q.</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4" w:name="page25"/>
    <w:bookmarkEnd w:id="24"/>
    <w:p>
      <w:pPr>
        <w:jc w:val="center"/>
        <w:ind w:right="-59"/>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ind w:right="40" w:firstLine="679"/>
        <w:spacing w:after="0" w:line="284" w:lineRule="auto"/>
        <w:rPr>
          <w:sz w:val="20"/>
          <w:szCs w:val="20"/>
          <w:color w:val="auto"/>
        </w:rPr>
      </w:pPr>
      <w:r>
        <w:rPr>
          <w:rFonts w:ascii="Arial" w:cs="Arial" w:eastAsia="Arial" w:hAnsi="Arial"/>
          <w:sz w:val="16"/>
          <w:szCs w:val="16"/>
          <w:color w:val="auto"/>
        </w:rPr>
        <w:t>We are an emerging growth company (or “EGC”), as defined in the Jumpstart Our Business Startups Act of 2012, as amended, or JOBS Act, enacted in April 2012. For as long as we continue to be an EGC, we may take advantage of exemptions from various reporting requirements that are applicable to other public companies that are not EGCs, including not being required to comply with the auditor attestation requirements of Section 404 of the Sarbanes-Oxley Act of 2002, as amended, or Sarbanes-Oxley Act, reduced disclosure obligations regarding executive compensation in our periodic reports and proxy statements, and exemptions from the requirements of holding nonbinding advisory votes on executive compensation and stockholder approval of any golden parachute payments not previously approved. We will remain an EGC until the earlier of (1) the last day of the fiscal year</w:t>
      </w:r>
    </w:p>
    <w:p>
      <w:pPr>
        <w:spacing w:after="0" w:line="4" w:lineRule="exact"/>
        <w:rPr>
          <w:sz w:val="20"/>
          <w:szCs w:val="20"/>
          <w:color w:val="auto"/>
        </w:rPr>
      </w:pPr>
    </w:p>
    <w:p>
      <w:pPr>
        <w:ind w:firstLine="8"/>
        <w:spacing w:after="0" w:line="253" w:lineRule="auto"/>
        <w:tabs>
          <w:tab w:leader="none" w:pos="2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following the fifth anniversary of the closing of our IPO, (b) in which we have total annual gross revenue of at least $1.07 billion or (c) in which we are deemed to be a large accelerated filer, which requires the market value of our common stock that is held by non-affiliates to exceed $700 million as of the prior June 30th, or (2) the date on which we have issued more than $1 billion in non-convertible debt during the prior three-year period. Based on our common share market value at June 30, 2021, we expect to lose our EGC status on December 31, 2021 and qualify as a large accelerated filer and, as a result, may be subject to increased disclosure and governance requirements.</w:t>
      </w:r>
    </w:p>
    <w:p>
      <w:pPr>
        <w:spacing w:after="0" w:line="83" w:lineRule="exact"/>
        <w:rPr>
          <w:sz w:val="20"/>
          <w:szCs w:val="20"/>
          <w:color w:val="auto"/>
        </w:rPr>
      </w:pPr>
    </w:p>
    <w:p>
      <w:pPr>
        <w:ind w:right="20" w:firstLine="679"/>
        <w:spacing w:after="0" w:line="257"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For as long as we continue to be an EGC, we have elected to use the extended transition period to enable us to comply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 risks.</w:t>
      </w:r>
    </w:p>
    <w:p>
      <w:pPr>
        <w:spacing w:after="0" w:line="117" w:lineRule="exact"/>
        <w:rPr>
          <w:sz w:val="20"/>
          <w:szCs w:val="20"/>
          <w:color w:val="auto"/>
        </w:rPr>
      </w:pPr>
    </w:p>
    <w:p>
      <w:pPr>
        <w:jc w:val="both"/>
        <w:ind w:firstLine="679"/>
        <w:spacing w:after="0" w:line="263" w:lineRule="auto"/>
        <w:rPr>
          <w:sz w:val="20"/>
          <w:szCs w:val="20"/>
          <w:color w:val="auto"/>
        </w:rPr>
      </w:pPr>
      <w:r>
        <w:rPr>
          <w:rFonts w:ascii="Arial" w:cs="Arial" w:eastAsia="Arial" w:hAnsi="Arial"/>
          <w:sz w:val="18"/>
          <w:szCs w:val="18"/>
          <w:color w:val="auto"/>
        </w:rPr>
        <w:t>We had cash and cash equivalents of $176.6 million as of September 30, 2021, which consists of interest-bearing U.S. treasury securities, money market funds and corporate debt securities. Our exposure due to changes in interest rates is not material due to the nature and amount of our money-market funds and short-term marketable securities.</w:t>
      </w:r>
    </w:p>
    <w:p>
      <w:pPr>
        <w:spacing w:after="0" w:line="76" w:lineRule="exact"/>
        <w:rPr>
          <w:sz w:val="20"/>
          <w:szCs w:val="20"/>
          <w:color w:val="auto"/>
        </w:rPr>
      </w:pPr>
    </w:p>
    <w:p>
      <w:pPr>
        <w:jc w:val="both"/>
        <w:ind w:right="20" w:firstLine="679"/>
        <w:spacing w:after="0" w:line="342" w:lineRule="auto"/>
        <w:rPr>
          <w:sz w:val="20"/>
          <w:szCs w:val="20"/>
          <w:color w:val="auto"/>
        </w:rPr>
      </w:pPr>
      <w:r>
        <w:rPr>
          <w:rFonts w:ascii="Arial" w:cs="Arial" w:eastAsia="Arial" w:hAnsi="Arial"/>
          <w:sz w:val="16"/>
          <w:szCs w:val="16"/>
          <w:color w:val="auto"/>
        </w:rPr>
        <w:t>We are not currently exposed to significant market risk related to changes in foreign currency exchange rates; however, we may contract with foreign vendors that are located outside the United States in the future. This may subject us to fluctuations in foreign currency exchange rates in the future.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679"/>
        <w:spacing w:after="0" w:line="254" w:lineRule="auto"/>
        <w:rPr>
          <w:sz w:val="20"/>
          <w:szCs w:val="20"/>
          <w:color w:val="auto"/>
        </w:rPr>
      </w:pPr>
      <w:r>
        <w:rPr>
          <w:rFonts w:ascii="Arial" w:cs="Arial" w:eastAsia="Arial" w:hAnsi="Arial"/>
          <w:sz w:val="18"/>
          <w:szCs w:val="18"/>
          <w:color w:val="auto"/>
        </w:rPr>
        <w:t>We maintain disclosure controls and procedures that are designed to provide reasonable assurance that information required to be disclosed in our Securities Exchange Act of 1934, as amended (the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87" w:lineRule="exact"/>
        <w:rPr>
          <w:sz w:val="20"/>
          <w:szCs w:val="20"/>
          <w:color w:val="auto"/>
        </w:rPr>
      </w:pPr>
    </w:p>
    <w:p>
      <w:pPr>
        <w:ind w:firstLine="679"/>
        <w:spacing w:after="0" w:line="259" w:lineRule="auto"/>
        <w:rPr>
          <w:sz w:val="20"/>
          <w:szCs w:val="20"/>
          <w:color w:val="auto"/>
        </w:rPr>
      </w:pPr>
      <w:r>
        <w:rPr>
          <w:rFonts w:ascii="Arial" w:cs="Arial" w:eastAsia="Arial" w:hAnsi="Arial"/>
          <w:sz w:val="18"/>
          <w:szCs w:val="18"/>
          <w:color w:val="auto"/>
        </w:rPr>
        <w:t>We carry out a variety of ongoing procedures, under the supervision and with the participation of our management, including our Chief Executive Officer and Chief Financial Officer, to evaluate the effectiveness of the design and operation of our disclosure controls and procedures. Based on the foregoing, our Chief Executive Officer and Chief Financial Officer concluded that our disclosure controls and procedures were effective at the reasonable assurance level as of September 30, 2021.</w:t>
      </w:r>
    </w:p>
    <w:p>
      <w:pPr>
        <w:spacing w:after="0" w:line="79" w:lineRule="exact"/>
        <w:rPr>
          <w:sz w:val="20"/>
          <w:szCs w:val="20"/>
          <w:color w:val="auto"/>
        </w:rPr>
      </w:pPr>
    </w:p>
    <w:p>
      <w:pPr>
        <w:ind w:right="600" w:firstLine="679"/>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during our most recent fiscal quarter that have materially affected, or are reasonably likely to materially affect, our internal control over financial reporting.</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80" w:firstLine="679"/>
        <w:spacing w:after="0" w:line="277" w:lineRule="auto"/>
        <w:rPr>
          <w:sz w:val="20"/>
          <w:szCs w:val="20"/>
          <w:color w:val="auto"/>
        </w:rPr>
      </w:pPr>
      <w:r>
        <w:rPr>
          <w:rFonts w:ascii="Arial" w:cs="Arial" w:eastAsia="Arial" w:hAnsi="Arial"/>
          <w:sz w:val="18"/>
          <w:szCs w:val="18"/>
          <w:color w:val="auto"/>
        </w:rPr>
        <w:t>We are not currently involved in any litigation or legal proceedings that, in management’s opinion, are likely to have any material adverse effect on the Company.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firstLine="679"/>
        <w:spacing w:after="0" w:line="254" w:lineRule="auto"/>
        <w:rPr>
          <w:sz w:val="20"/>
          <w:szCs w:val="20"/>
          <w:color w:val="auto"/>
        </w:rPr>
      </w:pPr>
      <w:r>
        <w:rPr>
          <w:rFonts w:ascii="Arial" w:cs="Arial" w:eastAsia="Arial" w:hAnsi="Arial"/>
          <w:sz w:val="18"/>
          <w:szCs w:val="18"/>
          <w:color w:val="auto"/>
        </w:rPr>
        <w:t>Other than as disclosed below, there have been no material changes to the Company’s risk factors as set forth in Part I, Item 1A of the Company’s Annual Report on Form 10-K for the fiscal year ended December 31, 2020, as supplemented by our Quarterly Report on Form 10-Q for the quarter ended March 31, 2021, each as filed with the SEC. You should carefully review and consider the information regarding certain factors which could materially affect our business, financial condition or future results set forth under the heading “Risk Factors” in our Annual Report on Form 10-K for the fiscal year ended December 31, 2020, as filed with the SEC on March 3, 2021, our Quarterly Report on Form 10-Q for the quarterly period ended March 31, 2021, as filed with the SEC on May 14, 2021, and our Quarterly Report on Form 10-Q for the quarterly period ended June 30, 2021, as filed with the SEC on August 13, 2021.</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Risks Related to Regulatory Process and Other Legal Compliance Matters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Healthcare legislative measures aimed at reducing healthcare costs may have a material adverse effect on our business and results of operations.</w:t>
      </w:r>
    </w:p>
    <w:p>
      <w:pPr>
        <w:spacing w:after="0" w:line="140" w:lineRule="exact"/>
        <w:rPr>
          <w:sz w:val="20"/>
          <w:szCs w:val="20"/>
          <w:color w:val="auto"/>
        </w:rPr>
      </w:pPr>
    </w:p>
    <w:p>
      <w:pPr>
        <w:ind w:right="20" w:firstLine="679"/>
        <w:spacing w:after="0" w:line="255"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84" w:lineRule="exact"/>
        <w:rPr>
          <w:sz w:val="20"/>
          <w:szCs w:val="20"/>
          <w:color w:val="auto"/>
        </w:rPr>
      </w:pPr>
    </w:p>
    <w:p>
      <w:pPr>
        <w:ind w:right="40" w:firstLine="679"/>
        <w:spacing w:after="0" w:line="269" w:lineRule="auto"/>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For example, in March 2010, the Affordable Care Act, or ACA, was passed, which substantially changed the way healthcare is financed by both governmental and private insurers, and significantly impacted the U.S. pharmaceutical industry. The ACA, among other things, subjected biological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w:t>
      </w:r>
    </w:p>
    <w:p>
      <w:pPr>
        <w:spacing w:after="0" w:line="77" w:lineRule="exact"/>
        <w:rPr>
          <w:sz w:val="20"/>
          <w:szCs w:val="20"/>
          <w:color w:val="auto"/>
        </w:rPr>
      </w:pPr>
    </w:p>
    <w:p>
      <w:pPr>
        <w:ind w:firstLine="679"/>
        <w:spacing w:after="0" w:line="269" w:lineRule="auto"/>
        <w:rPr>
          <w:sz w:val="20"/>
          <w:szCs w:val="20"/>
          <w:color w:val="auto"/>
        </w:rPr>
      </w:pPr>
      <w:r>
        <w:rPr>
          <w:rFonts w:ascii="Arial" w:cs="Arial" w:eastAsia="Arial" w:hAnsi="Arial"/>
          <w:sz w:val="17"/>
          <w:szCs w:val="17"/>
          <w:color w:val="auto"/>
        </w:rPr>
        <w:t>There have been legislative and judicial efforts to repeal, replace, or change some or all of the ACA, including measures taken during the Trump administration. While Congress has not passed repeal legislation to date, the Tax Cuts and Jobs Act, or Tax Act, repealed, effective January 1, 2019, the tax-based shared responsibility payment imposed by the ACA on certain individuals who fail to maintain qualifying health coverage for all or part of a year that is commonly referred to as the “individual mandate.” On December 14, 2018, a federal district court in Texas ruled the individual mandate is a critical and inseverable feature of the ACA, and therefore, because it was repealed as part of the Tax Act, the remaining provisions of the ACA are invalid as well. On December 18, 2019, the Fifth Circuit U.S. Court of Appeals held that the individual mandate is unconstitutional, and remanded the case to the lower court to reconsider its earlier invalidation of the full ACA. In November 2020, the United States Supreme Court held oral arguments on this case. It is unclear how the United States Supreme Court will rule on this case, or how other future judicial and legislative efforts, including healthcare measures of the Biden administration, will impact the ACA or our business. We will continue to evaluate the effect that the ACA has on our business. Complying with any new legislation or reversing changes implemented under the ACA could be time-intensive and expensive, resulting in a material adverse effect on our business.</w:t>
      </w:r>
    </w:p>
    <w:p>
      <w:pPr>
        <w:spacing w:after="0" w:line="74" w:lineRule="exact"/>
        <w:rPr>
          <w:sz w:val="20"/>
          <w:szCs w:val="20"/>
          <w:color w:val="auto"/>
        </w:rPr>
      </w:pPr>
    </w:p>
    <w:p>
      <w:pPr>
        <w:jc w:val="both"/>
        <w:ind w:right="60" w:firstLine="679"/>
        <w:spacing w:after="0" w:line="263"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For example, on January 22, 2018, President Trump signed a continuing resolution on appropriations for fiscal year 2018 that delayed the implementation of certain ACA-mandated fees, including the so called “Cadillac” tax on certain high cost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line="268" w:lineRule="auto"/>
        <w:rPr>
          <w:sz w:val="20"/>
          <w:szCs w:val="20"/>
          <w:color w:val="auto"/>
        </w:rPr>
      </w:pPr>
      <w:r>
        <w:rPr>
          <w:rFonts w:ascii="Arial" w:cs="Arial" w:eastAsia="Arial" w:hAnsi="Arial"/>
          <w:sz w:val="17"/>
          <w:szCs w:val="17"/>
          <w:color w:val="auto"/>
        </w:rPr>
        <w:t>employer-sponsored insurance plans, the annual fee imposed on certain health insurance providers based on market share, and the medical device excise tax on non-exempt medical devices; however on December 20, 2019, President Trump signed into law the Further Consolidated Appropriations Act (H.R. 1865), which repeals the Cadillac tax and the health insurance provider tax. It is impossible to determine whether similar taxes could be instated in the future.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recently published a final rule that would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 among other things, reduced Medicare payments to several providers, including hospitals, imaging centers and cancer treatment centers, and increased the statute of limitations period for the government to recover overpayments to providers from three to five years. Other legislative changes include aggregate reductions to Medicare payments to providers of 2% per fiscal year pursuant to the Budget Control Act of 2011, which began in 2013 and will remain in effect through 2030, with the exception of a temporary suspension implemented under various COVID-19 relief legislation from May 1, 2020 through March 31, 2021, unless additional Congressional action is taken.</w:t>
      </w:r>
    </w:p>
    <w:p>
      <w:pPr>
        <w:spacing w:after="0" w:line="78" w:lineRule="exact"/>
        <w:rPr>
          <w:sz w:val="20"/>
          <w:szCs w:val="20"/>
          <w:color w:val="auto"/>
        </w:rPr>
      </w:pPr>
    </w:p>
    <w:p>
      <w:pPr>
        <w:ind w:firstLine="679"/>
        <w:spacing w:after="0" w:line="286" w:lineRule="auto"/>
        <w:rPr>
          <w:sz w:val="20"/>
          <w:szCs w:val="20"/>
          <w:color w:val="auto"/>
        </w:rPr>
      </w:pPr>
      <w:r>
        <w:rPr>
          <w:rFonts w:ascii="Arial" w:cs="Arial" w:eastAsia="Arial" w:hAnsi="Arial"/>
          <w:sz w:val="16"/>
          <w:szCs w:val="16"/>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for example, in May 2019, CMS issued a final rule to allow Medicare Advantage Plans the option of using step therapy, a type of prior authorization, for Part B drugs beginning January 1, 2020. This final rule codified CMS’s policy change that was effective January 1, 2019. In 2020, under the Trump administration, HHS and CMS issued various rules that are expected to impact, among others, price reductions from pharmaceutical manufacturers to plan sponsors under Part D, fee arrangements between pharmacy benefit managers and manufacturers,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the HHS challenging various aspects of the rules. In January 2021, the Biden administration issued a “regulatory freeze” memorandum that directs department and agency heads to review new or pending rules of the prior administration. It is unclear whether these new regulations will be withdrawn or when they will become fully effective under the Biden administration. The impact of these lawsuits as well as legislative, executive, and administrative actions of the Biden administration on us, our ability to generate revenue and achieve profitability, and the pharmaceutical industry as a whole is unclear.</w:t>
      </w:r>
    </w:p>
    <w:p>
      <w:pPr>
        <w:spacing w:after="0" w:line="63" w:lineRule="exact"/>
        <w:rPr>
          <w:sz w:val="20"/>
          <w:szCs w:val="20"/>
          <w:color w:val="auto"/>
        </w:rPr>
      </w:pPr>
    </w:p>
    <w:p>
      <w:pPr>
        <w:ind w:right="20" w:firstLine="679"/>
        <w:spacing w:after="0" w:line="254" w:lineRule="auto"/>
        <w:rPr>
          <w:sz w:val="20"/>
          <w:szCs w:val="20"/>
          <w:color w:val="auto"/>
        </w:rPr>
      </w:pPr>
      <w:r>
        <w:rPr>
          <w:rFonts w:ascii="Arial" w:cs="Arial" w:eastAsia="Arial" w:hAnsi="Arial"/>
          <w:sz w:val="18"/>
          <w:szCs w:val="18"/>
          <w:color w:val="auto"/>
        </w:rPr>
        <w:t>Further,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In July 2021, the Biden administration released an executive order, “Promoting Competition in the American Economy,” with multiple provisions aimed at increasing competition for prescription drugs. In response to this executive order, the HHS has released a Comprehensive Plan for Addressing High Drug Prices that outlines principles for drug pricing reform and potential legislative policies that Congress could pursue to advance these principles. In addition, Congress is considering legislation that, if passed, could have significant impact on prices of prescription drugs covered by Medicare, including limitations on drug price increases, which may adversely affect our profitability.</w:t>
      </w:r>
    </w:p>
    <w:p>
      <w:pPr>
        <w:spacing w:after="0" w:line="84" w:lineRule="exact"/>
        <w:rPr>
          <w:sz w:val="20"/>
          <w:szCs w:val="20"/>
          <w:color w:val="auto"/>
        </w:rPr>
      </w:pPr>
    </w:p>
    <w:p>
      <w:pPr>
        <w:ind w:right="20" w:firstLine="679"/>
        <w:spacing w:after="0" w:line="288" w:lineRule="auto"/>
        <w:rPr>
          <w:sz w:val="20"/>
          <w:szCs w:val="20"/>
          <w:color w:val="auto"/>
        </w:rPr>
      </w:pPr>
      <w:r>
        <w:rPr>
          <w:rFonts w:ascii="Arial" w:cs="Arial" w:eastAsia="Arial" w:hAnsi="Arial"/>
          <w:sz w:val="16"/>
          <w:szCs w:val="16"/>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60" w:lineRule="exact"/>
        <w:rPr>
          <w:sz w:val="20"/>
          <w:szCs w:val="20"/>
          <w:color w:val="auto"/>
        </w:rPr>
      </w:pPr>
    </w:p>
    <w:p>
      <w:pPr>
        <w:ind w:right="300" w:firstLine="679"/>
        <w:spacing w:after="0" w:line="259" w:lineRule="auto"/>
        <w:rPr>
          <w:sz w:val="20"/>
          <w:szCs w:val="20"/>
          <w:color w:val="auto"/>
        </w:rPr>
      </w:pPr>
      <w:r>
        <w:rPr>
          <w:rFonts w:ascii="Arial" w:cs="Arial" w:eastAsia="Arial" w:hAnsi="Arial"/>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7" w:name="page28"/>
    <w:bookmarkEnd w:id="27"/>
    <w:p>
      <w:pPr>
        <w:ind w:firstLine="679"/>
        <w:spacing w:after="0" w:line="301" w:lineRule="auto"/>
        <w:rPr>
          <w:sz w:val="20"/>
          <w:szCs w:val="20"/>
          <w:color w:val="auto"/>
        </w:rPr>
      </w:pPr>
      <w:r>
        <w:rPr>
          <w:rFonts w:ascii="Arial" w:cs="Arial" w:eastAsia="Arial" w:hAnsi="Arial"/>
          <w:sz w:val="16"/>
          <w:szCs w:val="16"/>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49" w:lineRule="exact"/>
        <w:rPr>
          <w:sz w:val="20"/>
          <w:szCs w:val="20"/>
          <w:color w:val="auto"/>
        </w:rPr>
      </w:pPr>
    </w:p>
    <w:p>
      <w:pPr>
        <w:ind w:left="980" w:hanging="297"/>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117" w:lineRule="exact"/>
        <w:rPr>
          <w:rFonts w:ascii="Arial" w:cs="Arial" w:eastAsia="Arial" w:hAnsi="Arial"/>
          <w:sz w:val="18"/>
          <w:szCs w:val="18"/>
          <w:color w:val="auto"/>
        </w:rPr>
      </w:pPr>
    </w:p>
    <w:p>
      <w:pPr>
        <w:ind w:left="980" w:hanging="297"/>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980" w:hanging="297"/>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117" w:lineRule="exact"/>
        <w:rPr>
          <w:rFonts w:ascii="Arial" w:cs="Arial" w:eastAsia="Arial" w:hAnsi="Arial"/>
          <w:sz w:val="18"/>
          <w:szCs w:val="18"/>
          <w:color w:val="auto"/>
        </w:rPr>
      </w:pPr>
    </w:p>
    <w:p>
      <w:pPr>
        <w:ind w:left="980" w:hanging="297"/>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17" w:lineRule="exact"/>
        <w:rPr>
          <w:rFonts w:ascii="Arial" w:cs="Arial" w:eastAsia="Arial" w:hAnsi="Arial"/>
          <w:sz w:val="18"/>
          <w:szCs w:val="18"/>
          <w:color w:val="auto"/>
        </w:rPr>
      </w:pPr>
    </w:p>
    <w:p>
      <w:pPr>
        <w:ind w:left="980" w:hanging="297"/>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17" w:lineRule="exact"/>
        <w:rPr>
          <w:rFonts w:ascii="Arial" w:cs="Arial" w:eastAsia="Arial" w:hAnsi="Arial"/>
          <w:sz w:val="18"/>
          <w:szCs w:val="18"/>
          <w:color w:val="auto"/>
        </w:rPr>
      </w:pPr>
    </w:p>
    <w:p>
      <w:pPr>
        <w:ind w:left="980" w:hanging="297"/>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17" w:lineRule="exact"/>
        <w:rPr>
          <w:sz w:val="20"/>
          <w:szCs w:val="20"/>
          <w:color w:val="auto"/>
        </w:rPr>
      </w:pPr>
    </w:p>
    <w:p>
      <w:pPr>
        <w:ind w:right="40" w:firstLine="679"/>
        <w:spacing w:after="0" w:line="277"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Risks Related to Ownership of Our Common Stock</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the market price of our common stock may decline.</w:t>
      </w:r>
    </w:p>
    <w:p>
      <w:pPr>
        <w:spacing w:after="0" w:line="76" w:lineRule="exact"/>
        <w:rPr>
          <w:sz w:val="20"/>
          <w:szCs w:val="20"/>
          <w:color w:val="auto"/>
        </w:rPr>
      </w:pPr>
    </w:p>
    <w:p>
      <w:pPr>
        <w:ind w:right="60" w:firstLine="679"/>
        <w:spacing w:after="0" w:line="272" w:lineRule="auto"/>
        <w:rPr>
          <w:sz w:val="20"/>
          <w:szCs w:val="20"/>
          <w:color w:val="auto"/>
        </w:rPr>
      </w:pPr>
      <w:r>
        <w:rPr>
          <w:rFonts w:ascii="Arial" w:cs="Arial" w:eastAsia="Arial" w:hAnsi="Arial"/>
          <w:sz w:val="17"/>
          <w:szCs w:val="17"/>
          <w:color w:val="auto"/>
        </w:rPr>
        <w:t>We may from time-to-time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In October 2021, our shelf registration statement and prospectus supplement on Form S-3 (File No. 333-260012) became effective upon filing with the SEC, pursuant to which we may offer debt securities, preferred stock, common stock and certain other securities from time to time. If in the future we issue additional shares of common stock or securities convertible into common stock, our common stockholders would experience additional dilution and, as a result, the market price of our common stock may decline.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(a) Unregistered Sales of Equity Securities</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(b) Use of Proceeds</w:t>
      </w:r>
    </w:p>
    <w:p>
      <w:pPr>
        <w:spacing w:after="0" w:line="117" w:lineRule="exact"/>
        <w:rPr>
          <w:sz w:val="20"/>
          <w:szCs w:val="20"/>
          <w:color w:val="auto"/>
        </w:rPr>
      </w:pPr>
    </w:p>
    <w:p>
      <w:pPr>
        <w:ind w:right="120" w:firstLine="679"/>
        <w:spacing w:after="0" w:line="291" w:lineRule="auto"/>
        <w:rPr>
          <w:sz w:val="20"/>
          <w:szCs w:val="20"/>
          <w:color w:val="auto"/>
        </w:rPr>
      </w:pPr>
      <w:r>
        <w:rPr>
          <w:rFonts w:ascii="Arial" w:cs="Arial" w:eastAsia="Arial" w:hAnsi="Arial"/>
          <w:sz w:val="16"/>
          <w:szCs w:val="16"/>
          <w:color w:val="auto"/>
        </w:rPr>
        <w:t>Our registration statement on Form S-1 (File No. 333-248627) relating to the initial public offering of our common stock was declared effective by the SEC on September 24, 2020, or IPO. Our common stock started trading on the Nasdaq Global Select Market on September 25, 2020. In connection with our IPO, we sold an aggregate of 13,529,750 shares of common stock at a public offering price of $18.00 per share, including 1,764,750 shares sold pursuant to the underwriters’ full exercise of their option to purchase additional shares. Goldman Sachs &amp; Co. LLC, BofA Securities, Inc., Cowen and Company, LLC and Evercore Group L.L.C. acted as the joint book-running managers of the IPO. The aggregate gross proceeds received by us from the offering, excluding underwriting discounts and commissions and offering expenses, were $243.5 million. No offering expenses were paid or are payable, directly or indirectly, to our directors or officers, to persons owning 10% or more of any class of our equity securities or to any of our affiliates.</w:t>
      </w:r>
    </w:p>
    <w:p>
      <w:pPr>
        <w:spacing w:after="0" w:line="58" w:lineRule="exact"/>
        <w:rPr>
          <w:sz w:val="20"/>
          <w:szCs w:val="20"/>
          <w:color w:val="auto"/>
        </w:rPr>
      </w:pPr>
    </w:p>
    <w:p>
      <w:pPr>
        <w:ind w:right="140" w:firstLine="679"/>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IPO as described in the final prospectus relating to that offering filed with the SEC pursuant to Rule 424(b)(4) on September 25,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jc w:val="center"/>
        <w:ind w:right="8760"/>
        <w:spacing w:after="0"/>
        <w:rPr>
          <w:sz w:val="20"/>
          <w:szCs w:val="20"/>
          <w:color w:val="auto"/>
        </w:rPr>
      </w:pPr>
      <w:r>
        <w:rPr>
          <w:rFonts w:ascii="Arial" w:cs="Arial" w:eastAsia="Arial" w:hAnsi="Arial"/>
          <w:sz w:val="16"/>
          <w:szCs w:val="16"/>
          <w:b w:val="1"/>
          <w:bCs w:val="1"/>
          <w:color w:val="auto"/>
        </w:rPr>
        <w:t>Item 4. Mine Safety Disclosures.</w:t>
      </w:r>
    </w:p>
    <w:p>
      <w:pPr>
        <w:spacing w:after="0" w:line="144" w:lineRule="exact"/>
        <w:rPr>
          <w:sz w:val="20"/>
          <w:szCs w:val="20"/>
          <w:color w:val="auto"/>
        </w:rPr>
      </w:pPr>
    </w:p>
    <w:p>
      <w:pPr>
        <w:jc w:val="center"/>
        <w:ind w:right="87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w w:val="98"/>
              </w:rPr>
              <w:t>Item 5.</w:t>
            </w:r>
          </w:p>
        </w:tc>
        <w:tc>
          <w:tcPr>
            <w:tcW w:w="2140" w:type="dxa"/>
            <w:vAlign w:val="bottom"/>
          </w:tcPr>
          <w:p>
            <w:pPr>
              <w:ind w:left="20"/>
              <w:spacing w:after="0"/>
              <w:rPr>
                <w:sz w:val="20"/>
                <w:szCs w:val="20"/>
                <w:color w:val="auto"/>
              </w:rPr>
            </w:pPr>
            <w:r>
              <w:rPr>
                <w:rFonts w:ascii="Arial" w:cs="Arial" w:eastAsia="Arial" w:hAnsi="Arial"/>
                <w:sz w:val="18"/>
                <w:szCs w:val="18"/>
                <w:b w:val="1"/>
                <w:bCs w:val="1"/>
                <w:color w:val="auto"/>
              </w:rPr>
              <w:t>Other Information.</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80" w:type="dxa"/>
            <w:vAlign w:val="bottom"/>
          </w:tcPr>
          <w:p>
            <w:pPr>
              <w:spacing w:after="0"/>
              <w:rPr>
                <w:sz w:val="24"/>
                <w:szCs w:val="24"/>
                <w:color w:val="auto"/>
              </w:rPr>
            </w:pPr>
          </w:p>
        </w:tc>
        <w:tc>
          <w:tcPr>
            <w:tcW w:w="2140" w:type="dxa"/>
            <w:vAlign w:val="bottom"/>
          </w:tcPr>
          <w:p>
            <w:pPr>
              <w:ind w:left="100"/>
              <w:spacing w:after="0"/>
              <w:rPr>
                <w:sz w:val="20"/>
                <w:szCs w:val="20"/>
                <w:color w:val="auto"/>
              </w:rPr>
            </w:pPr>
            <w:r>
              <w:rPr>
                <w:rFonts w:ascii="Arial" w:cs="Arial" w:eastAsia="Arial" w:hAnsi="Arial"/>
                <w:sz w:val="18"/>
                <w:szCs w:val="18"/>
                <w:color w:val="auto"/>
              </w:rPr>
              <w:t>Not applicable.</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80" w:type="dxa"/>
            <w:vAlign w:val="bottom"/>
          </w:tcPr>
          <w:p>
            <w:pPr>
              <w:spacing w:after="0"/>
              <w:rPr>
                <w:sz w:val="20"/>
                <w:szCs w:val="20"/>
                <w:color w:val="auto"/>
              </w:rPr>
            </w:pPr>
            <w:r>
              <w:rPr>
                <w:rFonts w:ascii="Arial" w:cs="Arial" w:eastAsia="Arial" w:hAnsi="Arial"/>
                <w:sz w:val="18"/>
                <w:szCs w:val="18"/>
                <w:b w:val="1"/>
                <w:bCs w:val="1"/>
                <w:color w:val="auto"/>
                <w:w w:val="98"/>
              </w:rPr>
              <w:t>Item 6.</w:t>
            </w:r>
          </w:p>
        </w:tc>
        <w:tc>
          <w:tcPr>
            <w:tcW w:w="2140" w:type="dxa"/>
            <w:vAlign w:val="bottom"/>
          </w:tcPr>
          <w:p>
            <w:pPr>
              <w:ind w:left="20"/>
              <w:spacing w:after="0"/>
              <w:rPr>
                <w:sz w:val="20"/>
                <w:szCs w:val="20"/>
                <w:color w:val="auto"/>
              </w:rPr>
            </w:pPr>
            <w:r>
              <w:rPr>
                <w:rFonts w:ascii="Arial" w:cs="Arial" w:eastAsia="Arial" w:hAnsi="Arial"/>
                <w:sz w:val="18"/>
                <w:szCs w:val="18"/>
                <w:b w:val="1"/>
                <w:bCs w:val="1"/>
                <w:color w:val="auto"/>
              </w:rPr>
              <w:t>Exhibits.</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720" w:type="dxa"/>
            <w:vAlign w:val="bottom"/>
            <w:gridSpan w:val="2"/>
          </w:tcPr>
          <w:p>
            <w:pPr>
              <w:jc w:val="center"/>
              <w:ind w:right="1790"/>
              <w:spacing w:after="0"/>
              <w:rPr>
                <w:sz w:val="20"/>
                <w:szCs w:val="20"/>
                <w:color w:val="auto"/>
              </w:rPr>
            </w:pPr>
            <w:r>
              <w:rPr>
                <w:rFonts w:ascii="Arial" w:cs="Arial" w:eastAsia="Arial" w:hAnsi="Arial"/>
                <w:sz w:val="14"/>
                <w:szCs w:val="14"/>
                <w:b w:val="1"/>
                <w:bCs w:val="1"/>
                <w:color w:val="auto"/>
                <w:w w:val="94"/>
              </w:rPr>
              <w:t>Exhibit</w:t>
            </w:r>
          </w:p>
        </w:tc>
        <w:tc>
          <w:tcPr>
            <w:tcW w:w="1360" w:type="dxa"/>
            <w:vAlign w:val="bottom"/>
            <w:vMerge w:val="restart"/>
          </w:tcPr>
          <w:p>
            <w:pPr>
              <w:ind w:left="660"/>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86"/>
        </w:trPr>
        <w:tc>
          <w:tcPr>
            <w:tcW w:w="2720" w:type="dxa"/>
            <w:vAlign w:val="bottom"/>
            <w:gridSpan w:val="2"/>
          </w:tcPr>
          <w:p>
            <w:pPr>
              <w:jc w:val="center"/>
              <w:ind w:right="1790"/>
              <w:spacing w:after="0"/>
              <w:rPr>
                <w:sz w:val="20"/>
                <w:szCs w:val="20"/>
                <w:color w:val="auto"/>
              </w:rPr>
            </w:pPr>
            <w:r>
              <w:rPr>
                <w:rFonts w:ascii="Arial" w:cs="Arial" w:eastAsia="Arial" w:hAnsi="Arial"/>
                <w:sz w:val="14"/>
                <w:szCs w:val="14"/>
                <w:b w:val="1"/>
                <w:bCs w:val="1"/>
                <w:color w:val="auto"/>
                <w:w w:val="98"/>
              </w:rPr>
              <w:t>Number</w:t>
            </w: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30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r:id="rId46">
        <w:r>
          <w:rPr>
            <w:rFonts w:ascii="Arial" w:cs="Arial" w:eastAsia="Arial" w:hAnsi="Arial"/>
            <w:sz w:val="16"/>
            <w:szCs w:val="16"/>
            <w:u w:val="single" w:color="auto"/>
            <w:color w:val="0000EE"/>
          </w:rPr>
          <w:t>Amended and Restated Certificate of Incorporation of the Registrant</w:t>
        </w:r>
      </w:hyperlink>
    </w:p>
    <w:p>
      <w:pPr>
        <w:spacing w:after="0" w:line="158" w:lineRule="exact"/>
        <w:rPr>
          <w:sz w:val="20"/>
          <w:szCs w:val="20"/>
          <w:color w:val="auto"/>
        </w:rPr>
      </w:pPr>
    </w:p>
    <w:p>
      <w:pPr>
        <w:ind w:left="30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r:id="rId47">
        <w:r>
          <w:rPr>
            <w:rFonts w:ascii="Arial" w:cs="Arial" w:eastAsia="Arial" w:hAnsi="Arial"/>
            <w:sz w:val="16"/>
            <w:szCs w:val="16"/>
            <w:u w:val="single" w:color="auto"/>
            <w:color w:val="0000EE"/>
          </w:rPr>
          <w:t>Restated Bylaws of the Registrant</w:t>
        </w:r>
      </w:hyperlink>
    </w:p>
    <w:p>
      <w:pPr>
        <w:spacing w:after="0" w:line="158" w:lineRule="exact"/>
        <w:rPr>
          <w:sz w:val="20"/>
          <w:szCs w:val="20"/>
          <w:color w:val="auto"/>
        </w:rPr>
      </w:pPr>
    </w:p>
    <w:p>
      <w:pPr>
        <w:ind w:left="920" w:right="40" w:hanging="604"/>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48">
        <w:r>
          <w:rPr>
            <w:rFonts w:ascii="Arial" w:cs="Arial" w:eastAsia="Arial" w:hAnsi="Arial"/>
            <w:sz w:val="18"/>
            <w:szCs w:val="18"/>
            <w:u w:val="single" w:color="auto"/>
            <w:color w:val="0000EE"/>
          </w:rPr>
          <w:t>Amended and Restated Investors’ Rights Agreement, dated July 17, 2020, by</w:t>
        </w:r>
      </w:hyperlink>
      <w:r>
        <w:rPr>
          <w:rFonts w:ascii="Arial" w:cs="Arial" w:eastAsia="Arial" w:hAnsi="Arial"/>
          <w:sz w:val="18"/>
          <w:szCs w:val="18"/>
          <w:u w:val="single" w:color="auto"/>
          <w:color w:val="0000EE"/>
        </w:rPr>
        <w:t xml:space="preserve"> </w:t>
      </w:r>
      <w:hyperlink r:id="rId48">
        <w:r>
          <w:rPr>
            <w:rFonts w:ascii="Arial" w:cs="Arial" w:eastAsia="Arial" w:hAnsi="Arial"/>
            <w:sz w:val="18"/>
            <w:szCs w:val="18"/>
            <w:u w:val="single" w:color="auto"/>
            <w:color w:val="0000EE"/>
          </w:rPr>
          <w:t>and among the Registrant and certain of its stockholders.</w:t>
        </w:r>
      </w:hyperlink>
    </w:p>
    <w:p>
      <w:pPr>
        <w:spacing w:after="0" w:line="103" w:lineRule="exact"/>
        <w:rPr>
          <w:sz w:val="20"/>
          <w:szCs w:val="20"/>
          <w:color w:val="auto"/>
        </w:rPr>
      </w:pPr>
    </w:p>
    <w:p>
      <w:pPr>
        <w:ind w:left="30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r:id="rId49">
        <w:r>
          <w:rPr>
            <w:rFonts w:ascii="Arial" w:cs="Arial" w:eastAsia="Arial" w:hAnsi="Arial"/>
            <w:sz w:val="16"/>
            <w:szCs w:val="16"/>
            <w:u w:val="single" w:color="auto"/>
            <w:color w:val="0000EE"/>
          </w:rPr>
          <w:t>Specimen common stock certificate</w:t>
        </w:r>
      </w:hyperlink>
    </w:p>
    <w:p>
      <w:pPr>
        <w:spacing w:after="0" w:line="158" w:lineRule="exact"/>
        <w:rPr>
          <w:sz w:val="20"/>
          <w:szCs w:val="20"/>
          <w:color w:val="auto"/>
        </w:rPr>
      </w:pPr>
    </w:p>
    <w:p>
      <w:pPr>
        <w:ind w:left="920" w:right="200" w:hanging="694"/>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50">
        <w:r>
          <w:rPr>
            <w:rFonts w:ascii="Arial" w:cs="Arial" w:eastAsia="Arial" w:hAnsi="Arial"/>
            <w:sz w:val="18"/>
            <w:szCs w:val="18"/>
            <w:u w:val="single" w:color="auto"/>
            <w:color w:val="0000EE"/>
          </w:rPr>
          <w:t>Form of Indemnification Agreement between the Registrant and each of its</w:t>
        </w:r>
      </w:hyperlink>
      <w:r>
        <w:rPr>
          <w:rFonts w:ascii="Arial" w:cs="Arial" w:eastAsia="Arial" w:hAnsi="Arial"/>
          <w:sz w:val="18"/>
          <w:szCs w:val="18"/>
          <w:u w:val="single" w:color="auto"/>
          <w:color w:val="0000EE"/>
        </w:rPr>
        <w:t xml:space="preserve"> </w:t>
      </w:r>
      <w:hyperlink r:id="rId50">
        <w:r>
          <w:rPr>
            <w:rFonts w:ascii="Arial" w:cs="Arial" w:eastAsia="Arial" w:hAnsi="Arial"/>
            <w:sz w:val="18"/>
            <w:szCs w:val="18"/>
            <w:u w:val="single" w:color="auto"/>
            <w:color w:val="0000EE"/>
          </w:rPr>
          <w:t>directors and executive officers.</w:t>
        </w:r>
      </w:hyperlink>
    </w:p>
    <w:p>
      <w:pPr>
        <w:spacing w:after="0" w:line="103" w:lineRule="exact"/>
        <w:rPr>
          <w:sz w:val="20"/>
          <w:szCs w:val="20"/>
          <w:color w:val="auto"/>
        </w:rPr>
      </w:pPr>
    </w:p>
    <w:p>
      <w:pPr>
        <w:ind w:left="22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51">
        <w:r>
          <w:rPr>
            <w:rFonts w:ascii="Arial" w:cs="Arial" w:eastAsia="Arial" w:hAnsi="Arial"/>
            <w:sz w:val="16"/>
            <w:szCs w:val="16"/>
            <w:u w:val="single" w:color="auto"/>
            <w:color w:val="0000EE"/>
          </w:rPr>
          <w:t>2013 Equity Incentive Plan, as amended, and forms of agreement thereunder.</w:t>
        </w:r>
      </w:hyperlink>
    </w:p>
    <w:p>
      <w:pPr>
        <w:spacing w:after="0" w:line="158" w:lineRule="exact"/>
        <w:rPr>
          <w:sz w:val="20"/>
          <w:szCs w:val="20"/>
          <w:color w:val="auto"/>
        </w:rPr>
      </w:pPr>
    </w:p>
    <w:p>
      <w:pPr>
        <w:ind w:left="22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10.3*</w:t>
      </w:r>
      <w:r>
        <w:rPr>
          <w:sz w:val="20"/>
          <w:szCs w:val="20"/>
          <w:color w:val="auto"/>
        </w:rPr>
        <w:tab/>
      </w:r>
      <w:hyperlink r:id="rId52">
        <w:r>
          <w:rPr>
            <w:rFonts w:ascii="Arial" w:cs="Arial" w:eastAsia="Arial" w:hAnsi="Arial"/>
            <w:sz w:val="16"/>
            <w:szCs w:val="16"/>
            <w:u w:val="single" w:color="auto"/>
            <w:color w:val="0000EE"/>
          </w:rPr>
          <w:t>2020 Equity Incentive Plan and forms of agreements thereunder.</w:t>
        </w:r>
      </w:hyperlink>
    </w:p>
    <w:p>
      <w:pPr>
        <w:spacing w:after="0" w:line="158" w:lineRule="exact"/>
        <w:rPr>
          <w:sz w:val="20"/>
          <w:szCs w:val="20"/>
          <w:color w:val="auto"/>
        </w:rPr>
      </w:pPr>
    </w:p>
    <w:p>
      <w:pPr>
        <w:ind w:left="220"/>
        <w:spacing w:after="0"/>
        <w:tabs>
          <w:tab w:leader="none" w:pos="900" w:val="left"/>
        </w:tabs>
        <w:rPr>
          <w:rFonts w:ascii="Arial" w:cs="Arial" w:eastAsia="Arial" w:hAnsi="Arial"/>
          <w:sz w:val="15"/>
          <w:szCs w:val="15"/>
          <w:u w:val="single" w:color="auto"/>
          <w:color w:val="0000EE"/>
        </w:rPr>
      </w:pPr>
      <w:r>
        <w:rPr>
          <w:rFonts w:ascii="Arial" w:cs="Arial" w:eastAsia="Arial" w:hAnsi="Arial"/>
          <w:sz w:val="18"/>
          <w:szCs w:val="18"/>
          <w:color w:val="auto"/>
        </w:rPr>
        <w:t>10.4*</w:t>
      </w:r>
      <w:r>
        <w:rPr>
          <w:sz w:val="20"/>
          <w:szCs w:val="20"/>
          <w:color w:val="auto"/>
        </w:rPr>
        <w:tab/>
      </w:r>
      <w:hyperlink r:id="rId53">
        <w:r>
          <w:rPr>
            <w:rFonts w:ascii="Arial" w:cs="Arial" w:eastAsia="Arial" w:hAnsi="Arial"/>
            <w:sz w:val="15"/>
            <w:szCs w:val="15"/>
            <w:u w:val="single" w:color="auto"/>
            <w:color w:val="0000EE"/>
          </w:rPr>
          <w:t>2020 Employee Stock Purchase Plan and forms of agreements thereunder.</w:t>
        </w:r>
      </w:hyperlink>
    </w:p>
    <w:p>
      <w:pPr>
        <w:spacing w:after="0" w:line="158" w:lineRule="exact"/>
        <w:rPr>
          <w:sz w:val="20"/>
          <w:szCs w:val="20"/>
          <w:color w:val="auto"/>
        </w:rPr>
      </w:pPr>
    </w:p>
    <w:p>
      <w:pPr>
        <w:ind w:left="920" w:right="580" w:hanging="694"/>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54">
        <w:r>
          <w:rPr>
            <w:rFonts w:ascii="Arial" w:cs="Arial" w:eastAsia="Arial" w:hAnsi="Arial"/>
            <w:sz w:val="18"/>
            <w:szCs w:val="18"/>
            <w:u w:val="single" w:color="auto"/>
            <w:color w:val="0000EE"/>
          </w:rPr>
          <w:t>Employment Offer Letter, dated August 17, 2020, by and between the</w:t>
        </w:r>
      </w:hyperlink>
      <w:r>
        <w:rPr>
          <w:rFonts w:ascii="Arial" w:cs="Arial" w:eastAsia="Arial" w:hAnsi="Arial"/>
          <w:sz w:val="18"/>
          <w:szCs w:val="18"/>
          <w:u w:val="single" w:color="auto"/>
          <w:color w:val="0000EE"/>
        </w:rPr>
        <w:t xml:space="preserve"> </w:t>
      </w:r>
      <w:hyperlink r:id="rId54">
        <w:r>
          <w:rPr>
            <w:rFonts w:ascii="Arial" w:cs="Arial" w:eastAsia="Arial" w:hAnsi="Arial"/>
            <w:sz w:val="18"/>
            <w:szCs w:val="18"/>
            <w:u w:val="single" w:color="auto"/>
            <w:color w:val="0000EE"/>
          </w:rPr>
          <w:t>Registrant and David H. Mack, Ph.D.</w:t>
        </w:r>
      </w:hyperlink>
    </w:p>
    <w:p>
      <w:pPr>
        <w:spacing w:after="0" w:line="103" w:lineRule="exact"/>
        <w:rPr>
          <w:sz w:val="20"/>
          <w:szCs w:val="20"/>
          <w:color w:val="auto"/>
        </w:rPr>
      </w:pPr>
    </w:p>
    <w:p>
      <w:pPr>
        <w:ind w:left="920" w:right="580" w:hanging="694"/>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55">
        <w:r>
          <w:rPr>
            <w:rFonts w:ascii="Arial" w:cs="Arial" w:eastAsia="Arial" w:hAnsi="Arial"/>
            <w:sz w:val="18"/>
            <w:szCs w:val="18"/>
            <w:u w:val="single" w:color="auto"/>
            <w:color w:val="0000EE"/>
          </w:rPr>
          <w:t>Employment Offer Letter, dated August 17, 2020, by and between the</w:t>
        </w:r>
      </w:hyperlink>
      <w:r>
        <w:rPr>
          <w:rFonts w:ascii="Arial" w:cs="Arial" w:eastAsia="Arial" w:hAnsi="Arial"/>
          <w:sz w:val="18"/>
          <w:szCs w:val="18"/>
          <w:u w:val="single" w:color="auto"/>
          <w:color w:val="0000EE"/>
        </w:rPr>
        <w:t xml:space="preserve"> </w:t>
      </w:r>
      <w:hyperlink r:id="rId55">
        <w:r>
          <w:rPr>
            <w:rFonts w:ascii="Arial" w:cs="Arial" w:eastAsia="Arial" w:hAnsi="Arial"/>
            <w:sz w:val="18"/>
            <w:szCs w:val="18"/>
            <w:u w:val="single" w:color="auto"/>
            <w:color w:val="0000EE"/>
          </w:rPr>
          <w:t>Registrant and Winston Kung.</w:t>
        </w:r>
      </w:hyperlink>
    </w:p>
    <w:p>
      <w:pPr>
        <w:spacing w:after="0" w:line="103" w:lineRule="exact"/>
        <w:rPr>
          <w:sz w:val="20"/>
          <w:szCs w:val="20"/>
          <w:color w:val="auto"/>
        </w:rPr>
      </w:pPr>
    </w:p>
    <w:p>
      <w:pPr>
        <w:ind w:left="920" w:right="580" w:hanging="694"/>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56">
        <w:r>
          <w:rPr>
            <w:rFonts w:ascii="Arial" w:cs="Arial" w:eastAsia="Arial" w:hAnsi="Arial"/>
            <w:sz w:val="18"/>
            <w:szCs w:val="18"/>
            <w:u w:val="single" w:color="auto"/>
            <w:color w:val="0000EE"/>
          </w:rPr>
          <w:t>Employment Offer Letter, dated August 18, 2020, by and between the</w:t>
        </w:r>
      </w:hyperlink>
      <w:r>
        <w:rPr>
          <w:rFonts w:ascii="Arial" w:cs="Arial" w:eastAsia="Arial" w:hAnsi="Arial"/>
          <w:sz w:val="18"/>
          <w:szCs w:val="18"/>
          <w:u w:val="single" w:color="auto"/>
          <w:color w:val="0000EE"/>
        </w:rPr>
        <w:t xml:space="preserve"> </w:t>
      </w:r>
      <w:hyperlink r:id="rId56">
        <w:r>
          <w:rPr>
            <w:rFonts w:ascii="Arial" w:cs="Arial" w:eastAsia="Arial" w:hAnsi="Arial"/>
            <w:sz w:val="18"/>
            <w:szCs w:val="18"/>
            <w:u w:val="single" w:color="auto"/>
            <w:color w:val="0000EE"/>
          </w:rPr>
          <w:t>Registrant and Leila Alland, M.D.</w:t>
        </w:r>
      </w:hyperlink>
    </w:p>
    <w:p>
      <w:pPr>
        <w:spacing w:after="0" w:line="103" w:lineRule="exact"/>
        <w:rPr>
          <w:sz w:val="20"/>
          <w:szCs w:val="20"/>
          <w:color w:val="auto"/>
        </w:rPr>
      </w:pPr>
    </w:p>
    <w:p>
      <w:pPr>
        <w:ind w:left="920" w:right="580" w:hanging="694"/>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57">
        <w:r>
          <w:rPr>
            <w:rFonts w:ascii="Arial" w:cs="Arial" w:eastAsia="Arial" w:hAnsi="Arial"/>
            <w:sz w:val="18"/>
            <w:szCs w:val="18"/>
            <w:u w:val="single" w:color="auto"/>
            <w:color w:val="0000EE"/>
          </w:rPr>
          <w:t>Employment Offer Letter, dated August 18, 2020, by and between the</w:t>
        </w:r>
      </w:hyperlink>
      <w:r>
        <w:rPr>
          <w:rFonts w:ascii="Arial" w:cs="Arial" w:eastAsia="Arial" w:hAnsi="Arial"/>
          <w:sz w:val="18"/>
          <w:szCs w:val="18"/>
          <w:u w:val="single" w:color="auto"/>
          <w:color w:val="0000EE"/>
        </w:rPr>
        <w:t xml:space="preserve"> </w:t>
      </w:r>
      <w:hyperlink r:id="rId57">
        <w:r>
          <w:rPr>
            <w:rFonts w:ascii="Arial" w:cs="Arial" w:eastAsia="Arial" w:hAnsi="Arial"/>
            <w:sz w:val="18"/>
            <w:szCs w:val="18"/>
            <w:u w:val="single" w:color="auto"/>
            <w:color w:val="0000EE"/>
          </w:rPr>
          <w:t>Registrant and Deepika Jalota, Pharm.D.</w:t>
        </w:r>
      </w:hyperlink>
    </w:p>
    <w:p>
      <w:pPr>
        <w:spacing w:after="0" w:line="103" w:lineRule="exact"/>
        <w:rPr>
          <w:sz w:val="20"/>
          <w:szCs w:val="20"/>
          <w:color w:val="auto"/>
        </w:rPr>
      </w:pPr>
    </w:p>
    <w:p>
      <w:pPr>
        <w:ind w:left="22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10.9*</w:t>
      </w:r>
      <w:r>
        <w:rPr>
          <w:sz w:val="20"/>
          <w:szCs w:val="20"/>
          <w:color w:val="auto"/>
        </w:rPr>
        <w:tab/>
      </w:r>
      <w:hyperlink r:id="rId58">
        <w:r>
          <w:rPr>
            <w:rFonts w:ascii="Arial" w:cs="Arial" w:eastAsia="Arial" w:hAnsi="Arial"/>
            <w:sz w:val="16"/>
            <w:szCs w:val="16"/>
            <w:u w:val="single" w:color="auto"/>
            <w:color w:val="0000EE"/>
          </w:rPr>
          <w:t>Employee Incentive Compensation Plan.</w:t>
        </w:r>
      </w:hyperlink>
    </w:p>
    <w:p>
      <w:pPr>
        <w:spacing w:after="0" w:line="158" w:lineRule="exact"/>
        <w:rPr>
          <w:sz w:val="20"/>
          <w:szCs w:val="20"/>
          <w:color w:val="auto"/>
        </w:rPr>
      </w:pPr>
    </w:p>
    <w:p>
      <w:pPr>
        <w:ind w:left="20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10.10*</w:t>
      </w:r>
      <w:r>
        <w:rPr>
          <w:sz w:val="20"/>
          <w:szCs w:val="20"/>
          <w:color w:val="auto"/>
        </w:rPr>
        <w:tab/>
      </w:r>
      <w:hyperlink r:id="rId59">
        <w:r>
          <w:rPr>
            <w:rFonts w:ascii="Arial" w:cs="Arial" w:eastAsia="Arial" w:hAnsi="Arial"/>
            <w:sz w:val="16"/>
            <w:szCs w:val="16"/>
            <w:u w:val="single" w:color="auto"/>
            <w:color w:val="0000EE"/>
          </w:rPr>
          <w:t>Change in Control and Severance Policy.</w:t>
        </w:r>
      </w:hyperlink>
    </w:p>
    <w:p>
      <w:pPr>
        <w:spacing w:after="0" w:line="158" w:lineRule="exact"/>
        <w:rPr>
          <w:sz w:val="20"/>
          <w:szCs w:val="20"/>
          <w:color w:val="auto"/>
        </w:rPr>
      </w:pPr>
    </w:p>
    <w:p>
      <w:pPr>
        <w:jc w:val="both"/>
        <w:ind w:left="920" w:hanging="713"/>
        <w:spacing w:after="0" w:line="263"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60">
        <w:r>
          <w:rPr>
            <w:rFonts w:ascii="Arial" w:cs="Arial" w:eastAsia="Arial" w:hAnsi="Arial"/>
            <w:sz w:val="18"/>
            <w:szCs w:val="18"/>
            <w:u w:val="single" w:color="auto"/>
            <w:color w:val="0000EE"/>
          </w:rPr>
          <w:t>Amended and Restated Change in Control and Severance Policy Participation</w:t>
        </w:r>
      </w:hyperlink>
      <w:r>
        <w:rPr>
          <w:rFonts w:ascii="Arial" w:cs="Arial" w:eastAsia="Arial" w:hAnsi="Arial"/>
          <w:sz w:val="18"/>
          <w:szCs w:val="18"/>
          <w:u w:val="single" w:color="auto"/>
          <w:color w:val="0000EE"/>
        </w:rPr>
        <w:t xml:space="preserve"> </w:t>
      </w:r>
      <w:hyperlink r:id="rId60">
        <w:r>
          <w:rPr>
            <w:rFonts w:ascii="Arial" w:cs="Arial" w:eastAsia="Arial" w:hAnsi="Arial"/>
            <w:sz w:val="18"/>
            <w:szCs w:val="18"/>
            <w:u w:val="single" w:color="auto"/>
            <w:color w:val="0000EE"/>
          </w:rPr>
          <w:t>Agreement, dated August 17, 2020, by and between the Registrant and David</w:t>
        </w:r>
      </w:hyperlink>
      <w:r>
        <w:rPr>
          <w:rFonts w:ascii="Arial" w:cs="Arial" w:eastAsia="Arial" w:hAnsi="Arial"/>
          <w:sz w:val="18"/>
          <w:szCs w:val="18"/>
          <w:u w:val="single" w:color="auto"/>
          <w:color w:val="0000EE"/>
        </w:rPr>
        <w:t xml:space="preserve"> </w:t>
      </w:r>
      <w:hyperlink r:id="rId60">
        <w:r>
          <w:rPr>
            <w:rFonts w:ascii="Arial" w:cs="Arial" w:eastAsia="Arial" w:hAnsi="Arial"/>
            <w:sz w:val="18"/>
            <w:szCs w:val="18"/>
            <w:u w:val="single" w:color="auto"/>
            <w:color w:val="0000EE"/>
          </w:rPr>
          <w:t>H. Mack, Ph.D.</w:t>
        </w:r>
      </w:hyperlink>
    </w:p>
    <w:p>
      <w:pPr>
        <w:spacing w:after="0" w:line="116" w:lineRule="exact"/>
        <w:rPr>
          <w:rFonts w:ascii="Arial" w:cs="Arial" w:eastAsia="Arial" w:hAnsi="Arial"/>
          <w:sz w:val="18"/>
          <w:szCs w:val="18"/>
          <w:u w:val="single" w:color="auto"/>
          <w:color w:val="0000EE"/>
        </w:rPr>
      </w:pPr>
    </w:p>
    <w:p>
      <w:pPr>
        <w:ind w:left="920" w:hanging="717"/>
        <w:spacing w:after="0" w:line="263"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61">
        <w:r>
          <w:rPr>
            <w:rFonts w:ascii="Arial" w:cs="Arial" w:eastAsia="Arial" w:hAnsi="Arial"/>
            <w:sz w:val="18"/>
            <w:szCs w:val="18"/>
            <w:u w:val="single" w:color="auto"/>
            <w:color w:val="0000EE"/>
          </w:rPr>
          <w:t>Amended and Restated Change in Control and Severance Policy Participation</w:t>
        </w:r>
      </w:hyperlink>
      <w:r>
        <w:rPr>
          <w:rFonts w:ascii="Arial" w:cs="Arial" w:eastAsia="Arial" w:hAnsi="Arial"/>
          <w:sz w:val="18"/>
          <w:szCs w:val="18"/>
          <w:u w:val="single" w:color="auto"/>
          <w:color w:val="0000EE"/>
        </w:rPr>
        <w:t xml:space="preserve"> </w:t>
      </w:r>
      <w:hyperlink r:id="rId61">
        <w:r>
          <w:rPr>
            <w:rFonts w:ascii="Arial" w:cs="Arial" w:eastAsia="Arial" w:hAnsi="Arial"/>
            <w:sz w:val="18"/>
            <w:szCs w:val="18"/>
            <w:u w:val="single" w:color="auto"/>
            <w:color w:val="0000EE"/>
          </w:rPr>
          <w:t>Agreement, dated August 17, 2020, by and between the Registrant and</w:t>
        </w:r>
      </w:hyperlink>
      <w:r>
        <w:rPr>
          <w:rFonts w:ascii="Arial" w:cs="Arial" w:eastAsia="Arial" w:hAnsi="Arial"/>
          <w:sz w:val="18"/>
          <w:szCs w:val="18"/>
          <w:u w:val="single" w:color="auto"/>
          <w:color w:val="0000EE"/>
        </w:rPr>
        <w:t xml:space="preserve"> </w:t>
      </w:r>
      <w:hyperlink r:id="rId61">
        <w:r>
          <w:rPr>
            <w:rFonts w:ascii="Arial" w:cs="Arial" w:eastAsia="Arial" w:hAnsi="Arial"/>
            <w:sz w:val="18"/>
            <w:szCs w:val="18"/>
            <w:u w:val="single" w:color="auto"/>
            <w:color w:val="0000EE"/>
          </w:rPr>
          <w:t>Winston Kung.</w:t>
        </w:r>
      </w:hyperlink>
    </w:p>
    <w:p>
      <w:pPr>
        <w:spacing w:after="0" w:line="116" w:lineRule="exact"/>
        <w:rPr>
          <w:rFonts w:ascii="Arial" w:cs="Arial" w:eastAsia="Arial" w:hAnsi="Arial"/>
          <w:sz w:val="18"/>
          <w:szCs w:val="18"/>
          <w:u w:val="single" w:color="auto"/>
          <w:color w:val="0000EE"/>
        </w:rPr>
      </w:pPr>
    </w:p>
    <w:p>
      <w:pPr>
        <w:ind w:left="920" w:hanging="717"/>
        <w:spacing w:after="0" w:line="263"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62">
        <w:r>
          <w:rPr>
            <w:rFonts w:ascii="Arial" w:cs="Arial" w:eastAsia="Arial" w:hAnsi="Arial"/>
            <w:sz w:val="18"/>
            <w:szCs w:val="18"/>
            <w:u w:val="single" w:color="auto"/>
            <w:color w:val="0000EE"/>
          </w:rPr>
          <w:t>Amended and Restated Change in Control and Severance Policy Participation</w:t>
        </w:r>
      </w:hyperlink>
      <w:r>
        <w:rPr>
          <w:rFonts w:ascii="Arial" w:cs="Arial" w:eastAsia="Arial" w:hAnsi="Arial"/>
          <w:sz w:val="18"/>
          <w:szCs w:val="18"/>
          <w:u w:val="single" w:color="auto"/>
          <w:color w:val="0000EE"/>
        </w:rPr>
        <w:t xml:space="preserve"> </w:t>
      </w:r>
      <w:hyperlink r:id="rId62">
        <w:r>
          <w:rPr>
            <w:rFonts w:ascii="Arial" w:cs="Arial" w:eastAsia="Arial" w:hAnsi="Arial"/>
            <w:sz w:val="18"/>
            <w:szCs w:val="18"/>
            <w:u w:val="single" w:color="auto"/>
            <w:color w:val="0000EE"/>
          </w:rPr>
          <w:t>Agreement, dated August 18, 2020, by and between the Registrant and Leila</w:t>
        </w:r>
      </w:hyperlink>
      <w:r>
        <w:rPr>
          <w:rFonts w:ascii="Arial" w:cs="Arial" w:eastAsia="Arial" w:hAnsi="Arial"/>
          <w:sz w:val="18"/>
          <w:szCs w:val="18"/>
          <w:u w:val="single" w:color="auto"/>
          <w:color w:val="0000EE"/>
        </w:rPr>
        <w:t xml:space="preserve"> </w:t>
      </w:r>
      <w:hyperlink r:id="rId62">
        <w:r>
          <w:rPr>
            <w:rFonts w:ascii="Arial" w:cs="Arial" w:eastAsia="Arial" w:hAnsi="Arial"/>
            <w:sz w:val="18"/>
            <w:szCs w:val="18"/>
            <w:u w:val="single" w:color="auto"/>
            <w:color w:val="0000EE"/>
          </w:rPr>
          <w:t>Alland, M.D.</w:t>
        </w:r>
      </w:hyperlink>
    </w:p>
    <w:p>
      <w:pPr>
        <w:spacing w:after="0" w:line="116" w:lineRule="exact"/>
        <w:rPr>
          <w:rFonts w:ascii="Arial" w:cs="Arial" w:eastAsia="Arial" w:hAnsi="Arial"/>
          <w:sz w:val="18"/>
          <w:szCs w:val="18"/>
          <w:u w:val="single" w:color="auto"/>
          <w:color w:val="0000EE"/>
        </w:rPr>
      </w:pPr>
    </w:p>
    <w:p>
      <w:pPr>
        <w:ind w:left="920" w:hanging="717"/>
        <w:spacing w:after="0" w:line="263"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63">
        <w:r>
          <w:rPr>
            <w:rFonts w:ascii="Arial" w:cs="Arial" w:eastAsia="Arial" w:hAnsi="Arial"/>
            <w:sz w:val="18"/>
            <w:szCs w:val="18"/>
            <w:u w:val="single" w:color="auto"/>
            <w:color w:val="0000EE"/>
          </w:rPr>
          <w:t>Amended and Restated Change in Control and Severance Policy Participation</w:t>
        </w:r>
      </w:hyperlink>
      <w:r>
        <w:rPr>
          <w:rFonts w:ascii="Arial" w:cs="Arial" w:eastAsia="Arial" w:hAnsi="Arial"/>
          <w:sz w:val="18"/>
          <w:szCs w:val="18"/>
          <w:u w:val="single" w:color="auto"/>
          <w:color w:val="0000EE"/>
        </w:rPr>
        <w:t xml:space="preserve"> </w:t>
      </w:r>
      <w:hyperlink r:id="rId63">
        <w:r>
          <w:rPr>
            <w:rFonts w:ascii="Arial" w:cs="Arial" w:eastAsia="Arial" w:hAnsi="Arial"/>
            <w:sz w:val="18"/>
            <w:szCs w:val="18"/>
            <w:u w:val="single" w:color="auto"/>
            <w:color w:val="0000EE"/>
          </w:rPr>
          <w:t>Agreement, dated August 18, 2020, by and between the Registrant and</w:t>
        </w:r>
      </w:hyperlink>
      <w:r>
        <w:rPr>
          <w:rFonts w:ascii="Arial" w:cs="Arial" w:eastAsia="Arial" w:hAnsi="Arial"/>
          <w:sz w:val="18"/>
          <w:szCs w:val="18"/>
          <w:u w:val="single" w:color="auto"/>
          <w:color w:val="0000EE"/>
        </w:rPr>
        <w:t xml:space="preserve"> </w:t>
      </w:r>
      <w:hyperlink r:id="rId63">
        <w:r>
          <w:rPr>
            <w:rFonts w:ascii="Arial" w:cs="Arial" w:eastAsia="Arial" w:hAnsi="Arial"/>
            <w:sz w:val="18"/>
            <w:szCs w:val="18"/>
            <w:u w:val="single" w:color="auto"/>
            <w:color w:val="0000EE"/>
          </w:rPr>
          <w:t>Deepika Jalota, Pharm.D.</w:t>
        </w:r>
      </w:hyperlink>
    </w:p>
    <w:p>
      <w:pPr>
        <w:spacing w:after="0" w:line="116" w:lineRule="exact"/>
        <w:rPr>
          <w:rFonts w:ascii="Arial" w:cs="Arial" w:eastAsia="Arial" w:hAnsi="Arial"/>
          <w:sz w:val="18"/>
          <w:szCs w:val="18"/>
          <w:u w:val="single" w:color="auto"/>
          <w:color w:val="0000EE"/>
        </w:rPr>
      </w:pPr>
    </w:p>
    <w:p>
      <w:pPr>
        <w:ind w:left="20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10.15*</w:t>
      </w:r>
      <w:r>
        <w:rPr>
          <w:sz w:val="20"/>
          <w:szCs w:val="20"/>
          <w:color w:val="auto"/>
        </w:rPr>
        <w:tab/>
      </w:r>
      <w:hyperlink r:id="rId64">
        <w:r>
          <w:rPr>
            <w:rFonts w:ascii="Arial" w:cs="Arial" w:eastAsia="Arial" w:hAnsi="Arial"/>
            <w:sz w:val="16"/>
            <w:szCs w:val="16"/>
            <w:u w:val="single" w:color="auto"/>
            <w:color w:val="0000EE"/>
          </w:rPr>
          <w:t>Outside Director Compensation Policy.</w:t>
        </w:r>
      </w:hyperlink>
    </w:p>
    <w:p>
      <w:pPr>
        <w:spacing w:after="0" w:line="225" w:lineRule="exact"/>
        <w:rPr>
          <w:rFonts w:ascii="Arial" w:cs="Arial" w:eastAsia="Arial" w:hAnsi="Arial"/>
          <w:sz w:val="18"/>
          <w:szCs w:val="18"/>
          <w:u w:val="single" w:color="auto"/>
          <w:color w:val="0000EE"/>
        </w:rPr>
      </w:pPr>
    </w:p>
    <w:p>
      <w:pPr>
        <w:ind w:left="5540"/>
        <w:spacing w:after="0"/>
        <w:rPr>
          <w:sz w:val="20"/>
          <w:szCs w:val="20"/>
          <w:color w:val="auto"/>
        </w:rPr>
      </w:pPr>
      <w:r>
        <w:rPr>
          <w:rFonts w:ascii="Arial" w:cs="Arial" w:eastAsia="Arial" w:hAnsi="Arial"/>
          <w:sz w:val="18"/>
          <w:szCs w:val="18"/>
          <w:color w:val="auto"/>
        </w:rPr>
        <w:t>25</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34" w:lineRule="exact"/>
        <w:rPr>
          <w:rFonts w:ascii="Arial" w:cs="Arial" w:eastAsia="Arial" w:hAnsi="Arial"/>
          <w:sz w:val="18"/>
          <w:szCs w:val="18"/>
          <w:u w:val="single" w:color="auto"/>
          <w:color w:val="0000EE"/>
        </w:rPr>
      </w:pP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186"/>
        </w:trPr>
        <w:tc>
          <w:tcPr>
            <w:tcW w:w="640" w:type="dxa"/>
            <w:vAlign w:val="bottom"/>
          </w:tcPr>
          <w:p>
            <w:pPr>
              <w:jc w:val="center"/>
              <w:ind w:right="111"/>
              <w:spacing w:after="0"/>
              <w:rPr>
                <w:sz w:val="20"/>
                <w:szCs w:val="20"/>
                <w:color w:val="auto"/>
              </w:rPr>
            </w:pPr>
            <w:r>
              <w:rPr>
                <w:rFonts w:ascii="Arial" w:cs="Arial" w:eastAsia="Arial" w:hAnsi="Arial"/>
                <w:sz w:val="14"/>
                <w:szCs w:val="14"/>
                <w:b w:val="1"/>
                <w:bCs w:val="1"/>
                <w:color w:val="auto"/>
              </w:rPr>
              <w:t>Form</w:t>
            </w:r>
          </w:p>
        </w:tc>
        <w:tc>
          <w:tcPr>
            <w:tcW w:w="1280" w:type="dxa"/>
            <w:vAlign w:val="bottom"/>
          </w:tcPr>
          <w:p>
            <w:pPr>
              <w:ind w:left="420"/>
              <w:spacing w:after="0"/>
              <w:rPr>
                <w:sz w:val="20"/>
                <w:szCs w:val="20"/>
                <w:color w:val="auto"/>
              </w:rPr>
            </w:pPr>
            <w:r>
              <w:rPr>
                <w:rFonts w:ascii="Arial" w:cs="Arial" w:eastAsia="Arial" w:hAnsi="Arial"/>
                <w:sz w:val="14"/>
                <w:szCs w:val="14"/>
                <w:b w:val="1"/>
                <w:bCs w:val="1"/>
                <w:color w:val="auto"/>
              </w:rPr>
              <w:t>File No.</w:t>
            </w:r>
          </w:p>
        </w:tc>
        <w:tc>
          <w:tcPr>
            <w:tcW w:w="840" w:type="dxa"/>
            <w:vAlign w:val="bottom"/>
          </w:tcPr>
          <w:p>
            <w:pPr>
              <w:ind w:left="200"/>
              <w:spacing w:after="0"/>
              <w:rPr>
                <w:sz w:val="20"/>
                <w:szCs w:val="20"/>
                <w:color w:val="auto"/>
              </w:rPr>
            </w:pPr>
            <w:r>
              <w:rPr>
                <w:rFonts w:ascii="Arial" w:cs="Arial" w:eastAsia="Arial" w:hAnsi="Arial"/>
                <w:sz w:val="14"/>
                <w:szCs w:val="14"/>
                <w:b w:val="1"/>
                <w:bCs w:val="1"/>
                <w:color w:val="auto"/>
              </w:rPr>
              <w:t>Number</w:t>
            </w:r>
          </w:p>
        </w:tc>
        <w:tc>
          <w:tcPr>
            <w:tcW w:w="1600" w:type="dxa"/>
            <w:vAlign w:val="bottom"/>
          </w:tcPr>
          <w:p>
            <w:pPr>
              <w:jc w:val="center"/>
              <w:ind w:left="71"/>
              <w:spacing w:after="0"/>
              <w:rPr>
                <w:sz w:val="20"/>
                <w:szCs w:val="20"/>
                <w:color w:val="auto"/>
              </w:rPr>
            </w:pPr>
            <w:r>
              <w:rPr>
                <w:rFonts w:ascii="Arial" w:cs="Arial" w:eastAsia="Arial" w:hAnsi="Arial"/>
                <w:sz w:val="14"/>
                <w:szCs w:val="14"/>
                <w:b w:val="1"/>
                <w:bCs w:val="1"/>
                <w:color w:val="auto"/>
                <w:w w:val="94"/>
              </w:rPr>
              <w:t>Filing Date</w:t>
            </w:r>
          </w:p>
        </w:tc>
      </w:tr>
      <w:tr>
        <w:trPr>
          <w:trHeight w:val="336"/>
        </w:trPr>
        <w:tc>
          <w:tcPr>
            <w:tcW w:w="640" w:type="dxa"/>
            <w:vAlign w:val="bottom"/>
          </w:tcPr>
          <w:p>
            <w:pPr>
              <w:jc w:val="center"/>
              <w:ind w:right="111"/>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001-39539</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600" w:type="dxa"/>
            <w:vAlign w:val="bottom"/>
          </w:tcPr>
          <w:p>
            <w:pPr>
              <w:jc w:val="center"/>
              <w:ind w:left="71"/>
              <w:spacing w:after="0"/>
              <w:rPr>
                <w:sz w:val="20"/>
                <w:szCs w:val="20"/>
                <w:color w:val="auto"/>
              </w:rPr>
            </w:pPr>
            <w:r>
              <w:rPr>
                <w:rFonts w:ascii="Arial" w:cs="Arial" w:eastAsia="Arial" w:hAnsi="Arial"/>
                <w:sz w:val="18"/>
                <w:szCs w:val="18"/>
                <w:color w:val="auto"/>
                <w:w w:val="88"/>
              </w:rPr>
              <w:t>September 29, 2020</w:t>
            </w:r>
          </w:p>
        </w:tc>
      </w:tr>
      <w:tr>
        <w:trPr>
          <w:trHeight w:val="364"/>
        </w:trPr>
        <w:tc>
          <w:tcPr>
            <w:tcW w:w="640" w:type="dxa"/>
            <w:vAlign w:val="bottom"/>
          </w:tcPr>
          <w:p>
            <w:pPr>
              <w:jc w:val="center"/>
              <w:ind w:right="111"/>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001-39539</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600" w:type="dxa"/>
            <w:vAlign w:val="bottom"/>
          </w:tcPr>
          <w:p>
            <w:pPr>
              <w:jc w:val="center"/>
              <w:ind w:left="71"/>
              <w:spacing w:after="0"/>
              <w:rPr>
                <w:sz w:val="20"/>
                <w:szCs w:val="20"/>
                <w:color w:val="auto"/>
              </w:rPr>
            </w:pPr>
            <w:r>
              <w:rPr>
                <w:rFonts w:ascii="Arial" w:cs="Arial" w:eastAsia="Arial" w:hAnsi="Arial"/>
                <w:sz w:val="18"/>
                <w:szCs w:val="18"/>
                <w:color w:val="auto"/>
                <w:w w:val="88"/>
              </w:rPr>
              <w:t>September 29, 2020</w:t>
            </w:r>
          </w:p>
        </w:tc>
      </w:tr>
      <w:tr>
        <w:trPr>
          <w:trHeight w:val="365"/>
        </w:trPr>
        <w:tc>
          <w:tcPr>
            <w:tcW w:w="640" w:type="dxa"/>
            <w:vAlign w:val="bottom"/>
          </w:tcPr>
          <w:p>
            <w:pPr>
              <w:jc w:val="center"/>
              <w:ind w:right="111"/>
              <w:spacing w:after="0"/>
              <w:rPr>
                <w:sz w:val="20"/>
                <w:szCs w:val="20"/>
                <w:color w:val="auto"/>
              </w:rPr>
            </w:pPr>
            <w:r>
              <w:rPr>
                <w:rFonts w:ascii="Arial" w:cs="Arial" w:eastAsia="Arial" w:hAnsi="Arial"/>
                <w:sz w:val="18"/>
                <w:szCs w:val="18"/>
                <w:color w:val="auto"/>
                <w:w w:val="85"/>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33-248627</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600" w:type="dxa"/>
            <w:vAlign w:val="bottom"/>
          </w:tcPr>
          <w:p>
            <w:pPr>
              <w:jc w:val="center"/>
              <w:ind w:left="71"/>
              <w:spacing w:after="0"/>
              <w:rPr>
                <w:sz w:val="20"/>
                <w:szCs w:val="20"/>
                <w:color w:val="auto"/>
              </w:rPr>
            </w:pPr>
            <w:r>
              <w:rPr>
                <w:rFonts w:ascii="Arial" w:cs="Arial" w:eastAsia="Arial" w:hAnsi="Arial"/>
                <w:sz w:val="18"/>
                <w:szCs w:val="18"/>
                <w:color w:val="auto"/>
                <w:w w:val="88"/>
              </w:rPr>
              <w:t>September 4, 2020</w:t>
            </w:r>
          </w:p>
        </w:tc>
      </w:tr>
      <w:tr>
        <w:trPr>
          <w:trHeight w:val="580"/>
        </w:trPr>
        <w:tc>
          <w:tcPr>
            <w:tcW w:w="640" w:type="dxa"/>
            <w:vAlign w:val="bottom"/>
          </w:tcPr>
          <w:p>
            <w:pPr>
              <w:jc w:val="center"/>
              <w:ind w:right="111"/>
              <w:spacing w:after="0"/>
              <w:rPr>
                <w:sz w:val="20"/>
                <w:szCs w:val="20"/>
                <w:color w:val="auto"/>
              </w:rPr>
            </w:pPr>
            <w:r>
              <w:rPr>
                <w:rFonts w:ascii="Arial" w:cs="Arial" w:eastAsia="Arial" w:hAnsi="Arial"/>
                <w:sz w:val="18"/>
                <w:szCs w:val="18"/>
                <w:color w:val="auto"/>
                <w:w w:val="97"/>
              </w:rPr>
              <w:t>S-1/A</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600" w:type="dxa"/>
            <w:vAlign w:val="bottom"/>
          </w:tcPr>
          <w:p>
            <w:pPr>
              <w:jc w:val="center"/>
              <w:ind w:left="71"/>
              <w:spacing w:after="0"/>
              <w:rPr>
                <w:sz w:val="20"/>
                <w:szCs w:val="20"/>
                <w:color w:val="auto"/>
              </w:rPr>
            </w:pPr>
            <w:r>
              <w:rPr>
                <w:rFonts w:ascii="Arial" w:cs="Arial" w:eastAsia="Arial" w:hAnsi="Arial"/>
                <w:sz w:val="18"/>
                <w:szCs w:val="18"/>
                <w:color w:val="auto"/>
                <w:w w:val="88"/>
              </w:rPr>
              <w:t>September 21, 2020</w:t>
            </w:r>
          </w:p>
        </w:tc>
      </w:tr>
      <w:tr>
        <w:trPr>
          <w:trHeight w:val="365"/>
        </w:trPr>
        <w:tc>
          <w:tcPr>
            <w:tcW w:w="640" w:type="dxa"/>
            <w:vAlign w:val="bottom"/>
          </w:tcPr>
          <w:p>
            <w:pPr>
              <w:jc w:val="center"/>
              <w:ind w:right="111"/>
              <w:spacing w:after="0"/>
              <w:rPr>
                <w:sz w:val="20"/>
                <w:szCs w:val="20"/>
                <w:color w:val="auto"/>
              </w:rPr>
            </w:pPr>
            <w:r>
              <w:rPr>
                <w:rFonts w:ascii="Arial" w:cs="Arial" w:eastAsia="Arial" w:hAnsi="Arial"/>
                <w:sz w:val="18"/>
                <w:szCs w:val="18"/>
                <w:color w:val="auto"/>
                <w:w w:val="85"/>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0" w:type="dxa"/>
            <w:vAlign w:val="bottom"/>
          </w:tcPr>
          <w:p>
            <w:pPr>
              <w:jc w:val="center"/>
              <w:ind w:left="71"/>
              <w:spacing w:after="0"/>
              <w:rPr>
                <w:sz w:val="20"/>
                <w:szCs w:val="20"/>
                <w:color w:val="auto"/>
              </w:rPr>
            </w:pPr>
            <w:r>
              <w:rPr>
                <w:rFonts w:ascii="Arial" w:cs="Arial" w:eastAsia="Arial" w:hAnsi="Arial"/>
                <w:sz w:val="18"/>
                <w:szCs w:val="18"/>
                <w:color w:val="auto"/>
                <w:w w:val="88"/>
              </w:rPr>
              <w:t>September 4, 2020</w:t>
            </w:r>
          </w:p>
        </w:tc>
      </w:tr>
      <w:tr>
        <w:trPr>
          <w:trHeight w:val="580"/>
        </w:trPr>
        <w:tc>
          <w:tcPr>
            <w:tcW w:w="640" w:type="dxa"/>
            <w:vAlign w:val="bottom"/>
          </w:tcPr>
          <w:p>
            <w:pPr>
              <w:jc w:val="center"/>
              <w:ind w:right="111"/>
              <w:spacing w:after="0"/>
              <w:rPr>
                <w:sz w:val="20"/>
                <w:szCs w:val="20"/>
                <w:color w:val="auto"/>
              </w:rPr>
            </w:pPr>
            <w:r>
              <w:rPr>
                <w:rFonts w:ascii="Arial" w:cs="Arial" w:eastAsia="Arial" w:hAnsi="Arial"/>
                <w:sz w:val="18"/>
                <w:szCs w:val="18"/>
                <w:color w:val="auto"/>
                <w:w w:val="97"/>
              </w:rPr>
              <w:t>S-1/A</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600" w:type="dxa"/>
            <w:vAlign w:val="bottom"/>
          </w:tcPr>
          <w:p>
            <w:pPr>
              <w:jc w:val="center"/>
              <w:ind w:left="71"/>
              <w:spacing w:after="0"/>
              <w:rPr>
                <w:sz w:val="20"/>
                <w:szCs w:val="20"/>
                <w:color w:val="auto"/>
              </w:rPr>
            </w:pPr>
            <w:r>
              <w:rPr>
                <w:rFonts w:ascii="Arial" w:cs="Arial" w:eastAsia="Arial" w:hAnsi="Arial"/>
                <w:sz w:val="18"/>
                <w:szCs w:val="18"/>
                <w:color w:val="auto"/>
                <w:w w:val="88"/>
              </w:rPr>
              <w:t>September 21, 2020</w:t>
            </w:r>
          </w:p>
        </w:tc>
      </w:tr>
      <w:tr>
        <w:trPr>
          <w:trHeight w:val="365"/>
        </w:trPr>
        <w:tc>
          <w:tcPr>
            <w:tcW w:w="640" w:type="dxa"/>
            <w:vAlign w:val="bottom"/>
          </w:tcPr>
          <w:p>
            <w:pPr>
              <w:jc w:val="center"/>
              <w:ind w:right="111"/>
              <w:spacing w:after="0"/>
              <w:rPr>
                <w:sz w:val="20"/>
                <w:szCs w:val="20"/>
                <w:color w:val="auto"/>
              </w:rPr>
            </w:pPr>
            <w:r>
              <w:rPr>
                <w:rFonts w:ascii="Arial" w:cs="Arial" w:eastAsia="Arial" w:hAnsi="Arial"/>
                <w:sz w:val="18"/>
                <w:szCs w:val="18"/>
                <w:color w:val="auto"/>
                <w:w w:val="97"/>
              </w:rPr>
              <w:t>S-1/A</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600" w:type="dxa"/>
            <w:vAlign w:val="bottom"/>
          </w:tcPr>
          <w:p>
            <w:pPr>
              <w:jc w:val="center"/>
              <w:ind w:left="71"/>
              <w:spacing w:after="0"/>
              <w:rPr>
                <w:sz w:val="20"/>
                <w:szCs w:val="20"/>
                <w:color w:val="auto"/>
              </w:rPr>
            </w:pPr>
            <w:r>
              <w:rPr>
                <w:rFonts w:ascii="Arial" w:cs="Arial" w:eastAsia="Arial" w:hAnsi="Arial"/>
                <w:sz w:val="18"/>
                <w:szCs w:val="18"/>
                <w:color w:val="auto"/>
                <w:w w:val="88"/>
              </w:rPr>
              <w:t>September 21, 2020</w:t>
            </w:r>
          </w:p>
        </w:tc>
      </w:tr>
      <w:tr>
        <w:trPr>
          <w:trHeight w:val="364"/>
        </w:trPr>
        <w:tc>
          <w:tcPr>
            <w:tcW w:w="640" w:type="dxa"/>
            <w:vAlign w:val="bottom"/>
          </w:tcPr>
          <w:p>
            <w:pPr>
              <w:jc w:val="center"/>
              <w:ind w:right="111"/>
              <w:spacing w:after="0"/>
              <w:rPr>
                <w:sz w:val="20"/>
                <w:szCs w:val="20"/>
                <w:color w:val="auto"/>
              </w:rPr>
            </w:pPr>
            <w:r>
              <w:rPr>
                <w:rFonts w:ascii="Arial" w:cs="Arial" w:eastAsia="Arial" w:hAnsi="Arial"/>
                <w:sz w:val="18"/>
                <w:szCs w:val="18"/>
                <w:color w:val="auto"/>
                <w:w w:val="97"/>
              </w:rPr>
              <w:t>S-1/A</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600" w:type="dxa"/>
            <w:vAlign w:val="bottom"/>
          </w:tcPr>
          <w:p>
            <w:pPr>
              <w:jc w:val="center"/>
              <w:ind w:left="71"/>
              <w:spacing w:after="0"/>
              <w:rPr>
                <w:sz w:val="20"/>
                <w:szCs w:val="20"/>
                <w:color w:val="auto"/>
              </w:rPr>
            </w:pPr>
            <w:r>
              <w:rPr>
                <w:rFonts w:ascii="Arial" w:cs="Arial" w:eastAsia="Arial" w:hAnsi="Arial"/>
                <w:sz w:val="18"/>
                <w:szCs w:val="18"/>
                <w:color w:val="auto"/>
                <w:w w:val="88"/>
              </w:rPr>
              <w:t>September 21, 2020</w:t>
            </w:r>
          </w:p>
        </w:tc>
      </w:tr>
      <w:tr>
        <w:trPr>
          <w:trHeight w:val="364"/>
        </w:trPr>
        <w:tc>
          <w:tcPr>
            <w:tcW w:w="640" w:type="dxa"/>
            <w:vAlign w:val="bottom"/>
          </w:tcPr>
          <w:p>
            <w:pPr>
              <w:jc w:val="center"/>
              <w:ind w:right="111"/>
              <w:spacing w:after="0"/>
              <w:rPr>
                <w:sz w:val="20"/>
                <w:szCs w:val="20"/>
                <w:color w:val="auto"/>
              </w:rPr>
            </w:pPr>
            <w:r>
              <w:rPr>
                <w:rFonts w:ascii="Arial" w:cs="Arial" w:eastAsia="Arial" w:hAnsi="Arial"/>
                <w:sz w:val="18"/>
                <w:szCs w:val="18"/>
                <w:color w:val="auto"/>
                <w:w w:val="85"/>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600" w:type="dxa"/>
            <w:vAlign w:val="bottom"/>
          </w:tcPr>
          <w:p>
            <w:pPr>
              <w:jc w:val="center"/>
              <w:ind w:left="71"/>
              <w:spacing w:after="0"/>
              <w:rPr>
                <w:sz w:val="20"/>
                <w:szCs w:val="20"/>
                <w:color w:val="auto"/>
              </w:rPr>
            </w:pPr>
            <w:r>
              <w:rPr>
                <w:rFonts w:ascii="Arial" w:cs="Arial" w:eastAsia="Arial" w:hAnsi="Arial"/>
                <w:sz w:val="18"/>
                <w:szCs w:val="18"/>
                <w:color w:val="auto"/>
                <w:w w:val="88"/>
              </w:rPr>
              <w:t>September 4, 2020</w:t>
            </w:r>
          </w:p>
        </w:tc>
      </w:tr>
      <w:tr>
        <w:trPr>
          <w:trHeight w:val="581"/>
        </w:trPr>
        <w:tc>
          <w:tcPr>
            <w:tcW w:w="640" w:type="dxa"/>
            <w:vAlign w:val="bottom"/>
          </w:tcPr>
          <w:p>
            <w:pPr>
              <w:jc w:val="center"/>
              <w:ind w:right="111"/>
              <w:spacing w:after="0"/>
              <w:rPr>
                <w:sz w:val="20"/>
                <w:szCs w:val="20"/>
                <w:color w:val="auto"/>
              </w:rPr>
            </w:pPr>
            <w:r>
              <w:rPr>
                <w:rFonts w:ascii="Arial" w:cs="Arial" w:eastAsia="Arial" w:hAnsi="Arial"/>
                <w:sz w:val="18"/>
                <w:szCs w:val="18"/>
                <w:color w:val="auto"/>
                <w:w w:val="85"/>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600" w:type="dxa"/>
            <w:vAlign w:val="bottom"/>
          </w:tcPr>
          <w:p>
            <w:pPr>
              <w:jc w:val="center"/>
              <w:ind w:left="71"/>
              <w:spacing w:after="0"/>
              <w:rPr>
                <w:sz w:val="20"/>
                <w:szCs w:val="20"/>
                <w:color w:val="auto"/>
              </w:rPr>
            </w:pPr>
            <w:r>
              <w:rPr>
                <w:rFonts w:ascii="Arial" w:cs="Arial" w:eastAsia="Arial" w:hAnsi="Arial"/>
                <w:sz w:val="18"/>
                <w:szCs w:val="18"/>
                <w:color w:val="auto"/>
                <w:w w:val="88"/>
              </w:rPr>
              <w:t>September 4, 2020</w:t>
            </w:r>
          </w:p>
        </w:tc>
      </w:tr>
      <w:tr>
        <w:trPr>
          <w:trHeight w:val="580"/>
        </w:trPr>
        <w:tc>
          <w:tcPr>
            <w:tcW w:w="640" w:type="dxa"/>
            <w:vAlign w:val="bottom"/>
          </w:tcPr>
          <w:p>
            <w:pPr>
              <w:jc w:val="center"/>
              <w:ind w:right="111"/>
              <w:spacing w:after="0"/>
              <w:rPr>
                <w:sz w:val="20"/>
                <w:szCs w:val="20"/>
                <w:color w:val="auto"/>
              </w:rPr>
            </w:pPr>
            <w:r>
              <w:rPr>
                <w:rFonts w:ascii="Arial" w:cs="Arial" w:eastAsia="Arial" w:hAnsi="Arial"/>
                <w:sz w:val="18"/>
                <w:szCs w:val="18"/>
                <w:color w:val="auto"/>
                <w:w w:val="85"/>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600" w:type="dxa"/>
            <w:vAlign w:val="bottom"/>
          </w:tcPr>
          <w:p>
            <w:pPr>
              <w:jc w:val="center"/>
              <w:ind w:left="71"/>
              <w:spacing w:after="0"/>
              <w:rPr>
                <w:sz w:val="20"/>
                <w:szCs w:val="20"/>
                <w:color w:val="auto"/>
              </w:rPr>
            </w:pPr>
            <w:r>
              <w:rPr>
                <w:rFonts w:ascii="Arial" w:cs="Arial" w:eastAsia="Arial" w:hAnsi="Arial"/>
                <w:sz w:val="18"/>
                <w:szCs w:val="18"/>
                <w:color w:val="auto"/>
                <w:w w:val="88"/>
              </w:rPr>
              <w:t>September 4, 2020</w:t>
            </w:r>
          </w:p>
        </w:tc>
      </w:tr>
      <w:tr>
        <w:trPr>
          <w:trHeight w:val="580"/>
        </w:trPr>
        <w:tc>
          <w:tcPr>
            <w:tcW w:w="640" w:type="dxa"/>
            <w:vAlign w:val="bottom"/>
          </w:tcPr>
          <w:p>
            <w:pPr>
              <w:jc w:val="center"/>
              <w:ind w:right="111"/>
              <w:spacing w:after="0"/>
              <w:rPr>
                <w:sz w:val="20"/>
                <w:szCs w:val="20"/>
                <w:color w:val="auto"/>
              </w:rPr>
            </w:pPr>
            <w:r>
              <w:rPr>
                <w:rFonts w:ascii="Arial" w:cs="Arial" w:eastAsia="Arial" w:hAnsi="Arial"/>
                <w:sz w:val="18"/>
                <w:szCs w:val="18"/>
                <w:color w:val="auto"/>
                <w:w w:val="85"/>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600" w:type="dxa"/>
            <w:vAlign w:val="bottom"/>
          </w:tcPr>
          <w:p>
            <w:pPr>
              <w:jc w:val="center"/>
              <w:ind w:left="71"/>
              <w:spacing w:after="0"/>
              <w:rPr>
                <w:sz w:val="20"/>
                <w:szCs w:val="20"/>
                <w:color w:val="auto"/>
              </w:rPr>
            </w:pPr>
            <w:r>
              <w:rPr>
                <w:rFonts w:ascii="Arial" w:cs="Arial" w:eastAsia="Arial" w:hAnsi="Arial"/>
                <w:sz w:val="18"/>
                <w:szCs w:val="18"/>
                <w:color w:val="auto"/>
                <w:w w:val="88"/>
              </w:rPr>
              <w:t>September 4, 2020</w:t>
            </w:r>
          </w:p>
        </w:tc>
      </w:tr>
      <w:tr>
        <w:trPr>
          <w:trHeight w:val="580"/>
        </w:trPr>
        <w:tc>
          <w:tcPr>
            <w:tcW w:w="640" w:type="dxa"/>
            <w:vAlign w:val="bottom"/>
          </w:tcPr>
          <w:p>
            <w:pPr>
              <w:jc w:val="center"/>
              <w:ind w:right="111"/>
              <w:spacing w:after="0"/>
              <w:rPr>
                <w:sz w:val="20"/>
                <w:szCs w:val="20"/>
                <w:color w:val="auto"/>
              </w:rPr>
            </w:pPr>
            <w:r>
              <w:rPr>
                <w:rFonts w:ascii="Arial" w:cs="Arial" w:eastAsia="Arial" w:hAnsi="Arial"/>
                <w:sz w:val="18"/>
                <w:szCs w:val="18"/>
                <w:color w:val="auto"/>
                <w:w w:val="85"/>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600" w:type="dxa"/>
            <w:vAlign w:val="bottom"/>
          </w:tcPr>
          <w:p>
            <w:pPr>
              <w:jc w:val="center"/>
              <w:ind w:left="71"/>
              <w:spacing w:after="0"/>
              <w:rPr>
                <w:sz w:val="20"/>
                <w:szCs w:val="20"/>
                <w:color w:val="auto"/>
              </w:rPr>
            </w:pPr>
            <w:r>
              <w:rPr>
                <w:rFonts w:ascii="Arial" w:cs="Arial" w:eastAsia="Arial" w:hAnsi="Arial"/>
                <w:sz w:val="18"/>
                <w:szCs w:val="18"/>
                <w:color w:val="auto"/>
                <w:w w:val="88"/>
              </w:rPr>
              <w:t>September 4, 2020</w:t>
            </w:r>
          </w:p>
        </w:tc>
      </w:tr>
      <w:tr>
        <w:trPr>
          <w:trHeight w:val="365"/>
        </w:trPr>
        <w:tc>
          <w:tcPr>
            <w:tcW w:w="640" w:type="dxa"/>
            <w:vAlign w:val="bottom"/>
          </w:tcPr>
          <w:p>
            <w:pPr>
              <w:jc w:val="center"/>
              <w:ind w:right="111"/>
              <w:spacing w:after="0"/>
              <w:rPr>
                <w:sz w:val="20"/>
                <w:szCs w:val="20"/>
                <w:color w:val="auto"/>
              </w:rPr>
            </w:pPr>
            <w:r>
              <w:rPr>
                <w:rFonts w:ascii="Arial" w:cs="Arial" w:eastAsia="Arial" w:hAnsi="Arial"/>
                <w:sz w:val="18"/>
                <w:szCs w:val="18"/>
                <w:color w:val="auto"/>
                <w:w w:val="85"/>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600" w:type="dxa"/>
            <w:vAlign w:val="bottom"/>
          </w:tcPr>
          <w:p>
            <w:pPr>
              <w:jc w:val="center"/>
              <w:ind w:left="71"/>
              <w:spacing w:after="0"/>
              <w:rPr>
                <w:sz w:val="20"/>
                <w:szCs w:val="20"/>
                <w:color w:val="auto"/>
              </w:rPr>
            </w:pPr>
            <w:r>
              <w:rPr>
                <w:rFonts w:ascii="Arial" w:cs="Arial" w:eastAsia="Arial" w:hAnsi="Arial"/>
                <w:sz w:val="18"/>
                <w:szCs w:val="18"/>
                <w:color w:val="auto"/>
                <w:w w:val="88"/>
              </w:rPr>
              <w:t>September 4, 2020</w:t>
            </w:r>
          </w:p>
        </w:tc>
      </w:tr>
      <w:tr>
        <w:trPr>
          <w:trHeight w:val="364"/>
        </w:trPr>
        <w:tc>
          <w:tcPr>
            <w:tcW w:w="640" w:type="dxa"/>
            <w:vAlign w:val="bottom"/>
          </w:tcPr>
          <w:p>
            <w:pPr>
              <w:jc w:val="center"/>
              <w:ind w:right="111"/>
              <w:spacing w:after="0"/>
              <w:rPr>
                <w:sz w:val="20"/>
                <w:szCs w:val="20"/>
                <w:color w:val="auto"/>
              </w:rPr>
            </w:pPr>
            <w:r>
              <w:rPr>
                <w:rFonts w:ascii="Arial" w:cs="Arial" w:eastAsia="Arial" w:hAnsi="Arial"/>
                <w:sz w:val="18"/>
                <w:szCs w:val="18"/>
                <w:color w:val="auto"/>
                <w:w w:val="85"/>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600" w:type="dxa"/>
            <w:vAlign w:val="bottom"/>
          </w:tcPr>
          <w:p>
            <w:pPr>
              <w:jc w:val="center"/>
              <w:ind w:left="71"/>
              <w:spacing w:after="0"/>
              <w:rPr>
                <w:sz w:val="20"/>
                <w:szCs w:val="20"/>
                <w:color w:val="auto"/>
              </w:rPr>
            </w:pPr>
            <w:r>
              <w:rPr>
                <w:rFonts w:ascii="Arial" w:cs="Arial" w:eastAsia="Arial" w:hAnsi="Arial"/>
                <w:sz w:val="18"/>
                <w:szCs w:val="18"/>
                <w:color w:val="auto"/>
                <w:w w:val="88"/>
              </w:rPr>
              <w:t>September 4, 2020</w:t>
            </w:r>
          </w:p>
        </w:tc>
      </w:tr>
      <w:tr>
        <w:trPr>
          <w:trHeight w:val="797"/>
        </w:trPr>
        <w:tc>
          <w:tcPr>
            <w:tcW w:w="640" w:type="dxa"/>
            <w:vAlign w:val="bottom"/>
          </w:tcPr>
          <w:p>
            <w:pPr>
              <w:jc w:val="center"/>
              <w:ind w:right="111"/>
              <w:spacing w:after="0"/>
              <w:rPr>
                <w:sz w:val="20"/>
                <w:szCs w:val="20"/>
                <w:color w:val="auto"/>
              </w:rPr>
            </w:pPr>
            <w:r>
              <w:rPr>
                <w:rFonts w:ascii="Arial" w:cs="Arial" w:eastAsia="Arial" w:hAnsi="Arial"/>
                <w:sz w:val="18"/>
                <w:szCs w:val="18"/>
                <w:color w:val="auto"/>
                <w:w w:val="85"/>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600" w:type="dxa"/>
            <w:vAlign w:val="bottom"/>
          </w:tcPr>
          <w:p>
            <w:pPr>
              <w:jc w:val="center"/>
              <w:ind w:left="71"/>
              <w:spacing w:after="0"/>
              <w:rPr>
                <w:sz w:val="20"/>
                <w:szCs w:val="20"/>
                <w:color w:val="auto"/>
              </w:rPr>
            </w:pPr>
            <w:r>
              <w:rPr>
                <w:rFonts w:ascii="Arial" w:cs="Arial" w:eastAsia="Arial" w:hAnsi="Arial"/>
                <w:sz w:val="18"/>
                <w:szCs w:val="18"/>
                <w:color w:val="auto"/>
                <w:w w:val="88"/>
              </w:rPr>
              <w:t>September 4, 2020</w:t>
            </w:r>
          </w:p>
        </w:tc>
      </w:tr>
      <w:tr>
        <w:trPr>
          <w:trHeight w:val="796"/>
        </w:trPr>
        <w:tc>
          <w:tcPr>
            <w:tcW w:w="640" w:type="dxa"/>
            <w:vAlign w:val="bottom"/>
          </w:tcPr>
          <w:p>
            <w:pPr>
              <w:jc w:val="center"/>
              <w:ind w:right="111"/>
              <w:spacing w:after="0"/>
              <w:rPr>
                <w:sz w:val="20"/>
                <w:szCs w:val="20"/>
                <w:color w:val="auto"/>
              </w:rPr>
            </w:pPr>
            <w:r>
              <w:rPr>
                <w:rFonts w:ascii="Arial" w:cs="Arial" w:eastAsia="Arial" w:hAnsi="Arial"/>
                <w:sz w:val="18"/>
                <w:szCs w:val="18"/>
                <w:color w:val="auto"/>
                <w:w w:val="85"/>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600" w:type="dxa"/>
            <w:vAlign w:val="bottom"/>
          </w:tcPr>
          <w:p>
            <w:pPr>
              <w:jc w:val="center"/>
              <w:ind w:left="71"/>
              <w:spacing w:after="0"/>
              <w:rPr>
                <w:sz w:val="20"/>
                <w:szCs w:val="20"/>
                <w:color w:val="auto"/>
              </w:rPr>
            </w:pPr>
            <w:r>
              <w:rPr>
                <w:rFonts w:ascii="Arial" w:cs="Arial" w:eastAsia="Arial" w:hAnsi="Arial"/>
                <w:sz w:val="18"/>
                <w:szCs w:val="18"/>
                <w:color w:val="auto"/>
                <w:w w:val="88"/>
              </w:rPr>
              <w:t>September 4, 2020</w:t>
            </w:r>
          </w:p>
        </w:tc>
      </w:tr>
      <w:tr>
        <w:trPr>
          <w:trHeight w:val="797"/>
        </w:trPr>
        <w:tc>
          <w:tcPr>
            <w:tcW w:w="640" w:type="dxa"/>
            <w:vAlign w:val="bottom"/>
          </w:tcPr>
          <w:p>
            <w:pPr>
              <w:jc w:val="center"/>
              <w:ind w:right="111"/>
              <w:spacing w:after="0"/>
              <w:rPr>
                <w:sz w:val="20"/>
                <w:szCs w:val="20"/>
                <w:color w:val="auto"/>
              </w:rPr>
            </w:pPr>
            <w:r>
              <w:rPr>
                <w:rFonts w:ascii="Arial" w:cs="Arial" w:eastAsia="Arial" w:hAnsi="Arial"/>
                <w:sz w:val="18"/>
                <w:szCs w:val="18"/>
                <w:color w:val="auto"/>
                <w:w w:val="85"/>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600" w:type="dxa"/>
            <w:vAlign w:val="bottom"/>
          </w:tcPr>
          <w:p>
            <w:pPr>
              <w:jc w:val="center"/>
              <w:ind w:left="71"/>
              <w:spacing w:after="0"/>
              <w:rPr>
                <w:sz w:val="20"/>
                <w:szCs w:val="20"/>
                <w:color w:val="auto"/>
              </w:rPr>
            </w:pPr>
            <w:r>
              <w:rPr>
                <w:rFonts w:ascii="Arial" w:cs="Arial" w:eastAsia="Arial" w:hAnsi="Arial"/>
                <w:sz w:val="18"/>
                <w:szCs w:val="18"/>
                <w:color w:val="auto"/>
                <w:w w:val="88"/>
              </w:rPr>
              <w:t>September 4, 2020</w:t>
            </w:r>
          </w:p>
        </w:tc>
      </w:tr>
      <w:tr>
        <w:trPr>
          <w:trHeight w:val="796"/>
        </w:trPr>
        <w:tc>
          <w:tcPr>
            <w:tcW w:w="640" w:type="dxa"/>
            <w:vAlign w:val="bottom"/>
          </w:tcPr>
          <w:p>
            <w:pPr>
              <w:jc w:val="center"/>
              <w:ind w:right="111"/>
              <w:spacing w:after="0"/>
              <w:rPr>
                <w:sz w:val="20"/>
                <w:szCs w:val="20"/>
                <w:color w:val="auto"/>
              </w:rPr>
            </w:pPr>
            <w:r>
              <w:rPr>
                <w:rFonts w:ascii="Arial" w:cs="Arial" w:eastAsia="Arial" w:hAnsi="Arial"/>
                <w:sz w:val="18"/>
                <w:szCs w:val="18"/>
                <w:color w:val="auto"/>
                <w:w w:val="97"/>
              </w:rPr>
              <w:t>S-1/A</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600" w:type="dxa"/>
            <w:vAlign w:val="bottom"/>
          </w:tcPr>
          <w:p>
            <w:pPr>
              <w:jc w:val="center"/>
              <w:ind w:left="71"/>
              <w:spacing w:after="0"/>
              <w:rPr>
                <w:sz w:val="20"/>
                <w:szCs w:val="20"/>
                <w:color w:val="auto"/>
              </w:rPr>
            </w:pPr>
            <w:r>
              <w:rPr>
                <w:rFonts w:ascii="Arial" w:cs="Arial" w:eastAsia="Arial" w:hAnsi="Arial"/>
                <w:sz w:val="18"/>
                <w:szCs w:val="18"/>
                <w:color w:val="auto"/>
                <w:w w:val="88"/>
              </w:rPr>
              <w:t>September 21, 2020</w:t>
            </w:r>
          </w:p>
        </w:tc>
      </w:tr>
    </w:tbl>
    <w:p>
      <w:pPr>
        <w:sectPr>
          <w:pgSz w:w="11900" w:h="16838" w:orient="portrait"/>
          <w:cols w:equalWidth="0" w:num="2">
            <w:col w:w="6520" w:space="200"/>
            <w:col w:w="4360"/>
          </w:cols>
          <w:pgMar w:left="320" w:top="661" w:right="499" w:bottom="1440" w:gutter="0" w:footer="0" w:header="0"/>
        </w:sectPr>
      </w:pPr>
    </w:p>
    <w:bookmarkStart w:id="29" w:name="page30"/>
    <w:bookmarkEnd w:id="29"/>
    <w:p>
      <w:pPr>
        <w:spacing w:after="0" w:line="13" w:lineRule="exact"/>
        <w:rPr>
          <w:sz w:val="20"/>
          <w:szCs w:val="20"/>
          <w:color w:val="auto"/>
        </w:rPr>
      </w:pPr>
    </w:p>
    <w:p>
      <w:pPr>
        <w:ind w:left="920" w:hanging="717"/>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66">
        <w:r>
          <w:rPr>
            <w:rFonts w:ascii="Arial" w:cs="Arial" w:eastAsia="Arial" w:hAnsi="Arial"/>
            <w:sz w:val="18"/>
            <w:szCs w:val="18"/>
            <w:u w:val="single" w:color="auto"/>
            <w:color w:val="0000EE"/>
          </w:rPr>
          <w:t>Consulting Agreement, dated January 1, 2016, by and between the Registrant</w:t>
        </w:r>
      </w:hyperlink>
      <w:r>
        <w:rPr>
          <w:rFonts w:ascii="Arial" w:cs="Arial" w:eastAsia="Arial" w:hAnsi="Arial"/>
          <w:sz w:val="18"/>
          <w:szCs w:val="18"/>
          <w:u w:val="single" w:color="auto"/>
          <w:color w:val="0000EE"/>
        </w:rPr>
        <w:t xml:space="preserve"> </w:t>
      </w:r>
      <w:hyperlink r:id="rId66">
        <w:r>
          <w:rPr>
            <w:rFonts w:ascii="Arial" w:cs="Arial" w:eastAsia="Arial" w:hAnsi="Arial"/>
            <w:sz w:val="18"/>
            <w:szCs w:val="18"/>
            <w:u w:val="single" w:color="auto"/>
            <w:color w:val="0000EE"/>
          </w:rPr>
          <w:t>and Arnold Levine, Ph.D.</w:t>
        </w:r>
      </w:hyperlink>
    </w:p>
    <w:p>
      <w:pPr>
        <w:spacing w:after="0" w:line="103" w:lineRule="exact"/>
        <w:rPr>
          <w:sz w:val="20"/>
          <w:szCs w:val="20"/>
          <w:color w:val="auto"/>
        </w:rPr>
      </w:pPr>
    </w:p>
    <w:p>
      <w:pPr>
        <w:ind w:left="920" w:right="160" w:hanging="717"/>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67">
        <w:r>
          <w:rPr>
            <w:rFonts w:ascii="Arial" w:cs="Arial" w:eastAsia="Arial" w:hAnsi="Arial"/>
            <w:sz w:val="18"/>
            <w:szCs w:val="18"/>
            <w:u w:val="single" w:color="auto"/>
            <w:color w:val="0000EE"/>
          </w:rPr>
          <w:t>Consulting Agreement, dated July 14, 2017, by and between the Registrant</w:t>
        </w:r>
      </w:hyperlink>
      <w:r>
        <w:rPr>
          <w:rFonts w:ascii="Arial" w:cs="Arial" w:eastAsia="Arial" w:hAnsi="Arial"/>
          <w:sz w:val="18"/>
          <w:szCs w:val="18"/>
          <w:u w:val="single" w:color="auto"/>
          <w:color w:val="0000EE"/>
        </w:rPr>
        <w:t xml:space="preserve"> </w:t>
      </w:r>
      <w:hyperlink r:id="rId67">
        <w:r>
          <w:rPr>
            <w:rFonts w:ascii="Arial" w:cs="Arial" w:eastAsia="Arial" w:hAnsi="Arial"/>
            <w:sz w:val="18"/>
            <w:szCs w:val="18"/>
            <w:u w:val="single" w:color="auto"/>
            <w:color w:val="0000EE"/>
          </w:rPr>
          <w:t>and Richard Heyman, Ph.D.</w:t>
        </w:r>
      </w:hyperlink>
    </w:p>
    <w:p>
      <w:pPr>
        <w:spacing w:after="0" w:line="103" w:lineRule="exact"/>
        <w:rPr>
          <w:sz w:val="20"/>
          <w:szCs w:val="20"/>
          <w:color w:val="auto"/>
        </w:rPr>
      </w:pPr>
    </w:p>
    <w:p>
      <w:pPr>
        <w:jc w:val="both"/>
        <w:ind w:left="920" w:right="140" w:hanging="694"/>
        <w:spacing w:after="0" w:line="263"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68">
        <w:r>
          <w:rPr>
            <w:rFonts w:ascii="Arial" w:cs="Arial" w:eastAsia="Arial" w:hAnsi="Arial"/>
            <w:sz w:val="18"/>
            <w:szCs w:val="18"/>
            <w:u w:val="single" w:color="auto"/>
            <w:color w:val="0000EE"/>
          </w:rPr>
          <w:t>Lease Agreement, dated March 3, 2015, by and between the Registrant and</w:t>
        </w:r>
      </w:hyperlink>
      <w:r>
        <w:rPr>
          <w:rFonts w:ascii="Arial" w:cs="Arial" w:eastAsia="Arial" w:hAnsi="Arial"/>
          <w:sz w:val="18"/>
          <w:szCs w:val="18"/>
          <w:u w:val="single" w:color="auto"/>
          <w:color w:val="0000EE"/>
        </w:rPr>
        <w:t xml:space="preserve"> </w:t>
      </w:r>
      <w:hyperlink r:id="rId68">
        <w:r>
          <w:rPr>
            <w:rFonts w:ascii="Arial" w:cs="Arial" w:eastAsia="Arial" w:hAnsi="Arial"/>
            <w:sz w:val="18"/>
            <w:szCs w:val="18"/>
            <w:u w:val="single" w:color="auto"/>
            <w:color w:val="0000EE"/>
          </w:rPr>
          <w:t>Cedar Brook 2005, LP, as amended by the First Amendment to Lease dated</w:t>
        </w:r>
      </w:hyperlink>
      <w:r>
        <w:rPr>
          <w:rFonts w:ascii="Arial" w:cs="Arial" w:eastAsia="Arial" w:hAnsi="Arial"/>
          <w:sz w:val="18"/>
          <w:szCs w:val="18"/>
          <w:u w:val="single" w:color="auto"/>
          <w:color w:val="0000EE"/>
        </w:rPr>
        <w:t xml:space="preserve"> </w:t>
      </w:r>
      <w:hyperlink r:id="rId68">
        <w:r>
          <w:rPr>
            <w:rFonts w:ascii="Arial" w:cs="Arial" w:eastAsia="Arial" w:hAnsi="Arial"/>
            <w:sz w:val="18"/>
            <w:szCs w:val="18"/>
            <w:u w:val="single" w:color="auto"/>
            <w:color w:val="0000EE"/>
          </w:rPr>
          <w:t>April 24, 2017.</w:t>
        </w:r>
      </w:hyperlink>
    </w:p>
    <w:p>
      <w:pPr>
        <w:spacing w:after="0" w:line="116" w:lineRule="exact"/>
        <w:rPr>
          <w:rFonts w:ascii="Arial" w:cs="Arial" w:eastAsia="Arial" w:hAnsi="Arial"/>
          <w:sz w:val="18"/>
          <w:szCs w:val="18"/>
          <w:u w:val="single" w:color="auto"/>
          <w:color w:val="0000EE"/>
        </w:rPr>
      </w:pPr>
    </w:p>
    <w:p>
      <w:pPr>
        <w:ind w:left="220"/>
        <w:spacing w:after="0"/>
        <w:tabs>
          <w:tab w:leader="none" w:pos="900" w:val="left"/>
        </w:tabs>
        <w:rPr>
          <w:rFonts w:ascii="Arial" w:cs="Arial" w:eastAsia="Arial" w:hAnsi="Arial"/>
          <w:sz w:val="15"/>
          <w:szCs w:val="15"/>
          <w:u w:val="single" w:color="auto"/>
          <w:color w:val="0000EE"/>
        </w:rPr>
      </w:pPr>
      <w:r>
        <w:rPr>
          <w:rFonts w:ascii="Arial" w:cs="Arial" w:eastAsia="Arial" w:hAnsi="Arial"/>
          <w:sz w:val="18"/>
          <w:szCs w:val="18"/>
          <w:color w:val="auto"/>
        </w:rPr>
        <w:t>10.19</w:t>
      </w:r>
      <w:r>
        <w:rPr>
          <w:sz w:val="20"/>
          <w:szCs w:val="20"/>
          <w:color w:val="auto"/>
        </w:rPr>
        <w:tab/>
      </w:r>
      <w:hyperlink r:id="rId69">
        <w:r>
          <w:rPr>
            <w:rFonts w:ascii="Arial" w:cs="Arial" w:eastAsia="Arial" w:hAnsi="Arial"/>
            <w:sz w:val="15"/>
            <w:szCs w:val="15"/>
            <w:u w:val="single" w:color="auto"/>
            <w:color w:val="0000EE"/>
          </w:rPr>
          <w:t>Lease Agreement, dated January 8, 2021, by and between the Registrant and</w:t>
        </w:r>
      </w:hyperlink>
    </w:p>
    <w:p>
      <w:pPr>
        <w:spacing w:after="0" w:line="23" w:lineRule="exact"/>
        <w:rPr>
          <w:rFonts w:ascii="Arial" w:cs="Arial" w:eastAsia="Arial" w:hAnsi="Arial"/>
          <w:sz w:val="18"/>
          <w:szCs w:val="18"/>
          <w:u w:val="single" w:color="auto"/>
          <w:color w:val="0000EE"/>
        </w:rPr>
      </w:pPr>
    </w:p>
    <w:p>
      <w:pPr>
        <w:ind w:left="920"/>
        <w:spacing w:after="0"/>
        <w:rPr>
          <w:rFonts w:ascii="Arial" w:cs="Arial" w:eastAsia="Arial" w:hAnsi="Arial"/>
          <w:sz w:val="18"/>
          <w:szCs w:val="18"/>
          <w:u w:val="single" w:color="auto"/>
          <w:color w:val="0000EE"/>
        </w:rPr>
      </w:pPr>
      <w:hyperlink r:id="rId69">
        <w:r>
          <w:rPr>
            <w:rFonts w:ascii="Arial" w:cs="Arial" w:eastAsia="Arial" w:hAnsi="Arial"/>
            <w:sz w:val="18"/>
            <w:szCs w:val="18"/>
            <w:u w:val="single" w:color="auto"/>
            <w:color w:val="0000EE"/>
          </w:rPr>
          <w:t>BMR-ONE RESEARCH WAY LLC.</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230"/>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85"/>
              </w:rPr>
              <w:t>S-1</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10.16</w:t>
            </w:r>
          </w:p>
        </w:tc>
        <w:tc>
          <w:tcPr>
            <w:tcW w:w="1560" w:type="dxa"/>
            <w:vAlign w:val="bottom"/>
          </w:tcPr>
          <w:p>
            <w:pPr>
              <w:jc w:val="center"/>
              <w:ind w:left="110"/>
              <w:spacing w:after="0"/>
              <w:rPr>
                <w:sz w:val="20"/>
                <w:szCs w:val="20"/>
                <w:color w:val="auto"/>
              </w:rPr>
            </w:pPr>
            <w:r>
              <w:rPr>
                <w:rFonts w:ascii="Arial" w:cs="Arial" w:eastAsia="Arial" w:hAnsi="Arial"/>
                <w:sz w:val="18"/>
                <w:szCs w:val="18"/>
                <w:color w:val="auto"/>
                <w:w w:val="88"/>
              </w:rPr>
              <w:t>September 4, 2020</w:t>
            </w:r>
          </w:p>
        </w:tc>
      </w:tr>
      <w:tr>
        <w:trPr>
          <w:trHeight w:val="580"/>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85"/>
              </w:rPr>
              <w:t>S-1</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10.17</w:t>
            </w:r>
          </w:p>
        </w:tc>
        <w:tc>
          <w:tcPr>
            <w:tcW w:w="1560" w:type="dxa"/>
            <w:vAlign w:val="bottom"/>
          </w:tcPr>
          <w:p>
            <w:pPr>
              <w:jc w:val="center"/>
              <w:ind w:left="110"/>
              <w:spacing w:after="0"/>
              <w:rPr>
                <w:sz w:val="20"/>
                <w:szCs w:val="20"/>
                <w:color w:val="auto"/>
              </w:rPr>
            </w:pPr>
            <w:r>
              <w:rPr>
                <w:rFonts w:ascii="Arial" w:cs="Arial" w:eastAsia="Arial" w:hAnsi="Arial"/>
                <w:sz w:val="18"/>
                <w:szCs w:val="18"/>
                <w:color w:val="auto"/>
                <w:w w:val="88"/>
              </w:rPr>
              <w:t>September 4, 2020</w:t>
            </w:r>
          </w:p>
        </w:tc>
      </w:tr>
      <w:tr>
        <w:trPr>
          <w:trHeight w:val="581"/>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85"/>
              </w:rPr>
              <w:t>S-1</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10.18</w:t>
            </w:r>
          </w:p>
        </w:tc>
        <w:tc>
          <w:tcPr>
            <w:tcW w:w="1560" w:type="dxa"/>
            <w:vAlign w:val="bottom"/>
          </w:tcPr>
          <w:p>
            <w:pPr>
              <w:jc w:val="center"/>
              <w:ind w:left="110"/>
              <w:spacing w:after="0"/>
              <w:rPr>
                <w:sz w:val="20"/>
                <w:szCs w:val="20"/>
                <w:color w:val="auto"/>
              </w:rPr>
            </w:pPr>
            <w:r>
              <w:rPr>
                <w:rFonts w:ascii="Arial" w:cs="Arial" w:eastAsia="Arial" w:hAnsi="Arial"/>
                <w:sz w:val="18"/>
                <w:szCs w:val="18"/>
                <w:color w:val="auto"/>
                <w:w w:val="88"/>
              </w:rPr>
              <w:t>September 4, 2020</w:t>
            </w:r>
          </w:p>
        </w:tc>
      </w:tr>
      <w:tr>
        <w:trPr>
          <w:trHeight w:val="796"/>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94"/>
              </w:rPr>
              <w:t>10-K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001-39539</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10.19</w:t>
            </w:r>
          </w:p>
        </w:tc>
        <w:tc>
          <w:tcPr>
            <w:tcW w:w="1560" w:type="dxa"/>
            <w:vAlign w:val="bottom"/>
          </w:tcPr>
          <w:p>
            <w:pPr>
              <w:jc w:val="center"/>
              <w:ind w:left="90"/>
              <w:spacing w:after="0"/>
              <w:rPr>
                <w:sz w:val="20"/>
                <w:szCs w:val="20"/>
                <w:color w:val="auto"/>
              </w:rPr>
            </w:pPr>
            <w:r>
              <w:rPr>
                <w:rFonts w:ascii="Arial" w:cs="Arial" w:eastAsia="Arial" w:hAnsi="Arial"/>
                <w:sz w:val="18"/>
                <w:szCs w:val="18"/>
                <w:color w:val="auto"/>
                <w:w w:val="92"/>
              </w:rPr>
              <w:t>March 3, 2021</w:t>
            </w:r>
          </w:p>
        </w:tc>
      </w:tr>
    </w:tbl>
    <w:p>
      <w:pPr>
        <w:spacing w:after="0" w:line="346" w:lineRule="exact"/>
        <w:rPr>
          <w:rFonts w:ascii="Arial" w:cs="Arial" w:eastAsia="Arial" w:hAnsi="Arial"/>
          <w:sz w:val="18"/>
          <w:szCs w:val="18"/>
          <w:u w:val="single" w:color="auto"/>
          <w:color w:val="0000EE"/>
        </w:rPr>
      </w:pPr>
    </w:p>
    <w:p>
      <w:pPr>
        <w:sectPr>
          <w:pgSz w:w="11900" w:h="16838" w:orient="portrait"/>
          <w:cols w:equalWidth="0" w:num="2">
            <w:col w:w="6480" w:space="280"/>
            <w:col w:w="4340"/>
          </w:cols>
          <w:pgMar w:left="320" w:top="476" w:right="479" w:bottom="1440" w:gutter="0" w:footer="0" w:header="0"/>
        </w:sectPr>
      </w:pPr>
    </w:p>
    <w:tbl>
      <w:tblPr>
        <w:tblLayout w:type="fixed"/>
        <w:tblInd w:w="80" w:type="dxa"/>
        <w:tblCellMar>
          <w:top w:w="0" w:type="dxa"/>
          <w:left w:w="0" w:type="dxa"/>
          <w:bottom w:w="0" w:type="dxa"/>
          <w:right w:w="0" w:type="dxa"/>
        </w:tblCellMar>
      </w:tblPr>
      <w:tr>
        <w:trPr>
          <w:trHeight w:val="207"/>
        </w:trPr>
        <w:tc>
          <w:tcPr>
            <w:tcW w:w="840" w:type="dxa"/>
            <w:vAlign w:val="bottom"/>
          </w:tcPr>
          <w:p>
            <w:pPr>
              <w:ind w:left="180"/>
              <w:spacing w:after="0"/>
              <w:rPr>
                <w:sz w:val="20"/>
                <w:szCs w:val="20"/>
                <w:color w:val="auto"/>
              </w:rPr>
            </w:pPr>
            <w:r>
              <w:rPr>
                <w:rFonts w:ascii="Arial" w:cs="Arial" w:eastAsia="Arial" w:hAnsi="Arial"/>
                <w:sz w:val="18"/>
                <w:szCs w:val="18"/>
                <w:color w:val="auto"/>
              </w:rPr>
              <w:t>31.1</w:t>
            </w:r>
          </w:p>
        </w:tc>
        <w:tc>
          <w:tcPr>
            <w:tcW w:w="5620" w:type="dxa"/>
            <w:vAlign w:val="bottom"/>
            <w:gridSpan w:val="6"/>
          </w:tcPr>
          <w:p>
            <w:pPr>
              <w:spacing w:after="0"/>
              <w:rPr>
                <w:rFonts w:ascii="Arial" w:cs="Arial" w:eastAsia="Arial" w:hAnsi="Arial"/>
                <w:sz w:val="18"/>
                <w:szCs w:val="18"/>
                <w:color w:val="0000EE"/>
                <w:w w:val="93"/>
              </w:rPr>
            </w:pPr>
            <w:hyperlink w:anchor="page32">
              <w:r>
                <w:rPr>
                  <w:rFonts w:ascii="Arial" w:cs="Arial" w:eastAsia="Arial" w:hAnsi="Arial"/>
                  <w:sz w:val="18"/>
                  <w:szCs w:val="18"/>
                  <w:color w:val="0000EE"/>
                  <w:w w:val="93"/>
                </w:rPr>
                <w:t>Certification of Principal Executive Officer Pursuant to Rules 13a-14(a) and</w:t>
              </w:r>
            </w:hyperlink>
          </w:p>
        </w:tc>
      </w:tr>
      <w:tr>
        <w:trPr>
          <w:trHeight w:val="20"/>
        </w:trPr>
        <w:tc>
          <w:tcPr>
            <w:tcW w:w="84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56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15d-14(a) under the Securities Exchange Act of 1934, as Adopted Pursuant to</w:t>
              </w:r>
            </w:hyperlink>
          </w:p>
        </w:tc>
        <w:tc>
          <w:tcPr>
            <w:tcW w:w="2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46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Section 302 of the Sarbanes-Oxley Act of 2002.</w:t>
              </w:r>
            </w:hyperlink>
          </w:p>
        </w:tc>
        <w:tc>
          <w:tcPr>
            <w:tcW w:w="2160" w:type="dxa"/>
            <w:vAlign w:val="bottom"/>
            <w:gridSpan w:val="5"/>
          </w:tcPr>
          <w:p>
            <w:pPr>
              <w:spacing w:after="0"/>
              <w:rPr>
                <w:sz w:val="17"/>
                <w:szCs w:val="17"/>
                <w:color w:val="auto"/>
              </w:rPr>
            </w:pPr>
          </w:p>
        </w:tc>
      </w:tr>
      <w:tr>
        <w:trPr>
          <w:trHeight w:val="344"/>
        </w:trPr>
        <w:tc>
          <w:tcPr>
            <w:tcW w:w="840" w:type="dxa"/>
            <w:vAlign w:val="bottom"/>
          </w:tcPr>
          <w:p>
            <w:pPr>
              <w:ind w:left="180"/>
              <w:spacing w:after="0"/>
              <w:rPr>
                <w:sz w:val="20"/>
                <w:szCs w:val="20"/>
                <w:color w:val="auto"/>
              </w:rPr>
            </w:pPr>
            <w:r>
              <w:rPr>
                <w:rFonts w:ascii="Arial" w:cs="Arial" w:eastAsia="Arial" w:hAnsi="Arial"/>
                <w:sz w:val="18"/>
                <w:szCs w:val="18"/>
                <w:color w:val="auto"/>
              </w:rPr>
              <w:t>31.2</w:t>
            </w:r>
          </w:p>
        </w:tc>
        <w:tc>
          <w:tcPr>
            <w:tcW w:w="548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Certification of Principal Financial Officer Pursuant to Rules 13a-14(a) and</w:t>
              </w:r>
            </w:hyperlink>
          </w:p>
        </w:tc>
        <w:tc>
          <w:tcPr>
            <w:tcW w:w="140" w:type="dxa"/>
            <w:vAlign w:val="bottom"/>
            <w:gridSpan w:val="2"/>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56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15d-14(a) under the Securities Exchange Act of 1934, as Adopted Pursuant to</w:t>
              </w:r>
            </w:hyperlink>
          </w:p>
        </w:tc>
        <w:tc>
          <w:tcPr>
            <w:tcW w:w="2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46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Section 302 of the Sarbanes-Oxley Act of 2002.</w:t>
              </w:r>
            </w:hyperlink>
          </w:p>
        </w:tc>
        <w:tc>
          <w:tcPr>
            <w:tcW w:w="2160" w:type="dxa"/>
            <w:vAlign w:val="bottom"/>
            <w:gridSpan w:val="5"/>
          </w:tcPr>
          <w:p>
            <w:pPr>
              <w:spacing w:after="0"/>
              <w:rPr>
                <w:sz w:val="17"/>
                <w:szCs w:val="17"/>
                <w:color w:val="auto"/>
              </w:rPr>
            </w:pPr>
          </w:p>
        </w:tc>
      </w:tr>
      <w:tr>
        <w:trPr>
          <w:trHeight w:val="344"/>
        </w:trPr>
        <w:tc>
          <w:tcPr>
            <w:tcW w:w="840" w:type="dxa"/>
            <w:vAlign w:val="bottom"/>
          </w:tcPr>
          <w:p>
            <w:pPr>
              <w:ind w:left="180"/>
              <w:spacing w:after="0"/>
              <w:rPr>
                <w:sz w:val="20"/>
                <w:szCs w:val="20"/>
                <w:color w:val="auto"/>
              </w:rPr>
            </w:pPr>
            <w:r>
              <w:rPr>
                <w:rFonts w:ascii="Arial" w:cs="Arial" w:eastAsia="Arial" w:hAnsi="Arial"/>
                <w:sz w:val="18"/>
                <w:szCs w:val="18"/>
                <w:color w:val="auto"/>
              </w:rPr>
              <w:t>32.1†</w:t>
            </w:r>
          </w:p>
        </w:tc>
        <w:tc>
          <w:tcPr>
            <w:tcW w:w="53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Certification of Principal Executive Officer Pursuant to 18 U.S.C. Section</w:t>
              </w:r>
            </w:hyperlink>
          </w:p>
        </w:tc>
        <w:tc>
          <w:tcPr>
            <w:tcW w:w="300" w:type="dxa"/>
            <w:vAlign w:val="bottom"/>
            <w:gridSpan w:val="3"/>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56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1350, as Adopted Pursuant to Section 906 of the Sarbanes-Oxley Act of 2002.</w:t>
              </w:r>
            </w:hyperlink>
          </w:p>
        </w:tc>
      </w:tr>
      <w:tr>
        <w:trPr>
          <w:trHeight w:val="344"/>
        </w:trPr>
        <w:tc>
          <w:tcPr>
            <w:tcW w:w="840" w:type="dxa"/>
            <w:vAlign w:val="bottom"/>
          </w:tcPr>
          <w:p>
            <w:pPr>
              <w:ind w:left="180"/>
              <w:spacing w:after="0"/>
              <w:rPr>
                <w:sz w:val="20"/>
                <w:szCs w:val="20"/>
                <w:color w:val="auto"/>
              </w:rPr>
            </w:pPr>
            <w:r>
              <w:rPr>
                <w:rFonts w:ascii="Arial" w:cs="Arial" w:eastAsia="Arial" w:hAnsi="Arial"/>
                <w:sz w:val="18"/>
                <w:szCs w:val="18"/>
                <w:color w:val="auto"/>
              </w:rPr>
              <w:t>32.2†</w:t>
            </w:r>
          </w:p>
        </w:tc>
        <w:tc>
          <w:tcPr>
            <w:tcW w:w="5620" w:type="dxa"/>
            <w:vAlign w:val="bottom"/>
            <w:gridSpan w:val="6"/>
          </w:tcPr>
          <w:p>
            <w:pPr>
              <w:spacing w:after="0"/>
              <w:rPr>
                <w:rFonts w:ascii="Arial" w:cs="Arial" w:eastAsia="Arial" w:hAnsi="Arial"/>
                <w:sz w:val="18"/>
                <w:szCs w:val="18"/>
                <w:color w:val="0000EE"/>
                <w:w w:val="98"/>
              </w:rPr>
            </w:pPr>
            <w:hyperlink w:anchor="page35">
              <w:r>
                <w:rPr>
                  <w:rFonts w:ascii="Arial" w:cs="Arial" w:eastAsia="Arial" w:hAnsi="Arial"/>
                  <w:sz w:val="18"/>
                  <w:szCs w:val="18"/>
                  <w:color w:val="0000EE"/>
                  <w:w w:val="98"/>
                </w:rPr>
                <w:t>Certification of Principal Financial Officer Pursuant to 18 U.S.C. Section</w:t>
              </w:r>
            </w:hyperlink>
          </w:p>
        </w:tc>
      </w:tr>
      <w:tr>
        <w:trPr>
          <w:trHeight w:val="20"/>
        </w:trPr>
        <w:tc>
          <w:tcPr>
            <w:tcW w:w="840" w:type="dxa"/>
            <w:vAlign w:val="bottom"/>
          </w:tcPr>
          <w:p>
            <w:pPr>
              <w:spacing w:after="0" w:line="20" w:lineRule="exact"/>
              <w:rPr>
                <w:sz w:val="1"/>
                <w:szCs w:val="1"/>
                <w:color w:val="auto"/>
              </w:rPr>
            </w:pPr>
          </w:p>
        </w:tc>
        <w:tc>
          <w:tcPr>
            <w:tcW w:w="5260" w:type="dxa"/>
            <w:vAlign w:val="bottom"/>
            <w:gridSpan w:val="2"/>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56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1350, as Adopted Pursuant to Section 906 of the Sarbanes-Oxley Act of 2002.</w:t>
              </w:r>
            </w:hyperlink>
          </w:p>
        </w:tc>
      </w:tr>
      <w:tr>
        <w:trPr>
          <w:trHeight w:val="385"/>
        </w:trPr>
        <w:tc>
          <w:tcPr>
            <w:tcW w:w="840" w:type="dxa"/>
            <w:vAlign w:val="bottom"/>
          </w:tcPr>
          <w:p>
            <w:pPr>
              <w:jc w:val="center"/>
              <w:ind w:right="70"/>
              <w:spacing w:after="0"/>
              <w:rPr>
                <w:sz w:val="20"/>
                <w:szCs w:val="20"/>
                <w:color w:val="auto"/>
              </w:rPr>
            </w:pPr>
            <w:r>
              <w:rPr>
                <w:rFonts w:ascii="Arial" w:cs="Arial" w:eastAsia="Arial" w:hAnsi="Arial"/>
                <w:sz w:val="18"/>
                <w:szCs w:val="18"/>
                <w:color w:val="auto"/>
                <w:w w:val="92"/>
              </w:rPr>
              <w:t>101.INS</w:t>
            </w:r>
          </w:p>
        </w:tc>
        <w:tc>
          <w:tcPr>
            <w:tcW w:w="5620" w:type="dxa"/>
            <w:vAlign w:val="bottom"/>
            <w:gridSpan w:val="6"/>
          </w:tcPr>
          <w:p>
            <w:pPr>
              <w:spacing w:after="0"/>
              <w:rPr>
                <w:sz w:val="20"/>
                <w:szCs w:val="20"/>
                <w:color w:val="auto"/>
              </w:rPr>
            </w:pPr>
            <w:r>
              <w:rPr>
                <w:rFonts w:ascii="Arial" w:cs="Arial" w:eastAsia="Arial" w:hAnsi="Arial"/>
                <w:sz w:val="18"/>
                <w:szCs w:val="18"/>
                <w:color w:val="auto"/>
              </w:rPr>
              <w:t>Inline XBRL Instance Document</w:t>
            </w:r>
          </w:p>
        </w:tc>
      </w:tr>
      <w:tr>
        <w:trPr>
          <w:trHeight w:val="364"/>
        </w:trPr>
        <w:tc>
          <w:tcPr>
            <w:tcW w:w="840" w:type="dxa"/>
            <w:vAlign w:val="bottom"/>
          </w:tcPr>
          <w:p>
            <w:pPr>
              <w:jc w:val="center"/>
              <w:ind w:right="70"/>
              <w:spacing w:after="0"/>
              <w:rPr>
                <w:sz w:val="20"/>
                <w:szCs w:val="20"/>
                <w:color w:val="auto"/>
              </w:rPr>
            </w:pPr>
            <w:r>
              <w:rPr>
                <w:rFonts w:ascii="Arial" w:cs="Arial" w:eastAsia="Arial" w:hAnsi="Arial"/>
                <w:sz w:val="18"/>
                <w:szCs w:val="18"/>
                <w:color w:val="auto"/>
                <w:w w:val="93"/>
              </w:rPr>
              <w:t>101.SCH</w:t>
            </w:r>
          </w:p>
        </w:tc>
        <w:tc>
          <w:tcPr>
            <w:tcW w:w="562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65"/>
        </w:trPr>
        <w:tc>
          <w:tcPr>
            <w:tcW w:w="840" w:type="dxa"/>
            <w:vAlign w:val="bottom"/>
          </w:tcPr>
          <w:p>
            <w:pPr>
              <w:jc w:val="center"/>
              <w:ind w:right="70"/>
              <w:spacing w:after="0"/>
              <w:rPr>
                <w:sz w:val="20"/>
                <w:szCs w:val="20"/>
                <w:color w:val="auto"/>
              </w:rPr>
            </w:pPr>
            <w:r>
              <w:rPr>
                <w:rFonts w:ascii="Arial" w:cs="Arial" w:eastAsia="Arial" w:hAnsi="Arial"/>
                <w:sz w:val="18"/>
                <w:szCs w:val="18"/>
                <w:color w:val="auto"/>
                <w:w w:val="97"/>
              </w:rPr>
              <w:t>101.CAL</w:t>
            </w:r>
          </w:p>
        </w:tc>
        <w:tc>
          <w:tcPr>
            <w:tcW w:w="562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65"/>
        </w:trPr>
        <w:tc>
          <w:tcPr>
            <w:tcW w:w="840" w:type="dxa"/>
            <w:vAlign w:val="bottom"/>
          </w:tcPr>
          <w:p>
            <w:pPr>
              <w:jc w:val="center"/>
              <w:ind w:right="70"/>
              <w:spacing w:after="0"/>
              <w:rPr>
                <w:sz w:val="20"/>
                <w:szCs w:val="20"/>
                <w:color w:val="auto"/>
              </w:rPr>
            </w:pPr>
            <w:r>
              <w:rPr>
                <w:rFonts w:ascii="Arial" w:cs="Arial" w:eastAsia="Arial" w:hAnsi="Arial"/>
                <w:sz w:val="18"/>
                <w:szCs w:val="18"/>
                <w:color w:val="auto"/>
                <w:w w:val="90"/>
              </w:rPr>
              <w:t>101.DEF</w:t>
            </w:r>
          </w:p>
        </w:tc>
        <w:tc>
          <w:tcPr>
            <w:tcW w:w="562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64"/>
        </w:trPr>
        <w:tc>
          <w:tcPr>
            <w:tcW w:w="840" w:type="dxa"/>
            <w:vAlign w:val="bottom"/>
          </w:tcPr>
          <w:p>
            <w:pPr>
              <w:jc w:val="center"/>
              <w:ind w:right="70"/>
              <w:spacing w:after="0"/>
              <w:rPr>
                <w:sz w:val="20"/>
                <w:szCs w:val="20"/>
                <w:color w:val="auto"/>
              </w:rPr>
            </w:pPr>
            <w:r>
              <w:rPr>
                <w:rFonts w:ascii="Arial" w:cs="Arial" w:eastAsia="Arial" w:hAnsi="Arial"/>
                <w:sz w:val="18"/>
                <w:szCs w:val="18"/>
                <w:color w:val="auto"/>
                <w:w w:val="98"/>
              </w:rPr>
              <w:t>101.LAB</w:t>
            </w:r>
          </w:p>
        </w:tc>
        <w:tc>
          <w:tcPr>
            <w:tcW w:w="562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65"/>
        </w:trPr>
        <w:tc>
          <w:tcPr>
            <w:tcW w:w="840" w:type="dxa"/>
            <w:vAlign w:val="bottom"/>
          </w:tcPr>
          <w:p>
            <w:pPr>
              <w:jc w:val="center"/>
              <w:ind w:right="70"/>
              <w:spacing w:after="0"/>
              <w:rPr>
                <w:sz w:val="20"/>
                <w:szCs w:val="20"/>
                <w:color w:val="auto"/>
              </w:rPr>
            </w:pPr>
            <w:r>
              <w:rPr>
                <w:rFonts w:ascii="Arial" w:cs="Arial" w:eastAsia="Arial" w:hAnsi="Arial"/>
                <w:sz w:val="18"/>
                <w:szCs w:val="18"/>
                <w:color w:val="auto"/>
                <w:w w:val="88"/>
              </w:rPr>
              <w:t>101.PRE</w:t>
            </w:r>
          </w:p>
        </w:tc>
        <w:tc>
          <w:tcPr>
            <w:tcW w:w="562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350" w:lineRule="exact"/>
        <w:rPr>
          <w:sz w:val="20"/>
          <w:szCs w:val="20"/>
          <w:color w:val="auto"/>
        </w:rPr>
      </w:pPr>
    </w:p>
    <w:p>
      <w:pPr>
        <w:ind w:left="920" w:right="5220" w:hanging="635"/>
        <w:spacing w:after="0" w:line="277" w:lineRule="auto"/>
        <w:tabs>
          <w:tab w:leader="none" w:pos="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4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6000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0">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30" w:lineRule="exact"/>
        <w:rPr>
          <w:sz w:val="20"/>
          <w:szCs w:val="20"/>
          <w:color w:val="auto"/>
        </w:rPr>
      </w:pPr>
    </w:p>
    <w:p>
      <w:pPr>
        <w:ind w:left="300" w:hanging="292"/>
        <w:spacing w:after="0" w:line="259" w:lineRule="auto"/>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76" w:right="47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80" w:firstLine="6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7240" w:type="dxa"/>
            <w:vAlign w:val="bottom"/>
            <w:gridSpan w:val="2"/>
          </w:tcPr>
          <w:p>
            <w:pPr>
              <w:ind w:left="2100"/>
              <w:spacing w:after="0"/>
              <w:rPr>
                <w:sz w:val="20"/>
                <w:szCs w:val="20"/>
                <w:color w:val="auto"/>
              </w:rPr>
            </w:pPr>
            <w:r>
              <w:rPr>
                <w:rFonts w:ascii="Arial" w:cs="Arial" w:eastAsia="Arial" w:hAnsi="Arial"/>
                <w:sz w:val="18"/>
                <w:szCs w:val="18"/>
                <w:b w:val="1"/>
                <w:bCs w:val="1"/>
                <w:color w:val="auto"/>
              </w:rPr>
              <w:t>PMV Pharmaceuticals, Inc.</w:t>
            </w:r>
          </w:p>
        </w:tc>
      </w:tr>
      <w:tr>
        <w:trPr>
          <w:trHeight w:val="459"/>
        </w:trPr>
        <w:tc>
          <w:tcPr>
            <w:tcW w:w="4000" w:type="dxa"/>
            <w:vAlign w:val="bottom"/>
          </w:tcPr>
          <w:p>
            <w:pPr>
              <w:spacing w:after="0"/>
              <w:rPr>
                <w:sz w:val="20"/>
                <w:szCs w:val="20"/>
                <w:color w:val="auto"/>
              </w:rPr>
            </w:pPr>
            <w:r>
              <w:rPr>
                <w:rFonts w:ascii="Arial" w:cs="Arial" w:eastAsia="Arial" w:hAnsi="Arial"/>
                <w:sz w:val="18"/>
                <w:szCs w:val="18"/>
                <w:color w:val="auto"/>
              </w:rPr>
              <w:t>Date: November 12, 2021</w:t>
            </w:r>
          </w:p>
        </w:tc>
        <w:tc>
          <w:tcPr>
            <w:tcW w:w="2420" w:type="dxa"/>
            <w:vAlign w:val="bottom"/>
          </w:tcPr>
          <w:p>
            <w:pPr>
              <w:ind w:left="210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David H. Mack</w:t>
            </w:r>
          </w:p>
        </w:tc>
      </w:tr>
      <w:tr>
        <w:trPr>
          <w:trHeight w:val="222"/>
        </w:trPr>
        <w:tc>
          <w:tcPr>
            <w:tcW w:w="40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4"/>
              </w:rPr>
              <w:t>David H. Mack, Ph.D.</w:t>
            </w:r>
          </w:p>
        </w:tc>
      </w:tr>
      <w:tr>
        <w:trPr>
          <w:trHeight w:val="230"/>
        </w:trPr>
        <w:tc>
          <w:tcPr>
            <w:tcW w:w="40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2"/>
              </w:rPr>
              <w:t>President, Chief Executive Officer, and Director</w:t>
            </w:r>
          </w:p>
        </w:tc>
      </w:tr>
      <w:tr>
        <w:trPr>
          <w:trHeight w:val="230"/>
        </w:trPr>
        <w:tc>
          <w:tcPr>
            <w:tcW w:w="40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59"/>
        </w:trPr>
        <w:tc>
          <w:tcPr>
            <w:tcW w:w="4000" w:type="dxa"/>
            <w:vAlign w:val="bottom"/>
          </w:tcPr>
          <w:p>
            <w:pPr>
              <w:spacing w:after="0"/>
              <w:rPr>
                <w:sz w:val="24"/>
                <w:szCs w:val="24"/>
                <w:color w:val="auto"/>
              </w:rPr>
            </w:pPr>
          </w:p>
        </w:tc>
        <w:tc>
          <w:tcPr>
            <w:tcW w:w="7240" w:type="dxa"/>
            <w:vAlign w:val="bottom"/>
            <w:gridSpan w:val="2"/>
          </w:tcPr>
          <w:p>
            <w:pPr>
              <w:ind w:left="2100"/>
              <w:spacing w:after="0"/>
              <w:rPr>
                <w:sz w:val="20"/>
                <w:szCs w:val="20"/>
                <w:color w:val="auto"/>
              </w:rPr>
            </w:pPr>
            <w:r>
              <w:rPr>
                <w:rFonts w:ascii="Arial" w:cs="Arial" w:eastAsia="Arial" w:hAnsi="Arial"/>
                <w:sz w:val="18"/>
                <w:szCs w:val="18"/>
                <w:b w:val="1"/>
                <w:bCs w:val="1"/>
                <w:color w:val="auto"/>
              </w:rPr>
              <w:t>PMV Pharmaceuticals, Inc.</w:t>
            </w:r>
          </w:p>
        </w:tc>
      </w:tr>
      <w:tr>
        <w:trPr>
          <w:trHeight w:val="459"/>
        </w:trPr>
        <w:tc>
          <w:tcPr>
            <w:tcW w:w="4000" w:type="dxa"/>
            <w:vAlign w:val="bottom"/>
          </w:tcPr>
          <w:p>
            <w:pPr>
              <w:spacing w:after="0"/>
              <w:rPr>
                <w:sz w:val="20"/>
                <w:szCs w:val="20"/>
                <w:color w:val="auto"/>
              </w:rPr>
            </w:pPr>
            <w:r>
              <w:rPr>
                <w:rFonts w:ascii="Arial" w:cs="Arial" w:eastAsia="Arial" w:hAnsi="Arial"/>
                <w:sz w:val="18"/>
                <w:szCs w:val="18"/>
                <w:color w:val="auto"/>
              </w:rPr>
              <w:t>Date: November 12, 2021</w:t>
            </w:r>
          </w:p>
        </w:tc>
        <w:tc>
          <w:tcPr>
            <w:tcW w:w="2420" w:type="dxa"/>
            <w:vAlign w:val="bottom"/>
          </w:tcPr>
          <w:p>
            <w:pPr>
              <w:ind w:left="210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Winston Kung</w:t>
            </w:r>
          </w:p>
        </w:tc>
      </w:tr>
      <w:tr>
        <w:trPr>
          <w:trHeight w:val="224"/>
        </w:trPr>
        <w:tc>
          <w:tcPr>
            <w:tcW w:w="40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2"/>
              </w:rPr>
              <w:t>Winston Kung</w:t>
            </w:r>
          </w:p>
        </w:tc>
      </w:tr>
    </w:tbl>
    <w:p>
      <w:pPr>
        <w:jc w:val="center"/>
        <w:ind w:left="6380"/>
        <w:spacing w:after="0"/>
        <w:rPr>
          <w:sz w:val="20"/>
          <w:szCs w:val="20"/>
          <w:color w:val="auto"/>
        </w:rPr>
      </w:pPr>
      <w:r>
        <w:rPr>
          <w:rFonts w:ascii="Arial" w:cs="Arial" w:eastAsia="Arial" w:hAnsi="Arial"/>
          <w:sz w:val="18"/>
          <w:szCs w:val="18"/>
          <w:color w:val="auto"/>
        </w:rPr>
        <w:t>Chief Operating Officer and</w:t>
      </w:r>
    </w:p>
    <w:p>
      <w:pPr>
        <w:spacing w:after="0" w:line="22" w:lineRule="exact"/>
        <w:rPr>
          <w:sz w:val="20"/>
          <w:szCs w:val="20"/>
          <w:color w:val="auto"/>
        </w:rPr>
      </w:pPr>
    </w:p>
    <w:p>
      <w:pPr>
        <w:jc w:val="center"/>
        <w:ind w:left="63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553"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H. Mack, certify that:</w:t>
      </w:r>
    </w:p>
    <w:p>
      <w:pPr>
        <w:spacing w:after="0" w:line="225"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2021 of PMV Pharmaceuticals, Inc.;</w:t>
      </w:r>
    </w:p>
    <w:p>
      <w:pPr>
        <w:spacing w:after="0" w:line="225"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80" w:right="180" w:hanging="572"/>
        <w:spacing w:after="0" w:line="263"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60" w:hanging="572"/>
        <w:spacing w:after="0" w:line="342"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40" w:val="left"/>
          <w:tab w:leader="none" w:pos="814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2">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12"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David H. Mack, Ph.D.</w:t>
      </w:r>
    </w:p>
    <w:p>
      <w:pPr>
        <w:spacing w:after="0" w:line="27"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President, Chief Executive Officer,</w:t>
      </w:r>
    </w:p>
    <w:p>
      <w:pPr>
        <w:spacing w:after="0" w:line="23" w:lineRule="exact"/>
        <w:rPr>
          <w:sz w:val="20"/>
          <w:szCs w:val="20"/>
          <w:color w:val="auto"/>
        </w:rPr>
      </w:pPr>
    </w:p>
    <w:p>
      <w:pPr>
        <w:jc w:val="center"/>
        <w:ind w:left="6400"/>
        <w:spacing w:after="0"/>
        <w:rPr>
          <w:sz w:val="20"/>
          <w:szCs w:val="20"/>
          <w:color w:val="auto"/>
        </w:rPr>
      </w:pPr>
      <w:r>
        <w:rPr>
          <w:rFonts w:ascii="Arial" w:cs="Arial" w:eastAsia="Arial" w:hAnsi="Arial"/>
          <w:sz w:val="18"/>
          <w:szCs w:val="18"/>
          <w:b w:val="1"/>
          <w:bCs w:val="1"/>
          <w:color w:val="auto"/>
        </w:rPr>
        <w:t>and Director</w:t>
      </w:r>
    </w:p>
    <w:p>
      <w:pPr>
        <w:spacing w:after="0" w:line="9" w:lineRule="exact"/>
        <w:rPr>
          <w:sz w:val="20"/>
          <w:szCs w:val="20"/>
          <w:color w:val="auto"/>
        </w:rPr>
      </w:pPr>
    </w:p>
    <w:p>
      <w:pPr>
        <w:jc w:val="center"/>
        <w:ind w:left="640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35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Winston Kung, certify that:</w:t>
      </w:r>
    </w:p>
    <w:p>
      <w:pPr>
        <w:spacing w:after="0" w:line="225" w:lineRule="exact"/>
        <w:rPr>
          <w:sz w:val="20"/>
          <w:szCs w:val="20"/>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2021 of PMV Pharmaceuticals, Inc.;</w:t>
      </w:r>
    </w:p>
    <w:p>
      <w:pPr>
        <w:spacing w:after="0" w:line="225"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80" w:right="180" w:hanging="572"/>
        <w:spacing w:after="0" w:line="263"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60" w:hanging="572"/>
        <w:spacing w:after="0" w:line="342"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40" w:val="left"/>
          <w:tab w:leader="none" w:pos="818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3">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12"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Winston Kung</w:t>
      </w:r>
    </w:p>
    <w:p>
      <w:pPr>
        <w:spacing w:after="0" w:line="27"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Chief Operating Officer</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and Chief Financial Officer</w:t>
      </w:r>
    </w:p>
    <w:p>
      <w:pPr>
        <w:spacing w:after="0" w:line="9"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35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0" w:firstLine="589"/>
        <w:spacing w:after="0" w:line="263" w:lineRule="auto"/>
        <w:rPr>
          <w:sz w:val="20"/>
          <w:szCs w:val="20"/>
          <w:color w:val="auto"/>
        </w:rPr>
      </w:pPr>
      <w:r>
        <w:rPr>
          <w:rFonts w:ascii="Arial" w:cs="Arial" w:eastAsia="Arial" w:hAnsi="Arial"/>
          <w:sz w:val="18"/>
          <w:szCs w:val="18"/>
          <w:color w:val="auto"/>
        </w:rPr>
        <w:t>In connection with the Quarterly Report on Form 10-Q for the period ended September 30, 2021 of PMV Pharmaceuticals, Inc. (the “Company”)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spacing w:after="0"/>
        <w:tabs>
          <w:tab w:leader="none" w:pos="5680" w:val="left"/>
          <w:tab w:leader="none" w:pos="794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David H. Mack, Ph.D.</w:t>
      </w:r>
    </w:p>
    <w:p>
      <w:pPr>
        <w:spacing w:after="0" w:line="27"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0" w:firstLine="589"/>
        <w:spacing w:after="0" w:line="263" w:lineRule="auto"/>
        <w:rPr>
          <w:sz w:val="20"/>
          <w:szCs w:val="20"/>
          <w:color w:val="auto"/>
        </w:rPr>
      </w:pPr>
      <w:r>
        <w:rPr>
          <w:rFonts w:ascii="Arial" w:cs="Arial" w:eastAsia="Arial" w:hAnsi="Arial"/>
          <w:sz w:val="18"/>
          <w:szCs w:val="18"/>
          <w:color w:val="auto"/>
        </w:rPr>
        <w:t>In connection with the Quarterly Report on Form 10-Q for the period ended September 30, 2021 of PMV Pharmaceuticals, Inc. (the “Company”)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160" w:hanging="57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spacing w:after="0"/>
        <w:tabs>
          <w:tab w:leader="none" w:pos="5680" w:val="left"/>
          <w:tab w:leader="none" w:pos="798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Winston Kung</w:t>
      </w:r>
    </w:p>
    <w:p>
      <w:pPr>
        <w:spacing w:after="0" w:line="27"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Chief Operating Officer</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and Chief Financial Officer</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lvl w:ilvl="1">
      <w:lvlJc w:val="left"/>
      <w:lvlText w:val="%2"/>
      <w:numFmt w:val="decimal"/>
      <w:start w:val="104"/>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65" Type="http://schemas.openxmlformats.org/officeDocument/2006/relationships/image" Target="media/image39.png"/><Relationship Id="rId70" Type="http://schemas.openxmlformats.org/officeDocument/2006/relationships/image" Target="media/image40.png"/><Relationship Id="rId71" Type="http://schemas.openxmlformats.org/officeDocument/2006/relationships/image" Target="media/image41.png"/><Relationship Id="rId72" Type="http://schemas.openxmlformats.org/officeDocument/2006/relationships/image" Target="media/image42.png"/><Relationship Id="rId73" Type="http://schemas.openxmlformats.org/officeDocument/2006/relationships/image" Target="media/image43.png"/><Relationship Id="rId74" Type="http://schemas.openxmlformats.org/officeDocument/2006/relationships/image" Target="media/image44.png"/><Relationship Id="rId75" Type="http://schemas.openxmlformats.org/officeDocument/2006/relationships/image" Target="media/image45.png"/><Relationship Id="rId46" Type="http://schemas.openxmlformats.org/officeDocument/2006/relationships/hyperlink" Target="http://www.sec.gov/Archives/edgar/data/0001699382/000119312520257820/d95525dex31.htm" TargetMode="External"/><Relationship Id="rId47" Type="http://schemas.openxmlformats.org/officeDocument/2006/relationships/hyperlink" Target="http://www.sec.gov/Archives/edgar/data/0001699382/000119312520240132/d922470dex32.htm" TargetMode="External"/><Relationship Id="rId48" Type="http://schemas.openxmlformats.org/officeDocument/2006/relationships/hyperlink" Target="http://www.sec.gov/Archives/edgar/data/0001699382/000119312520240132/d922470dex41.htm" TargetMode="External"/><Relationship Id="rId49" Type="http://schemas.openxmlformats.org/officeDocument/2006/relationships/hyperlink" Target="http://www.sec.gov/Archives/edgar/data/0001699382/000119312520249570/d922470dex42.htm" TargetMode="External"/><Relationship Id="rId50" Type="http://schemas.openxmlformats.org/officeDocument/2006/relationships/hyperlink" Target="http://www.sec.gov/Archives/edgar/data/0001699382/000119312520240132/d922470dex101.htm" TargetMode="External"/><Relationship Id="rId51" Type="http://schemas.openxmlformats.org/officeDocument/2006/relationships/hyperlink" Target="http://www.sec.gov/Archives/edgar/data/0001699382/000119312520249570/d922470dex102.htm" TargetMode="External"/><Relationship Id="rId52" Type="http://schemas.openxmlformats.org/officeDocument/2006/relationships/hyperlink" Target="http://www.sec.gov/Archives/edgar/data/0001699382/000119312520249570/d922470dex103.htm" TargetMode="External"/><Relationship Id="rId53" Type="http://schemas.openxmlformats.org/officeDocument/2006/relationships/hyperlink" Target="http://www.sec.gov/Archives/edgar/data/0001699382/000119312520249570/d922470dex104.htm" TargetMode="External"/><Relationship Id="rId54" Type="http://schemas.openxmlformats.org/officeDocument/2006/relationships/hyperlink" Target="http://www.sec.gov/Archives/edgar/data/0001699382/000119312520240132/d922470dex105.htm" TargetMode="External"/><Relationship Id="rId55" Type="http://schemas.openxmlformats.org/officeDocument/2006/relationships/hyperlink" Target="http://www.sec.gov/Archives/edgar/data/0001699382/000119312520240132/d922470dex106.htm" TargetMode="External"/><Relationship Id="rId56" Type="http://schemas.openxmlformats.org/officeDocument/2006/relationships/hyperlink" Target="http://www.sec.gov/Archives/edgar/data/0001699382/000119312520240132/d922470dex107.htm" TargetMode="External"/><Relationship Id="rId57" Type="http://schemas.openxmlformats.org/officeDocument/2006/relationships/hyperlink" Target="http://www.sec.gov/Archives/edgar/data/0001699382/000119312520240132/d922470dex108.htm" TargetMode="External"/><Relationship Id="rId58" Type="http://schemas.openxmlformats.org/officeDocument/2006/relationships/hyperlink" Target="http://www.sec.gov/Archives/edgar/data/0001699382/000119312520240132/d922470dex109.htm" TargetMode="External"/><Relationship Id="rId59" Type="http://schemas.openxmlformats.org/officeDocument/2006/relationships/hyperlink" Target="http://www.sec.gov/Archives/edgar/data/0001699382/000119312520240132/d922470dex1010.htm" TargetMode="External"/><Relationship Id="rId60" Type="http://schemas.openxmlformats.org/officeDocument/2006/relationships/hyperlink" Target="http://www.sec.gov/Archives/edgar/data/0001699382/000119312520240132/d922470dex1011.htm" TargetMode="External"/><Relationship Id="rId61" Type="http://schemas.openxmlformats.org/officeDocument/2006/relationships/hyperlink" Target="http://www.sec.gov/Archives/edgar/data/0001699382/000119312520240132/d922470dex1012.htm" TargetMode="External"/><Relationship Id="rId62" Type="http://schemas.openxmlformats.org/officeDocument/2006/relationships/hyperlink" Target="http://www.sec.gov/Archives/edgar/data/0001699382/000119312520240132/d922470dex1013.htm" TargetMode="External"/><Relationship Id="rId63" Type="http://schemas.openxmlformats.org/officeDocument/2006/relationships/hyperlink" Target="http://www.sec.gov/Archives/edgar/data/0001699382/000119312520240132/d922470dex1014.htm" TargetMode="External"/><Relationship Id="rId64" Type="http://schemas.openxmlformats.org/officeDocument/2006/relationships/hyperlink" Target="http://www.sec.gov/Archives/edgar/data/0001699382/000119312520249570/d922470dex1015.htm" TargetMode="External"/><Relationship Id="rId66" Type="http://schemas.openxmlformats.org/officeDocument/2006/relationships/hyperlink" Target="http://www.sec.gov/Archives/edgar/data/0001699382/000119312520240132/d922470dex1016.htm" TargetMode="External"/><Relationship Id="rId67" Type="http://schemas.openxmlformats.org/officeDocument/2006/relationships/hyperlink" Target="http://www.sec.gov/Archives/edgar/data/0001699382/000119312520240132/d922470dex1017.htm" TargetMode="External"/><Relationship Id="rId68" Type="http://schemas.openxmlformats.org/officeDocument/2006/relationships/hyperlink" Target="http://www.sec.gov/Archives/edgar/data/0001699382/000119312520240132/d922470dex1018.htm" TargetMode="External"/><Relationship Id="rId69" Type="http://schemas.openxmlformats.org/officeDocument/2006/relationships/hyperlink" Target="http://www.sec.gov/Archives/edgar/data/1699382/000156459021010578/pmvp-ex1019_2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2021-11-12T09:08:40Z</dcterms:created>
  <dcterms:modified xsi:type="dcterms:W3CDTF">2021-11-12T09:08:40Z</dcterms:modified>
</cp:coreProperties>
</file>