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13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FORM 4</w:t>
            </w:r>
          </w:p>
        </w:tc>
        <w:tc>
          <w:tcPr>
            <w:tcW w:w="6200" w:type="dxa"/>
            <w:vAlign w:val="bottom"/>
            <w:gridSpan w:val="2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6200" w:type="dxa"/>
            <w:vAlign w:val="bottom"/>
            <w:gridSpan w:val="22"/>
            <w:vMerge w:val="restart"/>
          </w:tcPr>
          <w:p>
            <w:pPr>
              <w:jc w:val="center"/>
              <w:ind w:right="78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0" w:type="dxa"/>
            <w:vAlign w:val="bottom"/>
            <w:gridSpan w:val="2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20" w:type="dxa"/>
            <w:vAlign w:val="bottom"/>
            <w:gridSpan w:val="16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24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Instruction 1(b).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20" w:type="dxa"/>
            <w:vAlign w:val="bottom"/>
            <w:gridSpan w:val="1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20" w:type="dxa"/>
            <w:vAlign w:val="bottom"/>
            <w:gridSpan w:val="1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or Section 30(h) of the Investment Company Act of 1940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spacing w:after="0" w:line="238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3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3"/>
                </w:rPr>
                <w:t>Alland Leila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11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PMV Pharmaceuticals, Inc.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PMVP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X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vMerge w:val="restart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gridSpan w:val="8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05/12/2023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20" w:type="dxa"/>
            <w:vAlign w:val="bottom"/>
            <w:gridSpan w:val="6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Medical Officer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60" w:type="dxa"/>
            <w:vAlign w:val="bottom"/>
            <w:gridSpan w:val="6"/>
            <w:vMerge w:val="restart"/>
          </w:tcPr>
          <w:p>
            <w:pPr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PMV PHARMACEUTICALS, INC.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ONE RESEARCH WAY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8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11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PRINCETON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NJ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08540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</w:rPr>
              <w:t>Rule 10b5-1(c) Transaction Indication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0" w:type="dxa"/>
            <w:vAlign w:val="bottom"/>
            <w:gridSpan w:val="2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to indicate that a transaction was made pursuant to a contract, instruction or written plan that is intended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0" w:type="dxa"/>
            <w:vAlign w:val="bottom"/>
            <w:gridSpan w:val="2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80" w:type="dxa"/>
            <w:vAlign w:val="bottom"/>
            <w:gridSpan w:val="15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satisfy the affirmative defense conditions of Rule 10b5-1(c). See Instruction 10.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8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7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8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3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20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100,000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ind w:right="19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05/12/2023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100,000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05/12/2033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-5443855</wp:posOffset>
            </wp:positionV>
            <wp:extent cx="7046595" cy="5594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594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21" w:right="359" w:bottom="1440" w:gutter="0" w:footer="0" w:header="0"/>
        </w:sectPr>
      </w:pP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Shares subject to the option vest in 48 equal monthly installments beginning on June 12, 2023.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Winston Kung,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2540</wp:posOffset>
            </wp:positionV>
            <wp:extent cx="1311275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12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-16510</wp:posOffset>
            </wp:positionV>
            <wp:extent cx="348615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05/15/2023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6350</wp:posOffset>
            </wp:positionH>
            <wp:positionV relativeFrom="paragraph">
              <wp:posOffset>2540</wp:posOffset>
            </wp:positionV>
            <wp:extent cx="484505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60" w:space="120"/>
            <w:col w:w="2300"/>
          </w:cols>
          <w:pgMar w:left="460" w:top="221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1825216" TargetMode="External"/><Relationship Id="rId9" Type="http://schemas.openxmlformats.org/officeDocument/2006/relationships/hyperlink" Target="http://www.sec.gov/cgi-bin/browse-edgar?action=getcompany&amp;CIK=00016993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2023-05-15T17:16:18Z</dcterms:created>
  <dcterms:modified xsi:type="dcterms:W3CDTF">2023-05-15T17:16:18Z</dcterms:modified>
</cp:coreProperties>
</file>