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18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restart"/>
          </w:tcPr>
          <w:p>
            <w:pPr>
              <w:jc w:val="center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18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60" w:type="dxa"/>
            <w:vAlign w:val="bottom"/>
            <w:gridSpan w:val="17"/>
            <w:vMerge w:val="restart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Mack David Henry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1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RESEARCH WAY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6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85,500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0.53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165,470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147,915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56,978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6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8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85,500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9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05/11/2025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307,866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-7153275</wp:posOffset>
            </wp:positionV>
            <wp:extent cx="7045960" cy="7306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30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are held of record by The Mack-Mulligan Revocable Trust. The reporting person disclaims beneficial ownership of these securities except to the extent of any pecuniary interest therein.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are held of record by the Stinson 2021 Irrevocable Trust. The reporting person disclaims beneficial ownership of these securities except to the extent of any pecuniary interest therein.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500" w:firstLine="4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held of record by the Mack/Mulligan 2020 Irrevocable Descendants' Trust. The reporting person disclaims beneficial ownership of these securities except to the extent of any pecuniary interest therein.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are fully vested and immediately exercisable.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H. Mack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08/08/2023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41642" TargetMode="External"/><Relationship Id="rId9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2023-08-08T16:11:11Z</dcterms:created>
  <dcterms:modified xsi:type="dcterms:W3CDTF">2023-08-08T16:11:11Z</dcterms:modified>
</cp:coreProperties>
</file>