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80" w:right="1580" w:hanging="3859"/>
        <w:spacing w:after="0" w:line="329"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2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420" w:type="dxa"/>
        <w:tblCellMar>
          <w:top w:w="0" w:type="dxa"/>
          <w:left w:w="0" w:type="dxa"/>
          <w:bottom w:w="0" w:type="dxa"/>
          <w:right w:w="0" w:type="dxa"/>
        </w:tblCellMar>
      </w:tblPr>
      <w:tr>
        <w:trPr>
          <w:trHeight w:val="214"/>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4620" w:type="dxa"/>
            <w:vAlign w:val="bottom"/>
          </w:tcPr>
          <w:p>
            <w:pPr>
              <w:jc w:val="center"/>
              <w:ind w:right="1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c>
          <w:tcPr>
            <w:tcW w:w="2960" w:type="dxa"/>
            <w:vAlign w:val="bottom"/>
          </w:tcPr>
          <w:p>
            <w:pPr>
              <w:spacing w:after="0"/>
              <w:rPr>
                <w:sz w:val="24"/>
                <w:szCs w:val="24"/>
                <w:color w:val="auto"/>
              </w:rPr>
            </w:pPr>
          </w:p>
        </w:tc>
      </w:tr>
      <w:tr>
        <w:trPr>
          <w:trHeight w:val="227"/>
        </w:trPr>
        <w:tc>
          <w:tcPr>
            <w:tcW w:w="46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0"/>
        </w:trPr>
        <w:tc>
          <w:tcPr>
            <w:tcW w:w="46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2"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8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August 6, 2025, the registrant had 52,990,864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040" w:type="dxa"/>
            <w:vAlign w:val="bottom"/>
            <w:gridSpan w:val="11"/>
            <w:vMerge w:val="restart"/>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280" w:type="dxa"/>
            <w:vAlign w:val="bottom"/>
            <w:tcBorders>
              <w:bottom w:val="single" w:sz="8" w:color="0000FF"/>
            </w:tcBorders>
            <w:gridSpan w:val="8"/>
            <w:vMerge w:val="continue"/>
          </w:tcPr>
          <w:p>
            <w:pPr>
              <w:spacing w:after="0"/>
              <w:rPr>
                <w:sz w:val="14"/>
                <w:szCs w:val="14"/>
                <w:color w:val="auto"/>
              </w:rPr>
            </w:pPr>
          </w:p>
        </w:tc>
        <w:tc>
          <w:tcPr>
            <w:tcW w:w="704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28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0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5"/>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17"/>
                <w:szCs w:val="17"/>
                <w:color w:val="auto"/>
              </w:rPr>
            </w:pPr>
          </w:p>
        </w:tc>
        <w:tc>
          <w:tcPr>
            <w:tcW w:w="74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70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w:t>
      </w:r>
    </w:p>
    <w:p>
      <w:pPr>
        <w:spacing w:after="0" w:line="79"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5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any proceeds from the ATM Program (as defined below);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rezatapopt, our lead product candidate, for a tumor-agnostic indication;</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2024, filed with the United States Securities and Exchange Commission, or the SEC, on March 3, 2025, our Quarterly Report on Form 10-Q for the quarter ended March 31, 2025, filed with the SEC on May 9, 2025,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3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at June 30, 2025 and December 31,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No shares issued or outstanding at June 30, 2025 and December 31, 2024.</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52,993,238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51,935,134 shares issued and outstanding at June 30, 2025 and December 31, 2024,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547,942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(407,358)</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(368,712)</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140,605</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-3402330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-2562860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-2545080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35,841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27,813</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(22,879)</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(20,170)</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(44,441)</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(38,391)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2,801</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5,753</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(21,205)</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(17,386)</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(40,837)</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(32,656)</w:t>
            </w: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(16,173)</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(2,191)</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(16,173)</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(21,210)</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(1,213)</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(38,646)</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(16,483)</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on available for sale investments, net of tax</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(38,763)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(16,891)</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52,010,827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51,478,751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51,981,607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51,462,307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-2331085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-2331085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-2331085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-1482090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-1482090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-1482090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-1199515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-1199515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-1199515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-633730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-633730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-633730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2"/>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2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6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535,468</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(310,003)</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(15,270)</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(15,270)</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538,078</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(325,273)</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8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ESPP</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(1,213)</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51,522,125</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540,986</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(185)</w:t>
            </w: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(326,486)</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46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2"/>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2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6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51,935,134</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544,653</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(368,712)</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(17,436)</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(17,436)</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51,954,135</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546,171</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(386,148)</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8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Exercise of stock options, common stock issued under the 2020</w:t>
            </w: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ESPP, and release of vested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1,039,103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(21,210)</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(21,210)</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52,993,238</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547,942</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(407,358)</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-3325495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-3308350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-3325495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-3308350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-3325495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-3308350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-3325495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-3308350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-3325495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-3308350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-2390775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-2373630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-2390775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-2373630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-2390775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-2373630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-2390775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-2373630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-2390775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-2373630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-959485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-942340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-959485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-942340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-959485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-942340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-959485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-942340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-959485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(38,646)</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9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(1,564)</w:t>
            </w:r>
          </w:p>
        </w:tc>
        <w:tc>
          <w:tcPr>
            <w:tcW w:w="9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income</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sales and disposals of fixed assets, net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(3,981)</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(4,239)</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(36,568)</w:t>
            </w: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(17,782)</w:t>
            </w: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(46,689)</w:t>
            </w: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(71,374)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86,374</w:t>
            </w:r>
          </w:p>
        </w:tc>
        <w:tc>
          <w:tcPr>
            <w:tcW w:w="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100,461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EIP</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3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-1996440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-1156335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5" w:lineRule="exact"/>
        <w:rPr>
          <w:sz w:val="20"/>
          <w:szCs w:val="20"/>
          <w:color w:val="auto"/>
        </w:rPr>
      </w:pPr>
    </w:p>
    <w:p>
      <w:pPr>
        <w:ind w:left="520" w:right="800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and six months ended June 30, 2025, the Company incurred a net loss of $21,210 and $38,646, respectively. For the six months ended June 30, 2025, the Company used $36,568 of cash for operations. At June 30, 2025, the Company had an accumulated deficit of $407,358. Cash, cash equivalents, and marketable securities were $148,306 as of June 30, 2025.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2024, included in the Company’s Annual Report on Form 10-K filed with the United States Securities and Exchange Commission (the “SEC”) on March 3, 2025.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June 30, 2025, the condensed consolidated statements of operations and comprehensive loss, condensed consolidated statements of stockholders’ equity and condensed consolidated statements of cash flows for the three and six months ended June 30, 2025 and 2024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2025, or for any other subsequent interim period. The condensed consolidated balance sheet as of December 31, 2024, has been derived from the Company’s audited condensed consolidated financial statements.</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Company’s accounts and the accounts of its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1020" w:right="2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5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six months ended June 30, 2025 and 2024, the Company recorded $1,564 and $3,004 of accretion, respectively.</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no restricted cash. Restricted cash as of June 30, 2024 and December 31, 2023 included a $822 deposit at the Company’s commercial bank underlying a stand-by letter of credit issued in favor of a landlord in connection with the One Research Way Lease.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leases are for office and laboratory space. Furthermore, the Company has elected to not separate lease and non-lease components by class of underlying asset for its existing leases. The Company’s only existing leases are for office and laboratory spaces.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right="20" w:firstLine="509"/>
        <w:spacing w:after="0" w:line="231"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adopted FASB ASU 2023-07, Segment Reporting (Topic 280)—Improvements to Reportable Segment Disclosures on December 31, 2024.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The requirements of this ASU have been applied beginning with the Company’s Annual Report on Form 10-K for the fiscal year ending December 31, 2024, filed with the SEC on March 3, 2025. See Note 13, Segment Information, for the updated segment disclosures as a result of adopting this ASU.</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amended guidance applies to all entities and broadly aims to enhance the transparency and decision usefulness of income tax disclosures. For public business entities, the amendments in this ASU are effective for fiscal years beginning after December 15, 2024. The requirements of this ASU are disclosure-related, have not yet been adopted and are not expected to have a material impact on the Company’s condensed consolidated financial statements.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amended guidance requires disaggregation of specific expense categories in the notes to the financial statements and a qualitative description of the remaining expense amounts not separately disaggregated. This standard becomes effective for reporting companies with annual reporting periods beginning after December 15, 2026, and requires prospective application with an option to apply it retrospectively. The Company anticipates adopting this standard in its Annual Report on Form 10-K for the year ending December 31, 2027. The Company is currently evaluating the impact that the adoption of this standard will have on its condensed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money market funds, U.S. government debt securities and corporate debt securities. Cash and cash equivalents includes money market funds, corporate securities, and government securities,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and certificates of deposit which are classified as Level 1. There were no Level 3 assets or liabilities at June 30, 2025.</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and fair values as of June 30,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8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148,209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76,443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8"/>
        </w:trPr>
        <w:tc>
          <w:tcPr>
            <w:tcW w:w="114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-908050</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-890905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-908050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-890905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-908050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-890905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-908050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-890905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-908050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-890905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-908050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-890905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21"/>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183,072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116,277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-25400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June 30, 2025, the Company had aggregate cash and cash equivalents of $44,127, including cash equivalents of $44,030,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consisting of money market funds, corporate securities, and government securities. As of December 31, 2024, the Company had aggregate cash and cash equivalents of $40,876, including cash equivalents of $40,790, consisting of money market funds and government securities.</w:t>
      </w:r>
    </w:p>
    <w:p>
      <w:pPr>
        <w:spacing w:after="0" w:line="63" w:lineRule="exact"/>
        <w:rPr>
          <w:sz w:val="20"/>
          <w:szCs w:val="20"/>
          <w:color w:val="auto"/>
        </w:rPr>
      </w:pPr>
    </w:p>
    <w:p>
      <w:pPr>
        <w:jc w:val="both"/>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$104,179 as of June 30, 2025, consisted of corporate debt securities of $30,209 and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of $73,970. There were $98,147 current marketable securities and $6,032 noncurrent marketable securities as of June 30, 2025. Marketable securities of $142,421 as of December 31, 2024, consisted of corporate debt securities of $32,949 and government debt securities of $109,472. There were $128,578 current marketable securities and $13,843 noncurrent marketable securities as of December 31, 2024.</w:t>
      </w:r>
    </w:p>
    <w:p>
      <w:pPr>
        <w:spacing w:after="0" w:line="72"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aggregated gross unrealized losses of available-for-sale investments were not material, and accordingly, no allowance for credit losses was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10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tcBorders>
              <w:top w:val="single" w:sz="8" w:color="auto"/>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terminated a lease in October 2024 resulting in an abandonment and write-off of the leasehold improvements of $9,454. Refer to Note 6 for more details on the lease termination. Depreciation expense for the three months ended June 30, 2025 and 2024 was $32 and $372, respectively. Depreciation expense for the six months ended June 30, 2025 and 2024 was $69 and $734,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56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34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4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2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left="520" w:right="8600" w:hanging="512"/>
        <w:spacing w:after="0" w:line="400" w:lineRule="auto"/>
        <w:tabs>
          <w:tab w:leader="none" w:pos="191"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ind w:left="520"/>
        <w:spacing w:after="0"/>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(the “One Research Way Lease”) at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Way in Princeton, New Jersey (the “Premises”). The lease term initially extended through 2032, had a five-year extension option, and replaced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prior facilities as the Company’s headquarters in March 2023. The Company estimated that payments under the Lease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$19,889 through May 2032. The Company received a lease incentive of $4,046 from the lessor for a buildout of laboratory, vivarium, and office space.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estimated the timing and amounts of reimbursements and included them as a reduction of lease payments when initially measuring the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and right-of-use asset upon commencement. Since the inception date of the lease, $4,046 reimbursements were received from the lessor.</w:t>
      </w:r>
    </w:p>
    <w:p>
      <w:pPr>
        <w:spacing w:after="0" w:line="9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(the “Landlord”), in connection with the termination of the Lease (the “Termination Agreement”). The Termination Agreement was contingent on the sale of the Premises by the Landlord to a prospective new buyer (the “Contingency”), which was met on October 1, 2024, and, as a result, there was no modification in August 2024.</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Termination Agreement, the Company surrendered the Premises in October 2024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in the quarter ended December 31, 2024. Since the termination fee of $1,420 was not already included in the lease payments, the termination fee was recognized as a loss on termination of the lease. Further, the Company abandoned and wrote off all the related leasehold improvements totaling $9,454 held at the Premises. This net activity totaling $6,024 was recorded as a loss within General and Administrative expense in the Statement of Operations for the quarter ended December 31, 2024. As of June 30, 2025 and December 31, 2024, the Company has no commitments or contingencies related to the Lease.</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signed a sublease for 14,201 square feet of office space at 400 Alexander Park Drive, Suite 301, in Princeton, New Jersey, to be used as its new headquarters (“400 Alexander Sublease”). The 400 Alexander Sublease commenced on October 1, 2024 and extends until February 28, 2027. Payments under the 400 Alexander Sublease will total $789 through February 2027.</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Company utilizes the premises as laboratory space for research and development activities. The sublease term extends through 2029 and provides the Company with the option to extend the term for an additional three year period. Payments under this sublease will total $768 through December 2029.</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and six months ended June 30, 2025 and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9"/>
        </w:trPr>
        <w:tc>
          <w:tcPr>
            <w:tcW w:w="3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4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355</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228</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9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583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r>
      <w:tr>
        <w:trPr>
          <w:trHeight w:val="615"/>
        </w:trPr>
        <w:tc>
          <w:tcPr>
            <w:tcW w:w="346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-1494790</wp:posOffset>
            </wp:positionV>
            <wp:extent cx="939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-1494790</wp:posOffset>
            </wp:positionV>
            <wp:extent cx="9398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-925195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-908050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-925195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-925195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-908050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June 30, 2025, and December 31, 2024,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FF0FC"/>
          </w:tcPr>
          <w:p>
            <w:pPr>
              <w:spacing w:after="0"/>
              <w:rPr>
                <w:sz w:val="18"/>
                <w:szCs w:val="18"/>
                <w:color w:val="auto"/>
              </w:rPr>
            </w:pPr>
          </w:p>
        </w:tc>
      </w:tr>
      <w:tr>
        <w:trPr>
          <w:trHeight w:val="210"/>
        </w:trPr>
        <w:tc>
          <w:tcPr>
            <w:tcW w:w="7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8"/>
                <w:szCs w:val="18"/>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r>
      <w:tr>
        <w:trPr>
          <w:trHeight w:val="427"/>
        </w:trPr>
        <w:tc>
          <w:tcPr>
            <w:tcW w:w="932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six months ended June 30, 2025 and 2024, respectively, are as follows: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7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-1399540</wp:posOffset>
            </wp:positionV>
            <wp:extent cx="102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-1399540</wp:posOffset>
            </wp:positionV>
            <wp:extent cx="102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June 30, 2025, under operating leases by fiscal year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r>
      <w:tr>
        <w:trPr>
          <w:trHeight w:val="216"/>
        </w:trPr>
        <w:tc>
          <w:tcPr>
            <w:tcW w:w="9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8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9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top w:val="single" w:sz="8" w:color="CFF0FC"/>
            </w:tcBorders>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Rent expense recorded during the three months ended June 30, 2025 and 2024 was $118 and $355, respectively. Rent expense recorded during the six months ended June 30, 2025 and 2024 was $235 and $709,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June 30, 2025 and December 31, 2024, there were 52,993,238 and 51,935,134 shares of common stock issued and outstanding, respectively.</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June 30, 2025, no dividends on common stock had been declared by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the ATM Program, the Company may offer and sell shares of its common stock having aggregate gross sales proceeds of up to $150.0 million from time to time. During the three and six months ended June 30, 2025, the Company did not sell any shares of its common stock under the ATM Program. As of June 30, 2025, the Company has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2025, the compensation committee of the Company’s board of directors, as the 2020 Plan administrator, exercised its discretion under clause (ii) to increase the number of shares of common stock reserved for issuance under the 2020 Plan by 2,596,638 shares, effective as of January 1, 2025. As of June 30, 2025, there were 4,338,125 shares available for issuance under the 2020 Plan.</w:t>
      </w:r>
    </w:p>
    <w:p>
      <w:pPr>
        <w:spacing w:after="0" w:line="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compensation committee of the Company’s board of directors. The RSUs have graded vesting on an annual basis for two years of continuous service, as per the 2020 Plan. As of June 30, 2025, such RSUs were fully vested and common stock was issued upon the settlement of the RSUs.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As of June 30, 2025 such RSUs were fully vested and common stock was issued upon settlement of the RSUs.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2025, the Company’s board of directors waived the annual increase to the shares reserved under the 2020 ESPP. As of June 30, 2025, 493,530 shares are issued or outstanding, and there were 1,280,081 shares available for issuance, under the 2020 ESPP.</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remaining unrecognized compensation expense for the original awards on the modification date, over the requisite service period of the new stock options.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six-month period ended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92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2.87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3,784,840</w:t>
            </w:r>
          </w:p>
        </w:tc>
        <w:tc>
          <w:tcPr>
            <w:tcW w:w="260" w:type="dxa"/>
            <w:vAlign w:val="bottom"/>
          </w:tcPr>
          <w:p>
            <w:pPr>
              <w:spacing w:after="0"/>
              <w:rPr>
                <w:sz w:val="18"/>
                <w:szCs w:val="18"/>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(205,223)</w:t>
            </w: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(22,199)</w:t>
            </w: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0.53</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2025 (unaudited)</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12,211,331</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6.61</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2025</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12,211,331</w:t>
            </w:r>
          </w:p>
        </w:tc>
        <w:tc>
          <w:tcPr>
            <w:tcW w:w="2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2.41</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3,813,850</w:t>
            </w:r>
          </w:p>
        </w:tc>
        <w:tc>
          <w:tcPr>
            <w:tcW w:w="260" w:type="dxa"/>
            <w:vAlign w:val="bottom"/>
          </w:tcPr>
          <w:p>
            <w:pPr>
              <w:spacing w:after="0"/>
              <w:rPr>
                <w:sz w:val="17"/>
                <w:szCs w:val="17"/>
                <w:color w:val="auto"/>
              </w:rPr>
            </w:pPr>
          </w:p>
        </w:tc>
        <w:tc>
          <w:tcPr>
            <w:tcW w:w="920" w:type="dxa"/>
            <w:vAlign w:val="bottom"/>
          </w:tcPr>
          <w:p>
            <w:pPr>
              <w:jc w:val="right"/>
              <w:ind w:right="73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4.44</w:t>
            </w:r>
          </w:p>
        </w:tc>
        <w:tc>
          <w:tcPr>
            <w:tcW w:w="1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5.63</w:t>
            </w:r>
          </w:p>
        </w:tc>
        <w:tc>
          <w:tcPr>
            <w:tcW w:w="4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-488315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-471170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-488315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-471170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 June 30, 2025, the total compensation cost related to nonvested awards not yet recognized was $13,866. The weighted-average period over which the nonvested awards is expected to be recognized was 2.9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w w:val="99"/>
              </w:rPr>
              <w:t>0%</w:t>
            </w:r>
          </w:p>
        </w:tc>
        <w:tc>
          <w:tcPr>
            <w:tcW w:w="2860" w:type="dxa"/>
            <w:vAlign w:val="bottom"/>
            <w:gridSpan w:val="4"/>
            <w:shd w:val="clear" w:color="auto" w:fill="CFF0FC"/>
          </w:tcPr>
          <w:p>
            <w:pPr>
              <w:jc w:val="center"/>
              <w:ind w:left="495"/>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80.22%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86.76%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80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40" w:type="dxa"/>
            <w:vAlign w:val="bottom"/>
            <w:tcBorders>
              <w:bottom w:val="single" w:sz="8" w:color="auto"/>
            </w:tcBorders>
          </w:tcPr>
          <w:p>
            <w:pPr>
              <w:jc w:val="right"/>
              <w:ind w:right="9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0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98"/>
              </w:rPr>
              <w:t>4.33%</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500" w:type="dxa"/>
            <w:vAlign w:val="bottom"/>
            <w:shd w:val="clear" w:color="auto" w:fill="CFF0FC"/>
          </w:tcPr>
          <w:p>
            <w:pPr>
              <w:jc w:val="center"/>
              <w:ind w:right="714"/>
              <w:spacing w:after="0"/>
              <w:rPr>
                <w:sz w:val="20"/>
                <w:szCs w:val="20"/>
                <w:color w:val="auto"/>
              </w:rPr>
            </w:pPr>
            <w:r>
              <w:rPr>
                <w:rFonts w:ascii="Times New Roman" w:cs="Times New Roman" w:eastAsia="Times New Roman" w:hAnsi="Times New Roman"/>
                <w:sz w:val="18"/>
                <w:szCs w:val="18"/>
                <w:color w:val="auto"/>
                <w:w w:val="98"/>
              </w:rPr>
              <w:t>5.43%</w:t>
            </w:r>
          </w:p>
        </w:tc>
        <w:tc>
          <w:tcPr>
            <w:tcW w:w="200" w:type="dxa"/>
            <w:vAlign w:val="bottom"/>
            <w:shd w:val="clear" w:color="auto" w:fill="CCEC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5"/>
              </w:rPr>
              <w:t>0.50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jc w:val="center"/>
              <w:ind w:right="714"/>
              <w:spacing w:after="0"/>
              <w:rPr>
                <w:sz w:val="20"/>
                <w:szCs w:val="20"/>
                <w:color w:val="auto"/>
              </w:rPr>
            </w:pPr>
            <w:r>
              <w:rPr>
                <w:rFonts w:ascii="Times New Roman" w:cs="Times New Roman" w:eastAsia="Times New Roman" w:hAnsi="Times New Roman"/>
                <w:sz w:val="18"/>
                <w:szCs w:val="18"/>
                <w:color w:val="auto"/>
                <w:w w:val="95"/>
              </w:rPr>
              <w:t>0.50</w:t>
            </w:r>
          </w:p>
        </w:tc>
        <w:tc>
          <w:tcPr>
            <w:tcW w:w="2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500" w:type="dxa"/>
            <w:vAlign w:val="bottom"/>
            <w:shd w:val="clear" w:color="auto" w:fill="CFF0FC"/>
          </w:tcPr>
          <w:p>
            <w:pPr>
              <w:jc w:val="center"/>
              <w:ind w:right="694"/>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CFF"/>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7"/>
              </w:rPr>
              <w:t>78.67%</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jc w:val="center"/>
              <w:ind w:right="714"/>
              <w:spacing w:after="0"/>
              <w:rPr>
                <w:sz w:val="20"/>
                <w:szCs w:val="20"/>
                <w:color w:val="auto"/>
              </w:rPr>
            </w:pPr>
            <w:r>
              <w:rPr>
                <w:rFonts w:ascii="Times New Roman" w:cs="Times New Roman" w:eastAsia="Times New Roman" w:hAnsi="Times New Roman"/>
                <w:sz w:val="18"/>
                <w:szCs w:val="18"/>
                <w:color w:val="auto"/>
                <w:w w:val="97"/>
              </w:rPr>
              <w:t>85.55%</w:t>
            </w:r>
          </w:p>
        </w:tc>
        <w:tc>
          <w:tcPr>
            <w:tcW w:w="200" w:type="dxa"/>
            <w:vAlign w:val="bottom"/>
          </w:tcPr>
          <w:p>
            <w:pPr>
              <w:spacing w:after="0"/>
              <w:rPr>
                <w:sz w:val="20"/>
                <w:szCs w:val="20"/>
                <w:color w:val="auto"/>
              </w:rPr>
            </w:pPr>
          </w:p>
        </w:tc>
      </w:tr>
    </w:tbl>
    <w:p>
      <w:pPr>
        <w:spacing w:after="0" w:line="19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7060" w:type="dxa"/>
            <w:vAlign w:val="bottom"/>
          </w:tcPr>
          <w:p>
            <w:pPr>
              <w:spacing w:after="0"/>
              <w:rPr>
                <w:sz w:val="15"/>
                <w:szCs w:val="15"/>
                <w:color w:val="auto"/>
              </w:rPr>
            </w:pP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907,665</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(907,665)</w:t>
            </w:r>
          </w:p>
        </w:tc>
        <w:tc>
          <w:tcPr>
            <w:tcW w:w="16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Unvested shares at June 30, 2025</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there was no unrecognized compensation cost related to RSUs that are expected to vest.</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96"/>
        </w:trPr>
        <w:tc>
          <w:tcPr>
            <w:tcW w:w="4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3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8"/>
                <w:szCs w:val="18"/>
                <w:color w:val="auto"/>
              </w:rPr>
            </w:pPr>
          </w:p>
        </w:tc>
      </w:tr>
      <w:tr>
        <w:trPr>
          <w:trHeight w:val="230"/>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3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280" w:type="dxa"/>
            <w:vAlign w:val="bottom"/>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3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3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0% and 92.6% for the three months ended June 30, 2025 and 2024, respectively. The income tax provision and effective tax rate are driven primarily by the proceeds from the sale of the Company’s New Jersey tax net operating loss carryforwards and research and development (“R&amp;D”) tax credits.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recorded a full valuation allowance on federal and state net deferred tax assets since management does not forecast the Company to be in a taxable position in the near future.</w:t>
      </w:r>
    </w:p>
    <w:p>
      <w:pPr>
        <w:spacing w:after="0" w:line="5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 operating loss (“NOL”) carryforwards and R&amp;D tax credits to other New Jersey-based corporate taxpayers. As of June 30, 2025, the Company received $18,372 of cash for the NOL and R&amp;D tax credit sales related to the tax years ended December 31, 2015 to 2023. For the six months ended June 30, 2025, the Company received a benefit for income taxes of $2,196. The Company did not receive any benefit for income taxes for the three months ended June 30, 2025. The sale of the NOLs and R&amp;D tax credits has been recorded as an income tax benefit within the condensed consolidated statement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RSUs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bottom w:val="single" w:sz="8" w:color="auto"/>
            </w:tcBorders>
          </w:tcPr>
          <w:p>
            <w:pPr>
              <w:jc w:val="right"/>
              <w:ind w:right="9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12,211,331</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8,742,868</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1,136,411</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6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12,218,176</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9,901,023</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June 30, 2025 and 2024 were $50 and $50, respectively. Total consulting fees paid during the six months ended June 30, 2025 and 2024 were $100 and $87, respectively. There were no amounts owed under the consulting agreements as of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The Company undertook these steps in order to streamline operations, reduce costs and preserve capital as it advances into late-stage development for its lead product candidate, rezatapopt. All of the costs under the restructuring plan were incurred and paid in full during the fiscal year ending December 31, 2024.</w:t>
      </w:r>
    </w:p>
    <w:p>
      <w:pPr>
        <w:spacing w:after="0" w:line="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$597 for the fiscal year ending December 31, 2024, consisting primarily of employee severance and benefit costs associated with the restructuring. The Company has recorded these charges in research and development expenses in the accompanying condensed consolidated statement of operations based on responsibilities of the impacted employees.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CEO regularly reviews the condensed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w:t>
            </w:r>
          </w:p>
        </w:tc>
        <w:tc>
          <w:tcPr>
            <w:tcW w:w="1340" w:type="dxa"/>
            <w:vAlign w:val="bottom"/>
            <w:gridSpan w:val="2"/>
          </w:tcPr>
          <w:p>
            <w:pPr>
              <w:jc w:val="right"/>
              <w:ind w:right="1188"/>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w:t>
            </w:r>
          </w:p>
        </w:tc>
        <w:tc>
          <w:tcPr>
            <w:tcW w:w="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35,841</w:t>
            </w:r>
          </w:p>
        </w:tc>
        <w:tc>
          <w:tcPr>
            <w:tcW w:w="1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1340" w:type="dxa"/>
            <w:vAlign w:val="bottom"/>
            <w:gridSpan w:val="2"/>
          </w:tcPr>
          <w:p>
            <w:pPr>
              <w:jc w:val="right"/>
              <w:ind w:right="1188"/>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External</w:t>
            </w:r>
          </w:p>
        </w:tc>
        <w:tc>
          <w:tcPr>
            <w:tcW w:w="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8"/>
                <w:szCs w:val="18"/>
                <w:color w:val="auto"/>
              </w:rPr>
            </w:pPr>
          </w:p>
        </w:tc>
      </w:tr>
      <w:tr>
        <w:trPr>
          <w:trHeight w:val="209"/>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gridSpan w:val="2"/>
          </w:tcPr>
          <w:p>
            <w:pPr>
              <w:jc w:val="right"/>
              <w:ind w:right="1188"/>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-1010920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Subsequent Event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August 7, 2025, the date these financial statements were issued. The Company determined that there were no subsequent events that required adjustment to or disclosure in the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2024 and 2023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2024 filed with the Securities and Exchange Commission, or the SEC, on March 3, 2025.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2024,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and six months ended June 30, 2025, we incurred net losses of $21.2 million and $38.6 million, respectively. As of June 30, 2025, we had an accumulated deficit of $407.4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our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We are continuing to dose patients in the pivotal Phase 2 monotherapy portion of our PYNNACLE trial, and we plan to provide interim data on the Phase 2 monotherapy registrational portion of the PYNNACLE trial by early September 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or MDACC, and the Memorial Sloan Kettering Cancer Center to support an investigator-initiated Phase 1b study, which is designed to assess the safety, tolerability, pharmacokinetics, and preliminary efficacy of rezatapopt monotherapy in combination with azacitidine in relapsed or refractory, or R/R, acute myeloid leukemia, or AML, and myelodysplastic syndromes, or MDS, patients harboring a TP53 Y220C mutation. MDACC dosed its first patient for this Phase 1b study in the first quarter of 2025.</w:t>
      </w:r>
    </w:p>
    <w:p>
      <w:pPr>
        <w:spacing w:after="0" w:line="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88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We are continuing to dose patients, and we plan to provide interim data on the Phase 2 monotherapy registrational portion of the PYNNACLE trial by early September 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17"/>
        </w:trPr>
        <w:tc>
          <w:tcPr>
            <w:tcW w:w="5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3"/>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13"/>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r>
      <w:tr>
        <w:trPr>
          <w:trHeight w:val="210"/>
        </w:trPr>
        <w:tc>
          <w:tcPr>
            <w:tcW w:w="512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2,709</w:t>
            </w:r>
          </w:p>
        </w:tc>
      </w:tr>
      <w:tr>
        <w:trPr>
          <w:trHeight w:val="216"/>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(22,879)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(2,709)</w:t>
            </w:r>
          </w:p>
        </w:tc>
      </w:tr>
      <w:tr>
        <w:trPr>
          <w:trHeight w:val="210"/>
        </w:trPr>
        <w:tc>
          <w:tcPr>
            <w:tcW w:w="5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r>
      <w:tr>
        <w:trPr>
          <w:trHeight w:val="209"/>
        </w:trPr>
        <w:tc>
          <w:tcPr>
            <w:tcW w:w="5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(3,819)</w:t>
            </w:r>
          </w:p>
        </w:tc>
      </w:tr>
      <w:tr>
        <w:trPr>
          <w:trHeight w:val="216"/>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16,178</w:t>
            </w:r>
          </w:p>
        </w:tc>
      </w:tr>
      <w:tr>
        <w:trPr>
          <w:trHeight w:val="210"/>
        </w:trPr>
        <w:tc>
          <w:tcPr>
            <w:tcW w:w="512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(21,210)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(19,997)</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-1988185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-1988185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-1430655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-1430655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-307975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19"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17"/>
        </w:trPr>
        <w:tc>
          <w:tcPr>
            <w:tcW w:w="3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3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3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3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3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FF0FC"/>
          </w:tcPr>
          <w:p>
            <w:pPr>
              <w:spacing w:after="0"/>
              <w:rPr>
                <w:sz w:val="21"/>
                <w:szCs w:val="21"/>
                <w:color w:val="auto"/>
              </w:rPr>
            </w:pPr>
          </w:p>
        </w:tc>
      </w:tr>
      <w:tr>
        <w:trPr>
          <w:trHeight w:val="601"/>
        </w:trPr>
        <w:tc>
          <w:tcPr>
            <w:tcW w:w="374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-899160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-899160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3" w:name="page24"/>
    <w:bookmarkEnd w:id="23"/>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$18.4 million for the three months ended June 30, 2025, compared to $14.6 million for the three months ended June 30, 2024. The increase of $3.8 million, compared to the three months ended June 30, 2024, was primarily due to the following:</w:t>
      </w:r>
    </w:p>
    <w:p>
      <w:pPr>
        <w:spacing w:after="0" w:line="54" w:lineRule="exact"/>
        <w:rPr>
          <w:sz w:val="20"/>
          <w:szCs w:val="20"/>
          <w:color w:val="auto"/>
        </w:rPr>
      </w:pPr>
    </w:p>
    <w:p>
      <w:pPr>
        <w:ind w:left="900" w:right="32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increase in development and personnel related expenses largely driven by increased CRO costs for advancing our lead product candidate, rezatapopt, through the Phase 2 clinical trial;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research expenses, largely driven by decreased pre-clinical CRO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expenses for stock-based compensation.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$4.5 million for the three months ended June 30, 2025, compared to $5.5 million for the three months ended June 30, 2024. The decrease of $1.0 million, compared to the three months ended June 30, 2024, was primarily due to the following:</w:t>
      </w:r>
    </w:p>
    <w:p>
      <w:pPr>
        <w:spacing w:after="0" w:line="54" w:lineRule="exact"/>
        <w:rPr>
          <w:sz w:val="20"/>
          <w:szCs w:val="20"/>
          <w:color w:val="auto"/>
        </w:rPr>
      </w:pPr>
    </w:p>
    <w:p>
      <w:pPr>
        <w:ind w:left="900" w:right="2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million decrease in personnel expenses driven by a decrease in stock-based compensation costs, $0.40 million decrease in facility and equipment expenses due to expiration of three leases, $0.10 million decrease in director and officer insurance fees.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$1.7 million for the three months ended June 30, 2025, compared to $2.8 million for the three months ended June 30, 2024. The decrease of $1.1 million was driven by decreased interest rates from cash and investments in marketable securities and U.S treasuries during the three months ended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17"/>
        </w:trPr>
        <w:tc>
          <w:tcPr>
            <w:tcW w:w="4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3"/>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13"/>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35,841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8,028</w:t>
            </w: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(1,978)</w:t>
            </w:r>
          </w:p>
        </w:tc>
      </w:tr>
      <w:tr>
        <w:trPr>
          <w:trHeight w:val="210"/>
        </w:trPr>
        <w:tc>
          <w:tcPr>
            <w:tcW w:w="4240" w:type="dxa"/>
            <w:vAlign w:val="bottom"/>
            <w:tcBorders>
              <w:top w:val="single" w:sz="8" w:color="CFF0FC"/>
            </w:tcBorders>
          </w:tcPr>
          <w:p>
            <w:pPr>
              <w:spacing w:after="0"/>
              <w:rPr>
                <w:sz w:val="18"/>
                <w:szCs w:val="18"/>
                <w:color w:val="auto"/>
              </w:rPr>
            </w:pPr>
          </w:p>
        </w:tc>
        <w:tc>
          <w:tcPr>
            <w:tcW w:w="24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44,441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6,050</w:t>
            </w:r>
          </w:p>
        </w:tc>
      </w:tr>
      <w:tr>
        <w:trPr>
          <w:trHeight w:val="216"/>
        </w:trPr>
        <w:tc>
          <w:tcPr>
            <w:tcW w:w="4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(44,441)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(6,050)</w:t>
            </w:r>
          </w:p>
        </w:tc>
      </w:tr>
      <w:tr>
        <w:trPr>
          <w:trHeight w:val="210"/>
        </w:trPr>
        <w:tc>
          <w:tcPr>
            <w:tcW w:w="4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2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(2,131)</w:t>
            </w:r>
          </w:p>
        </w:tc>
      </w:tr>
      <w:tr>
        <w:trPr>
          <w:trHeight w:val="210"/>
        </w:trPr>
        <w:tc>
          <w:tcPr>
            <w:tcW w:w="42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(8,181)</w:t>
            </w:r>
          </w:p>
        </w:tc>
      </w:tr>
      <w:tr>
        <w:trPr>
          <w:trHeight w:val="216"/>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13,982</w:t>
            </w:r>
          </w:p>
        </w:tc>
      </w:tr>
      <w:tr>
        <w:trPr>
          <w:trHeight w:val="210"/>
        </w:trPr>
        <w:tc>
          <w:tcPr>
            <w:tcW w:w="4240" w:type="dxa"/>
            <w:vAlign w:val="bottom"/>
            <w:tcBorders>
              <w:top w:val="single" w:sz="8" w:color="CFF0FC"/>
            </w:tcBorders>
          </w:tcPr>
          <w:p>
            <w:pPr>
              <w:spacing w:after="0"/>
              <w:rPr>
                <w:sz w:val="18"/>
                <w:szCs w:val="18"/>
                <w:color w:val="auto"/>
              </w:rPr>
            </w:pPr>
          </w:p>
        </w:tc>
        <w:tc>
          <w:tcPr>
            <w:tcW w:w="24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(38,646)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(16,483)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(22,163)</w:t>
            </w:r>
          </w:p>
        </w:tc>
      </w:tr>
      <w:tr>
        <w:trPr>
          <w:trHeight w:val="601"/>
        </w:trPr>
        <w:tc>
          <w:tcPr>
            <w:tcW w:w="4240" w:type="dxa"/>
            <w:vAlign w:val="bottom"/>
            <w:tcBorders>
              <w:top w:val="single" w:sz="8" w:color="CFF0FC"/>
            </w:tcBorders>
          </w:tcPr>
          <w:p>
            <w:pPr>
              <w:spacing w:after="0"/>
              <w:rPr>
                <w:sz w:val="24"/>
                <w:szCs w:val="24"/>
                <w:color w:val="auto"/>
              </w:rPr>
            </w:pPr>
          </w:p>
        </w:tc>
        <w:tc>
          <w:tcPr>
            <w:tcW w:w="24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-2879725</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-2879725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-2322195</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-2322195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-1199515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-1199515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-916940</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-899795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-916940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-899795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19"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17"/>
        </w:trPr>
        <w:tc>
          <w:tcPr>
            <w:tcW w:w="4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3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2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r>
      <w:tr>
        <w:trPr>
          <w:trHeight w:val="20"/>
        </w:trPr>
        <w:tc>
          <w:tcPr>
            <w:tcW w:w="4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$35.8 million for the six months ended June 30, 2025, compared to $27.8 million for the six months ended June 30, 2024. The increase of $8.1 million, compared to the six months ended June 30, 2024, was primarily due to the following:</w:t>
      </w:r>
    </w:p>
    <w:p>
      <w:pPr>
        <w:spacing w:after="0" w:line="54" w:lineRule="exact"/>
        <w:rPr>
          <w:sz w:val="20"/>
          <w:szCs w:val="20"/>
          <w:color w:val="auto"/>
        </w:rPr>
      </w:pPr>
    </w:p>
    <w:p>
      <w:pPr>
        <w:ind w:left="900" w:right="2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million increase in development expenses, largely driven by increased CRO costs for advancing our lead product candidate, rezatapopt, through the Phase 2 clinical trial;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decrease in expenses for personnel related costs and stock-based compensation, primarily driven by decreased headcount.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$8.6 million for the six months ended June 30, 2025, compared to $10.6 million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The decrease of $2.0 million, compared to the six months ended June 30, 2024, was primarily due to the following:</w:t>
      </w:r>
    </w:p>
    <w:p>
      <w:pPr>
        <w:spacing w:after="0" w:line="99" w:lineRule="exact"/>
        <w:rPr>
          <w:sz w:val="20"/>
          <w:szCs w:val="20"/>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decrease in personnel expenses driven by a decrease in headcount, $0.7 million decrease in facility and equipment expenses due to the termination of the One Research Way Lease, and a $0.1 million decrease in finance and legal support expenses.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$3.6 million for the six months ended June 30, 2025, compared to $5.8 million for the six months ended June 30, 2024. The decrease of $2.2 million compared to the six months ended June 30, 2024, was driven by decreased interest rates from cash and investments in marketable securities and U.S treasuries during the six months ended June 30, 2025.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NOL carryforwards and R&amp;D tax credits to other New Jersey-based corporate taxpayers. As of March 31, 2025, we received $18.4 million of cash for the NOL and R&amp;D tax credit sales related to the tax years ended December 31, 2015 to 2023. The sale of the NOLs and R&amp;D tax credits have been recorded as an income tax benefit within the condensed consolidated statement of operations. As of March 31, 2025, we had reached the sale limit established by the program. For the six months ended June 30, 2025, we received a benefit for income taxes of $2.2 million. We did not receive any benefit for income taxes for the three months ended June 30,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5" w:name="page26"/>
    <w:bookmarkEnd w:id="25"/>
    <w:p>
      <w:pPr>
        <w:ind w:left="43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26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40,876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3,251</w:t>
            </w:r>
          </w:p>
        </w:tc>
      </w:tr>
      <w:tr>
        <w:trPr>
          <w:trHeight w:val="216"/>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128,578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(30,431)</w:t>
            </w: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(7,811)</w:t>
            </w:r>
          </w:p>
        </w:tc>
      </w:tr>
      <w:tr>
        <w:trPr>
          <w:trHeight w:val="20"/>
        </w:trPr>
        <w:tc>
          <w:tcPr>
            <w:tcW w:w="6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148,306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183,297</w:t>
            </w:r>
          </w:p>
        </w:tc>
        <w:tc>
          <w:tcPr>
            <w:tcW w:w="1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(34,991)</w:t>
            </w:r>
          </w:p>
        </w:tc>
      </w:tr>
      <w:tr>
        <w:trPr>
          <w:trHeight w:val="196"/>
        </w:trPr>
        <w:tc>
          <w:tcPr>
            <w:tcW w:w="66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145,311</w:t>
            </w:r>
          </w:p>
        </w:tc>
        <w:tc>
          <w:tcPr>
            <w:tcW w:w="26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175,658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(30,347)</w:t>
            </w:r>
          </w:p>
        </w:tc>
      </w:tr>
      <w:tr>
        <w:trPr>
          <w:trHeight w:val="216"/>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(2,763)</w:t>
            </w:r>
          </w:p>
        </w:tc>
      </w:tr>
      <w:tr>
        <w:trPr>
          <w:trHeight w:val="20"/>
        </w:trPr>
        <w:tc>
          <w:tcPr>
            <w:tcW w:w="6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133,704</w:t>
            </w:r>
          </w:p>
        </w:tc>
        <w:tc>
          <w:tcPr>
            <w:tcW w:w="26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161,288</w:t>
            </w: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(27,584)</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-744855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2025, we had cash, cash equivalents, and marketable securities of $148.3 million and an accumulated deficit of $407.4 million.</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November 20, 2024 we filed a shelf registration statement on Form S-3 (File No. 333-283349) with the SEC and a prospectus supplement, which registered the offering, issuance and sale of up to $200.0 million of various equity and debt securities and up to $113.8 million of common stock pursuant to an at-the-market equity offering program with Jefferies LLC, dated October 4, 2021, or the ATM Program. The SEC declared the registration statement effective on November 27, 2024. During the three and six months ending June 30, 2025, we did not sell any shares of our common stock pursuant to the ATM Program. As of June 30, 2025, we had approximately $113.8 million remaining in gross proceeds available for future issuances of common stock under the ATM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August 5, 2024, we entered into a Lease Termination Agreement, or the Termination Agreement, with BMR-One Research Way LLC, or the Landlord, to terminate the One Research Way Lease, effective as of September 30, 2024. Pursuant to the Termination Agreement, we surrendered our then-current headquarters at One Research Way and paid a total termination fee of approximately $1.42 million to the Landlord in October 2024. No further amounts or payments related to the One Research Way Lease are owed. The foregoing descriptions of the Termination Agreement is not complete and is qualified in its entirety by reference to the full text of the Termination Agreement, a copy of which was filed as Exhibit 10.1 to our Form 8-K filed with the SEC on August 8, 2024.</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and the 311 Pennington Sublease term extends until December 2029 and has a three-year extension option. Amounts related to future lease payments for 311 Pennington Sublease as of June 30, 2025, totaled $0.7 million with $0.1 million to be paid within the next 12 months. Amounts related to future lease payments for 400 Alexander Sublease as of June 30, 2025, totaled $0.6 million with $0.3 million to be paid within the next 12 months.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$407.4 million through June 30, 2025. We expect to incur substantial additional losses in the future as we expand our research and development activities. For the six months ended June 30, 2025 and 2024, our cash operating expenditures were $36.6 million and $17.8 million, respectively. Based on our research and development plans, we expect that our cash, cash equivalents, and marketable securities as of June 30, 2025 will be sufficient to fund our operations until the end of 2026.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1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17"/>
        </w:trPr>
        <w:tc>
          <w:tcPr>
            <w:tcW w:w="77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55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55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(36,568)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(17,782)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39,700</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28,489</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$36.6 million, which consisted primarily of net loss of $38.6 million partially offset by non-cash charges of $1.8 million. Changes in our net operating assets increased operating cash by $0.4 million. The non-cash charges primarily consisted of stock-based compensation of $3.2 million, accretion of discounts on marketable securities of $1.6 million, and depreciation of $0.1 million. The change in our net operating assets and liabilities was primarily due to an increase in prepaid expenses and other assets, and a decrease in outstanding payables and accrued expenses.</w:t>
      </w:r>
    </w:p>
    <w:p>
      <w:pPr>
        <w:spacing w:after="0" w:line="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$17.8 million, which consisted primarily of net loss of $16.5 million partially offset by non-cash charges of $2.9 million. Changes in our net operating assets decreased operating cash by $4.2 million. The non-cash charges primarily consisted of stock-based compensation of $5.4 million, accretion of discounts on marketable securities of $3.0 million, depreciation of $0.7 million, and non-cash lease income of $0.2 million. The change in our net operating assets and liabilities was primarily due to an increase in prepaid expenses and other assets, and a decrease in outstanding payables and accrued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54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$39.7 million of cash during the six months ended June 30, 2025, which consisted primarily of maturities of marketable securities of $86.4 million, partially offset by purchases of marketable securities of $46.7 million.</w:t>
      </w:r>
    </w:p>
    <w:p>
      <w:pPr>
        <w:spacing w:after="0" w:line="54"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$28.5 million of cash during the six months ended June 30, 2024, which consisted primarily of maturities of marketable securities of $100.5 million, partially offset by purchases of marketable securities of $71.4 million, along with purchase of property and equipment of $0.6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financing activities provided $0.1 million and $0.1 million of cash during the six months ended June 30, 2025 and 2024, respectively. This consisted of $0.1 million and $0.1 million of proceeds from the exercise of stock options during the six months ended June 30, 2025 and 2024, respectively.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six-month period ended June 30, 2025, there were no material changes to our critical accounting policies from those described in our audited condensed consolidated financial statements for the year ended December 31, 2024, included in our Annual Report on Form 10-K filed with the SEC on March 3, 2025, except as noted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six months ended June 30, 2025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$148.3 million as of June 30, 2025. The Company’s cash equivalents consist of interest-bearing U.S. government securities, money market funds, and corporate debt securities. Our exposure due to changes in interest rates is not material due to the nature and amount of our money-market funds and marketable securities.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t>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June 30, 2025.</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Other than as described below, there have been no material changes to the Company’s risk factors as set forth in Part I, Item 1A of the Company’s Annual Report on Form 10-K for the fiscal year ended December 31, 2024, as filed with the SEC on March 3, 2025, as supplemented by our Quarterly Report on Form 10-Q for the quarter ended March 31, 2025, as filed with the SEC on May 9, 2025.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2024, as filed with the SEC on March 3, 2025, and our Quarterly Report on Form 10-Q for the quarter ended March 31, 2025, as filed with the SEC on May 9, 2025.</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could have a material adverse effect on our business, financial condition and results of operations.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TCJA eliminated the option to deduct research and development expenditures currently and requires taxpayers to capitalize and amortize such expenditures over five or 15 years pursuant to Section 174 of the Code, beginning in 2022. On July 4, 2025, the U.S. federal tax legislation commonly referred to as the One Big Beautiful Bill Act, or the OBBB Act, was enacted, which makes a number of changes to U.S. federal income tax law, including permanently suspending the requirement to capitalize and amortize domestic research and development expenditures and permitting such deductions on a current basis. We are currently evaluating the full impact of the OBBB Act on us.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29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and active pharmaceuticals ingredients we use that are manufactured in China. Beginning in February 2025, the United States imposed an additional 10% tariff on most imports from China, and this tariff was increased to 20% in March 2025. Since April 2025, the United States and China have imposed significant additional reciprocal tariffs of 10-125% on a large proportion of imports from the respective trading partner; though currently these tariffs are limited to 10% through August 2025, both countries may continue to pursue new and/or retaliatory tariff and trade policies in as bilateral trade negotiations progress. Although certain products have been exempted from some of these tariffs, including many pharmaceutical products, these policies are subject to change. Moreover, the United States also implemented additional tariffs of 10% on the import of a large proportion of imports from most U.S. trading partners in April 2025, and elevated reciprocal tariffs on these countries may resume if or when the current pause that began in April 2025 expires in August 2025. In addition, the United States initiated an investigation into pharmaceuticals and pharmaceutical products in April 2025, the results of which could result in additional tariffs on pharmaceutical and pharmaceutical products under authorities provided in Section 232 of the Trade Expansion Act of 1962; whether, when, which products, and at what level such items may become subject to these additional tariffs is uncertain. These and other changes in tariffs and trade policies of the United States or its trading partners may affect our products or our customers, and could materially adversely affect our business, financial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1" w:name="page32"/>
    <w:bookmarkEnd w:id="31"/>
    <w:p>
      <w:pPr>
        <w:ind w:right="120"/>
        <w:spacing w:after="0" w:line="255" w:lineRule="auto"/>
        <w:rPr>
          <w:sz w:val="20"/>
          <w:szCs w:val="20"/>
          <w:color w:val="auto"/>
        </w:rPr>
      </w:pPr>
      <w:r>
        <w:rPr>
          <w:rFonts w:ascii="Times New Roman" w:cs="Times New Roman" w:eastAsia="Times New Roman" w:hAnsi="Times New Roman"/>
          <w:sz w:val="18"/>
          <w:szCs w:val="18"/>
          <w:color w:val="auto"/>
        </w:rPr>
        <w:t>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financial condition, and results of operations would be materially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518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5180" w:type="dxa"/>
            <w:vAlign w:val="bottom"/>
            <w:gridSpan w:val="6"/>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7"/>
              </w:rPr>
              <w:t>3.1</w:t>
            </w:r>
          </w:p>
        </w:tc>
        <w:tc>
          <w:tcPr>
            <w:tcW w:w="5600" w:type="dxa"/>
            <w:vAlign w:val="bottom"/>
            <w:gridSpan w:val="7"/>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Amended and Restated Certificate of Incorporation of the Registrant</w:t>
              </w:r>
            </w:hyperlink>
            <w:r>
              <w:rPr>
                <w:rFonts w:ascii="Times New Roman" w:cs="Times New Roman" w:eastAsia="Times New Roman" w:hAnsi="Times New Roman"/>
                <w:sz w:val="18"/>
                <w:szCs w:val="18"/>
                <w:u w:val="single" w:color="auto"/>
                <w:color w:val="00000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September 29, 2020</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7"/>
              </w:rPr>
              <w:t>3.2</w:t>
            </w:r>
          </w:p>
        </w:tc>
        <w:tc>
          <w:tcPr>
            <w:tcW w:w="5600" w:type="dxa"/>
            <w:vAlign w:val="bottom"/>
            <w:gridSpan w:val="7"/>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Amended and Restated Bylaws of the Registrant</w:t>
              </w:r>
            </w:hyperlink>
            <w:r>
              <w:rPr>
                <w:rFonts w:ascii="Times New Roman" w:cs="Times New Roman" w:eastAsia="Times New Roman" w:hAnsi="Times New Roman"/>
                <w:sz w:val="18"/>
                <w:szCs w:val="18"/>
                <w:u w:val="single" w:color="auto"/>
                <w:color w:val="00000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May 10, 2023</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31.1+</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31.2+</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32.1+†</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32.2+†</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101.INS</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9"/>
              </w:rPr>
              <w:t>101.SCH</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right="5060" w:hanging="708"/>
        <w:spacing w:after="0" w:line="282" w:lineRule="auto"/>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134"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2" w:right="5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191"/>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David H. Mack, Ph.D.</w:t>
            </w:r>
          </w:p>
        </w:tc>
      </w:t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20" w:type="dxa"/>
            <w:vAlign w:val="bottom"/>
          </w:tcPr>
          <w:p>
            <w:pPr>
              <w:spacing w:after="0"/>
              <w:rPr>
                <w:sz w:val="24"/>
                <w:szCs w:val="24"/>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r>
      <w:tr>
        <w:trPr>
          <w:trHeight w:val="211"/>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Carulli</w:t>
            </w:r>
          </w:p>
        </w:tc>
      </w:tr>
    </w:tbl>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6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President, Chief Executive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1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79" Type="http://schemas.openxmlformats.org/officeDocument/2006/relationships/hyperlink" Target="https://www.sec.gov/Archives/edgar/data/1699382/000119312520257820/d95525dex31.htm" TargetMode="External"/><Relationship Id="rId280" Type="http://schemas.openxmlformats.org/officeDocument/2006/relationships/hyperlink" Target="https://www.sec.gov/Archives/edgar/data/1699382/000095017023020100/pmvp-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2025-08-07T07:06:45Z</dcterms:created>
  <dcterms:modified xsi:type="dcterms:W3CDTF">2025-08-07T07:06:45Z</dcterms:modified>
</cp:coreProperties>
</file>