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21,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2"/>
              <w:spacing w:after="0"/>
              <w:rPr>
                <w:sz w:val="20"/>
                <w:szCs w:val="20"/>
                <w:color w:val="auto"/>
              </w:rPr>
            </w:pPr>
            <w:r>
              <w:rPr>
                <w:rFonts w:ascii="Arial" w:cs="Arial" w:eastAsia="Arial" w:hAnsi="Arial"/>
                <w:sz w:val="18"/>
                <w:szCs w:val="18"/>
                <w:b w:val="1"/>
                <w:bCs w:val="1"/>
                <w:color w:val="auto"/>
                <w:w w:val="91"/>
              </w:rPr>
              <w:t>46-3218129</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 Clarke Drive, Suite 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Cranbury, NJ 08512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642-6670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2020 Equity Incentive Plan</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2020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H. Mack, Ph.D.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 Clarke Drive, Suite 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Cranbury, NJ 08512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642-6670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Copies to:</w:t>
      </w:r>
    </w:p>
    <w:p>
      <w:pPr>
        <w:spacing w:after="0" w:line="236" w:lineRule="exact"/>
        <w:rPr>
          <w:sz w:val="24"/>
          <w:szCs w:val="24"/>
          <w:color w:val="auto"/>
        </w:rPr>
      </w:pPr>
    </w:p>
    <w:tbl>
      <w:tblPr>
        <w:tblLayout w:type="fixed"/>
        <w:tblInd w:w="1260" w:type="dxa"/>
        <w:tblCellMar>
          <w:top w:w="0" w:type="dxa"/>
          <w:left w:w="0" w:type="dxa"/>
          <w:bottom w:w="0" w:type="dxa"/>
          <w:right w:w="0" w:type="dxa"/>
        </w:tblCellMar>
      </w:tblPr>
      <w:tr>
        <w:trPr>
          <w:trHeight w:val="216"/>
        </w:trPr>
        <w:tc>
          <w:tcPr>
            <w:tcW w:w="45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5"/>
              </w:rPr>
              <w:t>Kenneth A. Clark</w:t>
            </w:r>
          </w:p>
        </w:tc>
        <w:tc>
          <w:tcPr>
            <w:tcW w:w="3660" w:type="dxa"/>
            <w:vAlign w:val="bottom"/>
          </w:tcPr>
          <w:p>
            <w:pPr>
              <w:jc w:val="center"/>
              <w:ind w:left="1370"/>
              <w:spacing w:after="0"/>
              <w:rPr>
                <w:sz w:val="20"/>
                <w:szCs w:val="20"/>
                <w:color w:val="auto"/>
              </w:rPr>
            </w:pPr>
            <w:r>
              <w:rPr>
                <w:rFonts w:ascii="Arial" w:cs="Arial" w:eastAsia="Arial" w:hAnsi="Arial"/>
                <w:sz w:val="18"/>
                <w:szCs w:val="18"/>
                <w:b w:val="1"/>
                <w:bCs w:val="1"/>
                <w:color w:val="auto"/>
                <w:w w:val="91"/>
              </w:rPr>
              <w:t>Winston Kung</w:t>
            </w:r>
          </w:p>
        </w:tc>
      </w:tr>
      <w:tr>
        <w:trPr>
          <w:trHeight w:val="216"/>
        </w:trPr>
        <w:tc>
          <w:tcPr>
            <w:tcW w:w="4520" w:type="dxa"/>
            <w:vAlign w:val="bottom"/>
          </w:tcPr>
          <w:p>
            <w:pPr>
              <w:jc w:val="center"/>
              <w:ind w:right="1390"/>
              <w:spacing w:after="0"/>
              <w:rPr>
                <w:sz w:val="20"/>
                <w:szCs w:val="20"/>
                <w:color w:val="auto"/>
              </w:rPr>
            </w:pPr>
            <w:r>
              <w:rPr>
                <w:rFonts w:ascii="Arial" w:cs="Arial" w:eastAsia="Arial" w:hAnsi="Arial"/>
                <w:sz w:val="18"/>
                <w:szCs w:val="18"/>
                <w:b w:val="1"/>
                <w:bCs w:val="1"/>
                <w:color w:val="auto"/>
                <w:w w:val="89"/>
              </w:rPr>
              <w:t>Tony Jeffries</w:t>
            </w:r>
          </w:p>
        </w:tc>
        <w:tc>
          <w:tcPr>
            <w:tcW w:w="3660" w:type="dxa"/>
            <w:vAlign w:val="bottom"/>
          </w:tcPr>
          <w:p>
            <w:pPr>
              <w:jc w:val="center"/>
              <w:ind w:left="1370"/>
              <w:spacing w:after="0"/>
              <w:rPr>
                <w:sz w:val="20"/>
                <w:szCs w:val="20"/>
                <w:color w:val="auto"/>
              </w:rPr>
            </w:pPr>
            <w:r>
              <w:rPr>
                <w:rFonts w:ascii="Arial" w:cs="Arial" w:eastAsia="Arial" w:hAnsi="Arial"/>
                <w:sz w:val="18"/>
                <w:szCs w:val="18"/>
                <w:b w:val="1"/>
                <w:bCs w:val="1"/>
                <w:color w:val="auto"/>
                <w:w w:val="93"/>
              </w:rPr>
              <w:t>Chief Operating Officer and</w:t>
            </w:r>
          </w:p>
        </w:tc>
      </w:tr>
      <w:tr>
        <w:trPr>
          <w:trHeight w:val="216"/>
        </w:trPr>
        <w:tc>
          <w:tcPr>
            <w:tcW w:w="45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Megan J. Baier</w:t>
            </w:r>
          </w:p>
        </w:tc>
        <w:tc>
          <w:tcPr>
            <w:tcW w:w="3660" w:type="dxa"/>
            <w:vAlign w:val="bottom"/>
          </w:tcPr>
          <w:p>
            <w:pPr>
              <w:jc w:val="center"/>
              <w:ind w:left="135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16"/>
        </w:trPr>
        <w:tc>
          <w:tcPr>
            <w:tcW w:w="45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Wilson Sonsini Goodrich &amp; Rosati, P.C.</w:t>
            </w:r>
          </w:p>
        </w:tc>
        <w:tc>
          <w:tcPr>
            <w:tcW w:w="3660" w:type="dxa"/>
            <w:vAlign w:val="bottom"/>
          </w:tcPr>
          <w:p>
            <w:pPr>
              <w:jc w:val="center"/>
              <w:ind w:left="1370"/>
              <w:spacing w:after="0"/>
              <w:rPr>
                <w:sz w:val="20"/>
                <w:szCs w:val="20"/>
                <w:color w:val="auto"/>
              </w:rPr>
            </w:pPr>
            <w:r>
              <w:rPr>
                <w:rFonts w:ascii="Arial" w:cs="Arial" w:eastAsia="Arial" w:hAnsi="Arial"/>
                <w:sz w:val="18"/>
                <w:szCs w:val="18"/>
                <w:b w:val="1"/>
                <w:bCs w:val="1"/>
                <w:color w:val="auto"/>
                <w:w w:val="92"/>
              </w:rPr>
              <w:t>PMV Pharmaceuticals, Inc.</w:t>
            </w:r>
          </w:p>
        </w:tc>
      </w:tr>
      <w:tr>
        <w:trPr>
          <w:trHeight w:val="216"/>
        </w:trPr>
        <w:tc>
          <w:tcPr>
            <w:tcW w:w="45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650 Page Mill Road</w:t>
            </w:r>
          </w:p>
        </w:tc>
        <w:tc>
          <w:tcPr>
            <w:tcW w:w="3660" w:type="dxa"/>
            <w:vAlign w:val="bottom"/>
          </w:tcPr>
          <w:p>
            <w:pPr>
              <w:jc w:val="center"/>
              <w:ind w:left="1370"/>
              <w:spacing w:after="0"/>
              <w:rPr>
                <w:sz w:val="20"/>
                <w:szCs w:val="20"/>
                <w:color w:val="auto"/>
              </w:rPr>
            </w:pPr>
            <w:r>
              <w:rPr>
                <w:rFonts w:ascii="Arial" w:cs="Arial" w:eastAsia="Arial" w:hAnsi="Arial"/>
                <w:sz w:val="18"/>
                <w:szCs w:val="18"/>
                <w:b w:val="1"/>
                <w:bCs w:val="1"/>
                <w:color w:val="auto"/>
                <w:w w:val="93"/>
              </w:rPr>
              <w:t>8 Clarke Drive, Suite 3</w:t>
            </w:r>
          </w:p>
        </w:tc>
      </w:tr>
      <w:tr>
        <w:trPr>
          <w:trHeight w:val="216"/>
        </w:trPr>
        <w:tc>
          <w:tcPr>
            <w:tcW w:w="45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2"/>
              </w:rPr>
              <w:t>Palo Alto, CA 94304</w:t>
            </w:r>
          </w:p>
        </w:tc>
        <w:tc>
          <w:tcPr>
            <w:tcW w:w="3660" w:type="dxa"/>
            <w:vAlign w:val="bottom"/>
          </w:tcPr>
          <w:p>
            <w:pPr>
              <w:jc w:val="center"/>
              <w:ind w:left="1370"/>
              <w:spacing w:after="0"/>
              <w:rPr>
                <w:sz w:val="20"/>
                <w:szCs w:val="20"/>
                <w:color w:val="auto"/>
              </w:rPr>
            </w:pPr>
            <w:r>
              <w:rPr>
                <w:rFonts w:ascii="Arial" w:cs="Arial" w:eastAsia="Arial" w:hAnsi="Arial"/>
                <w:sz w:val="18"/>
                <w:szCs w:val="18"/>
                <w:b w:val="1"/>
                <w:bCs w:val="1"/>
                <w:color w:val="auto"/>
                <w:w w:val="92"/>
              </w:rPr>
              <w:t>Cranbury, NJ 08512</w:t>
            </w:r>
          </w:p>
        </w:tc>
      </w:tr>
      <w:tr>
        <w:trPr>
          <w:trHeight w:val="234"/>
        </w:trPr>
        <w:tc>
          <w:tcPr>
            <w:tcW w:w="45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(650) 493-9300</w:t>
            </w:r>
          </w:p>
        </w:tc>
        <w:tc>
          <w:tcPr>
            <w:tcW w:w="3660" w:type="dxa"/>
            <w:vAlign w:val="bottom"/>
          </w:tcPr>
          <w:p>
            <w:pPr>
              <w:jc w:val="center"/>
              <w:ind w:left="1370"/>
              <w:spacing w:after="0"/>
              <w:rPr>
                <w:sz w:val="20"/>
                <w:szCs w:val="20"/>
                <w:color w:val="auto"/>
              </w:rPr>
            </w:pPr>
            <w:r>
              <w:rPr>
                <w:rFonts w:ascii="Arial" w:cs="Arial" w:eastAsia="Arial" w:hAnsi="Arial"/>
                <w:sz w:val="18"/>
                <w:szCs w:val="18"/>
                <w:b w:val="1"/>
                <w:bCs w:val="1"/>
                <w:color w:val="auto"/>
                <w:w w:val="90"/>
              </w:rPr>
              <w:t>(609) 642-6670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12"/>
                <w:szCs w:val="12"/>
                <w:b w:val="1"/>
                <w:bCs w:val="1"/>
                <w:color w:val="auto"/>
                <w:w w:val="91"/>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29" w:right="439" w:bottom="0" w:gutter="0" w:footer="0" w:header="0"/>
        </w:sectPr>
      </w:pPr>
    </w:p>
    <w:bookmarkStart w:id="1" w:name="page2"/>
    <w:bookmarkEnd w:id="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48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Stock, $0.00001 par value per share, reserved for</w:t>
            </w:r>
          </w:p>
        </w:tc>
        <w:tc>
          <w:tcPr>
            <w:tcW w:w="15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30"/>
        </w:trPr>
        <w:tc>
          <w:tcPr>
            <w:tcW w:w="2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7"/>
              </w:rPr>
              <w:t>issuance pursuant to the 2020</w:t>
            </w:r>
          </w:p>
        </w:tc>
        <w:tc>
          <w:tcPr>
            <w:tcW w:w="2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Equity Incentive Plan</w:t>
            </w:r>
          </w:p>
        </w:tc>
        <w:tc>
          <w:tcPr>
            <w:tcW w:w="154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1,343,334</w:t>
            </w:r>
            <w:r>
              <w:rPr>
                <w:rFonts w:ascii="Arial" w:cs="Arial" w:eastAsia="Arial" w:hAnsi="Arial"/>
                <w:sz w:val="15"/>
                <w:szCs w:val="15"/>
                <w:color w:val="auto"/>
              </w:rPr>
              <w:t>(2)</w:t>
            </w:r>
          </w:p>
        </w:tc>
        <w:tc>
          <w:tcPr>
            <w:tcW w:w="154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$32.11</w:t>
            </w:r>
            <w:r>
              <w:rPr>
                <w:rFonts w:ascii="Arial" w:cs="Arial" w:eastAsia="Arial" w:hAnsi="Arial"/>
                <w:sz w:val="15"/>
                <w:szCs w:val="15"/>
                <w:color w:val="auto"/>
              </w:rPr>
              <w:t>(3)</w:t>
            </w:r>
          </w:p>
        </w:tc>
        <w:tc>
          <w:tcPr>
            <w:tcW w:w="15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$43,134,454.74</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$4,705.97</w:t>
            </w:r>
          </w:p>
        </w:tc>
      </w:tr>
      <w:tr>
        <w:trPr>
          <w:trHeight w:val="195"/>
        </w:trPr>
        <w:tc>
          <w:tcPr>
            <w:tcW w:w="488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Common Stock, $0.00001 par value per share, reserved for</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2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7"/>
              </w:rPr>
              <w:t>issuance pursuant to the 2020</w:t>
            </w:r>
          </w:p>
        </w:tc>
        <w:tc>
          <w:tcPr>
            <w:tcW w:w="2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Employee Stock Purchase Plan</w:t>
            </w:r>
          </w:p>
        </w:tc>
        <w:tc>
          <w:tcPr>
            <w:tcW w:w="154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447,778</w:t>
            </w:r>
            <w:r>
              <w:rPr>
                <w:rFonts w:ascii="Arial" w:cs="Arial" w:eastAsia="Arial" w:hAnsi="Arial"/>
                <w:sz w:val="15"/>
                <w:szCs w:val="15"/>
                <w:color w:val="auto"/>
              </w:rPr>
              <w:t>(4)</w:t>
            </w:r>
          </w:p>
        </w:tc>
        <w:tc>
          <w:tcPr>
            <w:tcW w:w="154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$32.11</w:t>
            </w:r>
            <w:r>
              <w:rPr>
                <w:rFonts w:ascii="Arial" w:cs="Arial" w:eastAsia="Arial" w:hAnsi="Arial"/>
                <w:sz w:val="15"/>
                <w:szCs w:val="15"/>
                <w:color w:val="auto"/>
              </w:rPr>
              <w:t>(5)</w:t>
            </w:r>
          </w:p>
        </w:tc>
        <w:tc>
          <w:tcPr>
            <w:tcW w:w="15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$14,378,151.58</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$1,568.66</w:t>
            </w:r>
          </w:p>
        </w:tc>
      </w:tr>
      <w:tr>
        <w:trPr>
          <w:trHeight w:val="209"/>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1,791,112</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$57,512,606.32</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$6,274.63</w:t>
            </w: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424" w:right="360" w:hanging="424"/>
        <w:spacing w:after="0" w:line="286"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of the Securities Act of 1933, as amended (the “Securities Act”), this Registration Statement shall also cover any additional shares of the Registrant’s common stock that become issuable under the 2020 Equity Incentive Plan (the “2020 Plan”) and the 2020 Employee Stock Purchase Plan (the “2020 ESPP”) by reason of any stock dividend, stock split, recapitalization or other similar transaction effected without receipt of consideration that increases the number of the Registrant’s outstanding shares of common stock.</w:t>
      </w:r>
    </w:p>
    <w:p>
      <w:pPr>
        <w:ind w:left="424" w:right="7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annual increase on January 1, 2021 equal to 3% of the total number of shares of the Registrant’s common stock outstanding on December 31 of the preceding year, which annual increase is provided for in the 2020 Plan.</w:t>
      </w:r>
    </w:p>
    <w:p>
      <w:pPr>
        <w:ind w:left="424" w:right="12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457(c) and (h) solely for the purpose of calculating the registration fee on the basis of $32.11 per share, which represents the average of the high and low prices of the Registrant’s common stock as reported on the Nasdaq Global Select Market on May 17, 2021.</w:t>
      </w:r>
    </w:p>
    <w:p>
      <w:pPr>
        <w:spacing w:after="0" w:line="1" w:lineRule="exact"/>
        <w:rPr>
          <w:rFonts w:ascii="Arial" w:cs="Arial" w:eastAsia="Arial" w:hAnsi="Arial"/>
          <w:sz w:val="18"/>
          <w:szCs w:val="18"/>
          <w:color w:val="auto"/>
        </w:rPr>
      </w:pPr>
    </w:p>
    <w:p>
      <w:pPr>
        <w:ind w:left="424" w:right="78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an automatic annual increase on January 1, 2021 equal to 1% of the total number of shares of the Registrant’s common stock outstanding on December 31 of the preceding year, which annual increase is provided for in the 2020 ESPP.</w:t>
      </w:r>
    </w:p>
    <w:p>
      <w:pPr>
        <w:ind w:left="424" w:right="100" w:hanging="424"/>
        <w:spacing w:after="0" w:line="273"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 457(h) solely for the purpose of calculating the registration fee on the basis of 85% of $32.11 per share, which represents the average of the high and low prices of the Registrant’s common stock as reported on the Nasdaq Global Select Market on May 17, 2021. Pursuant to the 2020 ESPP, the purchase price of the shares of common stock reserved for issuance thereunder will be 85% of the lower of the fair market value of the common stock on (i) the first trading day of the offering period or (ii) the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172720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33" w:right="439" w:bottom="1440" w:gutter="0" w:footer="0" w:header="0"/>
        </w:sectPr>
      </w:pPr>
    </w:p>
    <w:bookmarkStart w:id="2" w:name="page3"/>
    <w:bookmarkEnd w:id="2"/>
    <w:p>
      <w:pPr>
        <w:ind w:left="98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OF ADDITIONAL SHARES PURSUANT TO GENERAL INSTRUCTION E</w:t>
      </w:r>
    </w:p>
    <w:p>
      <w:pPr>
        <w:spacing w:after="0" w:line="229" w:lineRule="exact"/>
        <w:rPr>
          <w:sz w:val="20"/>
          <w:szCs w:val="20"/>
          <w:color w:val="auto"/>
        </w:rPr>
      </w:pPr>
    </w:p>
    <w:p>
      <w:pPr>
        <w:ind w:left="4" w:right="140" w:firstLine="991"/>
        <w:spacing w:after="0" w:line="286" w:lineRule="auto"/>
        <w:rPr>
          <w:sz w:val="20"/>
          <w:szCs w:val="20"/>
          <w:color w:val="auto"/>
        </w:rPr>
      </w:pPr>
      <w:r>
        <w:rPr>
          <w:rFonts w:ascii="Arial" w:cs="Arial" w:eastAsia="Arial" w:hAnsi="Arial"/>
          <w:sz w:val="16"/>
          <w:szCs w:val="16"/>
          <w:color w:val="auto"/>
        </w:rPr>
        <w:t>This Registration Statement is being filed with the Securities and Exchange Commission (the “Commission”) for the purpose of registering additional securities of the same class as other securities for which a registration statement of PMV Pharmaceuticals, Inc. (the “Registrant”) on Form S-8 relating to the same employee benefit plan is effective. The number of the Registrant’s common stock available for grant and issuance under the 2020 Plan is subject to annual increase on the first day of each fiscal year beginning with fiscal year 2021, in an amount equal to the least of</w:t>
      </w:r>
    </w:p>
    <w:p>
      <w:pPr>
        <w:spacing w:after="0" w:line="1" w:lineRule="exact"/>
        <w:rPr>
          <w:sz w:val="20"/>
          <w:szCs w:val="20"/>
          <w:color w:val="auto"/>
        </w:rPr>
      </w:pPr>
    </w:p>
    <w:p>
      <w:pPr>
        <w:ind w:left="224" w:hanging="224"/>
        <w:spacing w:after="0"/>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4,406,374 shares, (ii) five percent (5%) of the outstanding shares of the Registrant’s common stock on the last day of the immediately preceding</w:t>
      </w:r>
    </w:p>
    <w:p>
      <w:pPr>
        <w:spacing w:after="0" w:line="32" w:lineRule="exact"/>
        <w:rPr>
          <w:rFonts w:ascii="Arial" w:cs="Arial" w:eastAsia="Arial" w:hAnsi="Arial"/>
          <w:sz w:val="16"/>
          <w:szCs w:val="16"/>
          <w:color w:val="auto"/>
        </w:rPr>
      </w:pPr>
    </w:p>
    <w:p>
      <w:pPr>
        <w:jc w:val="both"/>
        <w:ind w:left="4" w:right="180"/>
        <w:spacing w:after="0" w:line="281" w:lineRule="auto"/>
        <w:rPr>
          <w:rFonts w:ascii="Arial" w:cs="Arial" w:eastAsia="Arial" w:hAnsi="Arial"/>
          <w:sz w:val="16"/>
          <w:szCs w:val="16"/>
          <w:color w:val="auto"/>
        </w:rPr>
      </w:pPr>
      <w:r>
        <w:rPr>
          <w:rFonts w:ascii="Arial" w:cs="Arial" w:eastAsia="Arial" w:hAnsi="Arial"/>
          <w:sz w:val="16"/>
          <w:szCs w:val="16"/>
          <w:color w:val="auto"/>
        </w:rPr>
        <w:t>fiscal year or (iii) such number of shares determined by the 2020 Plan administrator. The number of the Registrant’s common stock available for grant and issuance under the 2020 ESPP is subject to annual increase on the first day of each fiscal year beginning with fiscal year 2021 equal to the least of</w:t>
      </w:r>
    </w:p>
    <w:p>
      <w:pPr>
        <w:spacing w:after="0" w:line="1" w:lineRule="exact"/>
        <w:rPr>
          <w:rFonts w:ascii="Arial" w:cs="Arial" w:eastAsia="Arial" w:hAnsi="Arial"/>
          <w:sz w:val="16"/>
          <w:szCs w:val="16"/>
          <w:color w:val="auto"/>
        </w:rPr>
      </w:pPr>
    </w:p>
    <w:p>
      <w:pPr>
        <w:ind w:left="4" w:right="140" w:hanging="4"/>
        <w:spacing w:after="0" w:line="295" w:lineRule="auto"/>
        <w:tabs>
          <w:tab w:leader="none" w:pos="219" w:val="left"/>
        </w:tabs>
        <w:numPr>
          <w:ilvl w:val="0"/>
          <w:numId w:val="3"/>
        </w:numPr>
        <w:rPr>
          <w:rFonts w:ascii="Arial" w:cs="Arial" w:eastAsia="Arial" w:hAnsi="Arial"/>
          <w:sz w:val="16"/>
          <w:szCs w:val="16"/>
          <w:color w:val="auto"/>
        </w:rPr>
      </w:pPr>
      <w:r>
        <w:rPr>
          <w:rFonts w:ascii="Arial" w:cs="Arial" w:eastAsia="Arial" w:hAnsi="Arial"/>
          <w:sz w:val="16"/>
          <w:szCs w:val="16"/>
          <w:color w:val="auto"/>
        </w:rPr>
        <w:t>801,504 shares, (ii) one percent (1%) of the outstanding shares of the Registrant’s common stock on the last day of the immediately preceding fiscal year or (iii) such number of shares determined by the 2020 ESPP administrator. On January 1, 2021, the number of shares of the Registrant’s common stock available for grant and issuance under the 2020 Plan and available for issuance under the 2020 ESPP increased by 1,343,334 shares and 447,778 shares, respectively. This Registration Statement registers such additional shares of the Registrant’s common stock.</w:t>
      </w:r>
    </w:p>
    <w:p>
      <w:pPr>
        <w:spacing w:after="0" w:line="161" w:lineRule="exact"/>
        <w:rPr>
          <w:sz w:val="20"/>
          <w:szCs w:val="20"/>
          <w:color w:val="auto"/>
        </w:rPr>
      </w:pPr>
    </w:p>
    <w:p>
      <w:pPr>
        <w:ind w:left="4" w:right="20" w:firstLine="991"/>
        <w:spacing w:after="0" w:line="257" w:lineRule="auto"/>
        <w:rPr>
          <w:sz w:val="20"/>
          <w:szCs w:val="20"/>
          <w:color w:val="auto"/>
        </w:rPr>
      </w:pPr>
      <w:r>
        <w:rPr>
          <w:rFonts w:ascii="Arial" w:cs="Arial" w:eastAsia="Arial" w:hAnsi="Arial"/>
          <w:sz w:val="18"/>
          <w:szCs w:val="18"/>
          <w:color w:val="auto"/>
        </w:rPr>
        <w:t>The Registrant previously registered shares of common stock for issuance under the 2020 Plan and the 2020 ESPP pursuant to a registration statement on Form S-8 (File No. 333-249094) filed with the Commission on September 28, 2020 (the “Prior Registration Statement”). In accordance with General Instruction E to Form S-8, the contents of the Prior Registration Statement are hereby incorporated by reference. In accordance with the instructional note to Part I of Form S-8 promulgated by the Commission, the information specified by Part I of Form S-8 has been omitted from this Registration Statement.</w:t>
      </w:r>
    </w:p>
    <w:p>
      <w:pPr>
        <w:spacing w:after="0" w:line="40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4"/>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5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Registrant hereby incorporates by reference into this Registration Statement the following documents previously filed with the Commission:</w:t>
      </w:r>
    </w:p>
    <w:p>
      <w:pPr>
        <w:spacing w:after="0" w:line="140" w:lineRule="exact"/>
        <w:rPr>
          <w:sz w:val="20"/>
          <w:szCs w:val="20"/>
          <w:color w:val="auto"/>
        </w:rPr>
      </w:pPr>
    </w:p>
    <w:p>
      <w:pPr>
        <w:ind w:left="704" w:hanging="264"/>
        <w:spacing w:after="0"/>
        <w:tabs>
          <w:tab w:leader="none" w:pos="704"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Registrant’s Annual Report on </w:t>
      </w:r>
      <w:hyperlink r:id="rId18">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2020, filed with the Commission on March 3, 2021;</w:t>
      </w:r>
    </w:p>
    <w:p>
      <w:pPr>
        <w:spacing w:after="0" w:line="128" w:lineRule="exact"/>
        <w:rPr>
          <w:rFonts w:ascii="Arial" w:cs="Arial" w:eastAsia="Arial" w:hAnsi="Arial"/>
          <w:sz w:val="17"/>
          <w:szCs w:val="17"/>
          <w:color w:val="auto"/>
        </w:rPr>
      </w:pPr>
    </w:p>
    <w:p>
      <w:pPr>
        <w:ind w:left="704" w:hanging="264"/>
        <w:spacing w:after="0"/>
        <w:tabs>
          <w:tab w:leader="none" w:pos="704"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Registrant’s Quarterly Report on </w:t>
      </w:r>
      <w:hyperlink r:id="rId19">
        <w:r>
          <w:rPr>
            <w:rFonts w:ascii="Arial" w:cs="Arial" w:eastAsia="Arial" w:hAnsi="Arial"/>
            <w:sz w:val="17"/>
            <w:szCs w:val="17"/>
            <w:u w:val="single" w:color="auto"/>
            <w:color w:val="0000EE"/>
          </w:rPr>
          <w:t>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quarter ended March 31, 2021, filed with the Commission on May 14, 2021;</w:t>
      </w:r>
    </w:p>
    <w:p>
      <w:pPr>
        <w:spacing w:after="0" w:line="128" w:lineRule="exact"/>
        <w:rPr>
          <w:rFonts w:ascii="Arial" w:cs="Arial" w:eastAsia="Arial" w:hAnsi="Arial"/>
          <w:sz w:val="17"/>
          <w:szCs w:val="17"/>
          <w:color w:val="auto"/>
        </w:rPr>
      </w:pPr>
    </w:p>
    <w:p>
      <w:pPr>
        <w:ind w:left="704" w:hanging="264"/>
        <w:spacing w:after="0"/>
        <w:tabs>
          <w:tab w:leader="none" w:pos="70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Registrant’s Current Report on </w:t>
      </w:r>
      <w:hyperlink r:id="rId20">
        <w:r>
          <w:rPr>
            <w:rFonts w:ascii="Arial" w:cs="Arial" w:eastAsia="Arial" w:hAnsi="Arial"/>
            <w:sz w:val="18"/>
            <w:szCs w:val="18"/>
            <w:u w:val="single" w:color="auto"/>
            <w:color w:val="0000EE"/>
          </w:rPr>
          <w:t>Form 8-K</w:t>
        </w:r>
      </w:hyperlink>
      <w:r>
        <w:rPr>
          <w:rFonts w:ascii="Arial" w:cs="Arial" w:eastAsia="Arial" w:hAnsi="Arial"/>
          <w:sz w:val="18"/>
          <w:szCs w:val="18"/>
          <w:color w:val="auto"/>
        </w:rPr>
        <w:t>, filed with the Commission on April 6, 2021; and</w:t>
      </w:r>
    </w:p>
    <w:p>
      <w:pPr>
        <w:spacing w:after="0" w:line="117" w:lineRule="exact"/>
        <w:rPr>
          <w:rFonts w:ascii="Arial" w:cs="Arial" w:eastAsia="Arial" w:hAnsi="Arial"/>
          <w:sz w:val="18"/>
          <w:szCs w:val="18"/>
          <w:color w:val="auto"/>
        </w:rPr>
      </w:pPr>
    </w:p>
    <w:p>
      <w:pPr>
        <w:ind w:left="4" w:firstLine="436"/>
        <w:spacing w:after="0" w:line="301" w:lineRule="auto"/>
        <w:tabs>
          <w:tab w:leader="none" w:pos="69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contained in a registration statement on </w:t>
      </w:r>
      <w:hyperlink r:id="rId21">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 No. 001-39539), filed with the Commission on September 21, 2020, pursuant to Section 12(b) of the Securities Exchange Act of 1934, as amended (the “Exchange Act”), as updated by the description of the Registrant’s common stock contained in Exhibit 4.1 to the Registrant’s Annual report on Form 10-K for the fiscal year ended December 31, 2020, filed with the Commission on March 3, 2021, including any amendment or report filed for the purpose of updating such description.</w:t>
      </w:r>
    </w:p>
    <w:p>
      <w:pPr>
        <w:spacing w:after="0" w:line="49" w:lineRule="exact"/>
        <w:rPr>
          <w:rFonts w:ascii="Arial" w:cs="Arial" w:eastAsia="Arial" w:hAnsi="Arial"/>
          <w:sz w:val="18"/>
          <w:szCs w:val="18"/>
          <w:color w:val="auto"/>
        </w:rPr>
      </w:pPr>
    </w:p>
    <w:p>
      <w:pPr>
        <w:ind w:left="4" w:right="40" w:firstLine="440"/>
        <w:spacing w:after="0" w:line="270"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004"/>
          </w:cols>
          <w:pgMar w:left="436" w:top="270" w:right="45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6980" w:type="dxa"/>
            <w:vAlign w:val="bottom"/>
            <w:gridSpan w:val="10"/>
          </w:tcPr>
          <w:p>
            <w:pPr>
              <w:ind w:left="260"/>
              <w:spacing w:after="0"/>
              <w:rPr>
                <w:sz w:val="20"/>
                <w:szCs w:val="20"/>
                <w:color w:val="auto"/>
              </w:rPr>
            </w:pPr>
            <w:r>
              <w:rPr>
                <w:rFonts w:ascii="Arial" w:cs="Arial" w:eastAsia="Arial" w:hAnsi="Arial"/>
                <w:sz w:val="18"/>
                <w:szCs w:val="18"/>
                <w:b w:val="1"/>
                <w:bCs w:val="1"/>
                <w:color w:val="auto"/>
              </w:rPr>
              <w:t>Exhibits.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2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2"/>
              </w:rPr>
              <w:t>Incorporated by Reference</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820" w:type="dxa"/>
            <w:vAlign w:val="bottom"/>
            <w:gridSpan w:val="2"/>
            <w:vMerge w:val="continue"/>
          </w:tcPr>
          <w:p>
            <w:pPr>
              <w:spacing w:after="0"/>
              <w:rPr>
                <w:sz w:val="9"/>
                <w:szCs w:val="9"/>
                <w:color w:val="auto"/>
              </w:rPr>
            </w:pPr>
          </w:p>
        </w:tc>
        <w:tc>
          <w:tcPr>
            <w:tcW w:w="2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320" w:type="dxa"/>
            <w:vAlign w:val="bottom"/>
          </w:tcPr>
          <w:p>
            <w:pPr>
              <w:spacing w:after="0"/>
              <w:rPr>
                <w:sz w:val="16"/>
                <w:szCs w:val="16"/>
                <w:color w:val="auto"/>
              </w:rPr>
            </w:pPr>
          </w:p>
        </w:tc>
        <w:tc>
          <w:tcPr>
            <w:tcW w:w="4660" w:type="dxa"/>
            <w:vAlign w:val="bottom"/>
            <w:gridSpan w:val="9"/>
          </w:tcPr>
          <w:p>
            <w:pPr>
              <w:ind w:left="740"/>
              <w:spacing w:after="0"/>
              <w:rPr>
                <w:sz w:val="20"/>
                <w:szCs w:val="20"/>
                <w:color w:val="auto"/>
              </w:rPr>
            </w:pPr>
            <w:r>
              <w:rPr>
                <w:rFonts w:ascii="Arial" w:cs="Arial" w:eastAsia="Arial" w:hAnsi="Arial"/>
                <w:sz w:val="14"/>
                <w:szCs w:val="14"/>
                <w:b w:val="1"/>
                <w:bCs w:val="1"/>
                <w:color w:val="auto"/>
              </w:rPr>
              <w:t>Description</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Form</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File No.</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3"/>
        </w:trPr>
        <w:tc>
          <w:tcPr>
            <w:tcW w:w="500" w:type="dxa"/>
            <w:vAlign w:val="bottom"/>
            <w:tcBorders>
              <w:top w:val="single" w:sz="8" w:color="auto"/>
            </w:tcBorders>
          </w:tcPr>
          <w:p>
            <w:pPr>
              <w:jc w:val="right"/>
              <w:ind w:right="93"/>
              <w:spacing w:after="0" w:line="163" w:lineRule="exact"/>
              <w:rPr>
                <w:sz w:val="20"/>
                <w:szCs w:val="20"/>
                <w:color w:val="auto"/>
              </w:rPr>
            </w:pPr>
            <w:r>
              <w:rPr>
                <w:rFonts w:ascii="Arial" w:cs="Arial" w:eastAsia="Arial" w:hAnsi="Arial"/>
                <w:sz w:val="18"/>
                <w:szCs w:val="18"/>
                <w:color w:val="auto"/>
              </w:rPr>
              <w:t>4.1</w:t>
            </w:r>
          </w:p>
        </w:tc>
        <w:tc>
          <w:tcPr>
            <w:tcW w:w="320" w:type="dxa"/>
            <w:vAlign w:val="bottom"/>
          </w:tcPr>
          <w:p>
            <w:pPr>
              <w:spacing w:after="0"/>
              <w:rPr>
                <w:sz w:val="14"/>
                <w:szCs w:val="14"/>
                <w:color w:val="auto"/>
              </w:rPr>
            </w:pPr>
          </w:p>
        </w:tc>
        <w:tc>
          <w:tcPr>
            <w:tcW w:w="6880" w:type="dxa"/>
            <w:vAlign w:val="bottom"/>
            <w:tcBorders>
              <w:top w:val="single" w:sz="8" w:color="auto"/>
            </w:tcBorders>
            <w:gridSpan w:val="9"/>
          </w:tcPr>
          <w:p>
            <w:pPr>
              <w:spacing w:after="0" w:line="163" w:lineRule="exact"/>
              <w:rPr>
                <w:rFonts w:ascii="Arial" w:cs="Arial" w:eastAsia="Arial" w:hAnsi="Arial"/>
                <w:sz w:val="18"/>
                <w:szCs w:val="18"/>
                <w:color w:val="0000EE"/>
              </w:rPr>
            </w:pPr>
            <w:hyperlink r:id="rId22">
              <w:r>
                <w:rPr>
                  <w:rFonts w:ascii="Arial" w:cs="Arial" w:eastAsia="Arial" w:hAnsi="Arial"/>
                  <w:sz w:val="18"/>
                  <w:szCs w:val="18"/>
                  <w:color w:val="0000EE"/>
                </w:rPr>
                <w:t>Amended and Restated Certificate of Incorporation of the Registrant</w:t>
              </w:r>
            </w:hyperlink>
          </w:p>
        </w:tc>
        <w:tc>
          <w:tcPr>
            <w:tcW w:w="100" w:type="dxa"/>
            <w:vAlign w:val="bottom"/>
          </w:tcPr>
          <w:p>
            <w:pPr>
              <w:spacing w:after="0"/>
              <w:rPr>
                <w:sz w:val="14"/>
                <w:szCs w:val="14"/>
                <w:color w:val="auto"/>
              </w:rPr>
            </w:pPr>
          </w:p>
        </w:tc>
        <w:tc>
          <w:tcPr>
            <w:tcW w:w="48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8"/>
                <w:szCs w:val="18"/>
                <w:color w:val="auto"/>
              </w:rPr>
              <w:t>8-K</w:t>
            </w:r>
          </w:p>
        </w:tc>
        <w:tc>
          <w:tcPr>
            <w:tcW w:w="160" w:type="dxa"/>
            <w:vAlign w:val="bottom"/>
          </w:tcPr>
          <w:p>
            <w:pPr>
              <w:spacing w:after="0"/>
              <w:rPr>
                <w:sz w:val="14"/>
                <w:szCs w:val="14"/>
                <w:color w:val="auto"/>
              </w:rPr>
            </w:pPr>
          </w:p>
        </w:tc>
        <w:tc>
          <w:tcPr>
            <w:tcW w:w="9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8"/>
                <w:szCs w:val="18"/>
                <w:color w:val="auto"/>
              </w:rPr>
              <w:t>001-39539</w:t>
            </w: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line="163" w:lineRule="exact"/>
              <w:rPr>
                <w:sz w:val="20"/>
                <w:szCs w:val="20"/>
                <w:color w:val="auto"/>
              </w:rPr>
            </w:pPr>
            <w:r>
              <w:rPr>
                <w:rFonts w:ascii="Arial" w:cs="Arial" w:eastAsia="Arial" w:hAnsi="Arial"/>
                <w:sz w:val="18"/>
                <w:szCs w:val="18"/>
                <w:color w:val="auto"/>
                <w:w w:val="89"/>
              </w:rPr>
              <w:t>9/29/2020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3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r:id="rId23">
              <w:r>
                <w:rPr>
                  <w:rFonts w:ascii="Arial" w:cs="Arial" w:eastAsia="Arial" w:hAnsi="Arial"/>
                  <w:sz w:val="18"/>
                  <w:szCs w:val="18"/>
                  <w:color w:val="0000EE"/>
                  <w:w w:val="89"/>
                </w:rPr>
                <w:t>Amended and Restated Bylaws of the Registrant</w:t>
              </w:r>
            </w:hyperlink>
          </w:p>
        </w:tc>
        <w:tc>
          <w:tcPr>
            <w:tcW w:w="1420" w:type="dxa"/>
            <w:vAlign w:val="bottom"/>
            <w:tcBorders>
              <w:top w:val="single" w:sz="8" w:color="0000EE"/>
            </w:tcBorders>
            <w:gridSpan w:val="5"/>
          </w:tcPr>
          <w:p>
            <w:pPr>
              <w:spacing w:after="0"/>
              <w:rPr>
                <w:sz w:val="24"/>
                <w:szCs w:val="24"/>
                <w:color w:val="auto"/>
              </w:rPr>
            </w:pPr>
          </w:p>
        </w:tc>
        <w:tc>
          <w:tcPr>
            <w:tcW w:w="2080" w:type="dxa"/>
            <w:vAlign w:val="bottom"/>
            <w:gridSpan w:val="3"/>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001-39539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2"/>
              </w:rPr>
              <w:t>9/29/2020</w:t>
            </w: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6980" w:type="dxa"/>
            <w:vAlign w:val="bottom"/>
            <w:gridSpan w:val="10"/>
          </w:tcPr>
          <w:p>
            <w:pPr>
              <w:spacing w:after="0"/>
              <w:rPr>
                <w:rFonts w:ascii="Arial" w:cs="Arial" w:eastAsia="Arial" w:hAnsi="Arial"/>
                <w:sz w:val="18"/>
                <w:szCs w:val="18"/>
                <w:color w:val="0000EE"/>
              </w:rPr>
            </w:pPr>
            <w:hyperlink r:id="rId24">
              <w:r>
                <w:rPr>
                  <w:rFonts w:ascii="Arial" w:cs="Arial" w:eastAsia="Arial" w:hAnsi="Arial"/>
                  <w:sz w:val="18"/>
                  <w:szCs w:val="18"/>
                  <w:color w:val="0000EE"/>
                </w:rPr>
                <w:t>Specimen common stock certificate of the Registrant</w:t>
              </w:r>
            </w:hyperlink>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S-1/A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333-248627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2"/>
              </w:rPr>
              <w:t>9/21/2020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698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Opinion of Wilson Sonsini Goodrich &amp; Rosati, Professional Corporation</w:t>
              </w:r>
            </w:hyperlink>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23.1*</w:t>
            </w:r>
          </w:p>
        </w:tc>
        <w:tc>
          <w:tcPr>
            <w:tcW w:w="32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Consent of Independent Registered Public Accounting Firm</w:t>
              </w:r>
            </w:hyperlink>
          </w:p>
        </w:tc>
        <w:tc>
          <w:tcPr>
            <w:tcW w:w="960" w:type="dxa"/>
            <w:vAlign w:val="bottom"/>
            <w:tcBorders>
              <w:top w:val="single" w:sz="8" w:color="0000EE"/>
            </w:tcBorders>
            <w:gridSpan w:val="3"/>
          </w:tcPr>
          <w:p>
            <w:pPr>
              <w:spacing w:after="0"/>
              <w:rPr>
                <w:sz w:val="24"/>
                <w:szCs w:val="24"/>
                <w:color w:val="auto"/>
              </w:rPr>
            </w:pPr>
          </w:p>
        </w:tc>
        <w:tc>
          <w:tcPr>
            <w:tcW w:w="172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23.2*</w:t>
            </w:r>
          </w:p>
        </w:tc>
        <w:tc>
          <w:tcPr>
            <w:tcW w:w="320" w:type="dxa"/>
            <w:vAlign w:val="bottom"/>
          </w:tcPr>
          <w:p>
            <w:pPr>
              <w:spacing w:after="0"/>
              <w:rPr>
                <w:sz w:val="24"/>
                <w:szCs w:val="24"/>
                <w:color w:val="auto"/>
              </w:rPr>
            </w:pPr>
          </w:p>
        </w:tc>
        <w:tc>
          <w:tcPr>
            <w:tcW w:w="698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Consent of Wilson Sonsini Goodrich &amp; Rosati, Professional Corporation</w:t>
              </w:r>
            </w:hyperlink>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(contained in Exhibit 5.1 hereto)</w:t>
              </w:r>
            </w:hyperlink>
          </w:p>
        </w:tc>
        <w:tc>
          <w:tcPr>
            <w:tcW w:w="2940" w:type="dxa"/>
            <w:vAlign w:val="bottom"/>
            <w:tcBorders>
              <w:top w:val="single" w:sz="8" w:color="0000EE"/>
            </w:tcBorders>
            <w:gridSpan w:val="7"/>
          </w:tcPr>
          <w:p>
            <w:pPr>
              <w:spacing w:after="0"/>
              <w:rPr>
                <w:sz w:val="17"/>
                <w:szCs w:val="17"/>
                <w:color w:val="auto"/>
              </w:rPr>
            </w:pPr>
          </w:p>
        </w:tc>
        <w:tc>
          <w:tcPr>
            <w:tcW w:w="172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24.1*</w:t>
            </w:r>
          </w:p>
        </w:tc>
        <w:tc>
          <w:tcPr>
            <w:tcW w:w="320" w:type="dxa"/>
            <w:vAlign w:val="bottom"/>
          </w:tcPr>
          <w:p>
            <w:pPr>
              <w:spacing w:after="0"/>
              <w:rPr>
                <w:sz w:val="24"/>
                <w:szCs w:val="24"/>
                <w:color w:val="auto"/>
              </w:rPr>
            </w:pPr>
          </w:p>
        </w:tc>
        <w:tc>
          <w:tcPr>
            <w:tcW w:w="6980" w:type="dxa"/>
            <w:vAlign w:val="bottom"/>
            <w:gridSpan w:val="1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Power of Attorney (contained on signature page hereto)</w:t>
              </w:r>
            </w:hyperlink>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980" w:type="dxa"/>
            <w:vAlign w:val="bottom"/>
            <w:gridSpan w:val="4"/>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99.1</w:t>
            </w:r>
          </w:p>
        </w:tc>
        <w:tc>
          <w:tcPr>
            <w:tcW w:w="320" w:type="dxa"/>
            <w:vAlign w:val="bottom"/>
          </w:tcPr>
          <w:p>
            <w:pPr>
              <w:spacing w:after="0"/>
              <w:rPr>
                <w:sz w:val="24"/>
                <w:szCs w:val="24"/>
                <w:color w:val="auto"/>
              </w:rPr>
            </w:pPr>
          </w:p>
        </w:tc>
        <w:tc>
          <w:tcPr>
            <w:tcW w:w="4580" w:type="dxa"/>
            <w:vAlign w:val="bottom"/>
            <w:tcBorders>
              <w:bottom w:val="single" w:sz="8" w:color="0000EE"/>
            </w:tcBorders>
            <w:gridSpan w:val="6"/>
          </w:tcPr>
          <w:p>
            <w:pPr>
              <w:spacing w:after="0"/>
              <w:rPr>
                <w:rFonts w:ascii="Arial" w:cs="Arial" w:eastAsia="Arial" w:hAnsi="Arial"/>
                <w:sz w:val="18"/>
                <w:szCs w:val="18"/>
                <w:color w:val="0000EE"/>
                <w:w w:val="89"/>
              </w:rPr>
            </w:pPr>
            <w:hyperlink r:id="rId25">
              <w:r>
                <w:rPr>
                  <w:rFonts w:ascii="Arial" w:cs="Arial" w:eastAsia="Arial" w:hAnsi="Arial"/>
                  <w:sz w:val="18"/>
                  <w:szCs w:val="18"/>
                  <w:color w:val="0000EE"/>
                  <w:w w:val="89"/>
                </w:rPr>
                <w:t>2020 Equity Incentive Plan and forms of agreements thereunder</w:t>
              </w:r>
            </w:hyperlink>
          </w:p>
        </w:tc>
        <w:tc>
          <w:tcPr>
            <w:tcW w:w="2400" w:type="dxa"/>
            <w:vAlign w:val="bottom"/>
            <w:gridSpan w:val="4"/>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S-1/A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333-248627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2"/>
              </w:rPr>
              <w:t>9/21/2020</w:t>
            </w: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99.2</w:t>
            </w:r>
          </w:p>
        </w:tc>
        <w:tc>
          <w:tcPr>
            <w:tcW w:w="320" w:type="dxa"/>
            <w:vAlign w:val="bottom"/>
          </w:tcPr>
          <w:p>
            <w:pPr>
              <w:spacing w:after="0"/>
              <w:rPr>
                <w:sz w:val="24"/>
                <w:szCs w:val="24"/>
                <w:color w:val="auto"/>
              </w:rPr>
            </w:pPr>
          </w:p>
        </w:tc>
        <w:tc>
          <w:tcPr>
            <w:tcW w:w="6980" w:type="dxa"/>
            <w:vAlign w:val="bottom"/>
            <w:gridSpan w:val="10"/>
          </w:tcPr>
          <w:p>
            <w:pPr>
              <w:spacing w:after="0"/>
              <w:rPr>
                <w:rFonts w:ascii="Arial" w:cs="Arial" w:eastAsia="Arial" w:hAnsi="Arial"/>
                <w:sz w:val="18"/>
                <w:szCs w:val="18"/>
                <w:color w:val="0000EE"/>
              </w:rPr>
            </w:pPr>
            <w:hyperlink r:id="rId26">
              <w:r>
                <w:rPr>
                  <w:rFonts w:ascii="Arial" w:cs="Arial" w:eastAsia="Arial" w:hAnsi="Arial"/>
                  <w:sz w:val="18"/>
                  <w:szCs w:val="18"/>
                  <w:color w:val="0000EE"/>
                </w:rPr>
                <w:t>2020 Employee Stock Purchase Plan and forms of agreements thereunder</w:t>
              </w:r>
            </w:hyperlink>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S-1/A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333-248627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2"/>
              </w:rPr>
              <w:t>9/21/2020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0964"/>
          </w:cols>
          <w:pgMar w:left="436" w:top="270"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on Form S-8 to be signed on its behalf by the undersigned, thereunto duly authorized, in the City of Cranbury, New Jersey, on May 21,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David H. Mack,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David H. Mack, Ph.D. and Winston Kung as his or her true and lawful attorneys-in-fact and agents, with full power of substitution and substitution, for him or her and in their name, place and stead, in any and all capacities, to sign this Registration Statement and any and all amendments thereto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342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Date</w:t>
            </w:r>
          </w:p>
        </w:tc>
      </w:tr>
      <w:tr>
        <w:trPr>
          <w:trHeight w:val="304"/>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 Mack</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w w:val="96"/>
              </w:rPr>
              <w:t>President, Chief Executive Officer and Director</w:t>
            </w:r>
          </w:p>
        </w:tc>
        <w:tc>
          <w:tcPr>
            <w:tcW w:w="3420" w:type="dxa"/>
            <w:vAlign w:val="bottom"/>
          </w:tcPr>
          <w:p>
            <w:pPr>
              <w:spacing w:after="0"/>
              <w:rPr>
                <w:sz w:val="24"/>
                <w:szCs w:val="24"/>
                <w:color w:val="auto"/>
              </w:rPr>
            </w:pP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David H. Mack, Ph.D.</w:t>
            </w:r>
          </w:p>
        </w:tc>
        <w:tc>
          <w:tcPr>
            <w:tcW w:w="374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3420" w:type="dxa"/>
            <w:vAlign w:val="bottom"/>
          </w:tcPr>
          <w:p>
            <w:pPr>
              <w:ind w:left="20"/>
              <w:spacing w:after="0"/>
              <w:rPr>
                <w:sz w:val="20"/>
                <w:szCs w:val="20"/>
                <w:color w:val="auto"/>
              </w:rPr>
            </w:pPr>
            <w:r>
              <w:rPr>
                <w:rFonts w:ascii="Arial" w:cs="Arial" w:eastAsia="Arial" w:hAnsi="Arial"/>
                <w:sz w:val="18"/>
                <w:szCs w:val="18"/>
                <w:color w:val="auto"/>
              </w:rPr>
              <w:t>May 21, 2021</w:t>
            </w: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Winston Kung</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w w:val="97"/>
              </w:rPr>
              <w:t xml:space="preserve">Chief Financial Officer </w:t>
            </w:r>
            <w:r>
              <w:rPr>
                <w:rFonts w:ascii="Arial" w:cs="Arial" w:eastAsia="Arial" w:hAnsi="Arial"/>
                <w:sz w:val="18"/>
                <w:szCs w:val="18"/>
                <w:i w:val="1"/>
                <w:iCs w:val="1"/>
                <w:color w:val="auto"/>
                <w:w w:val="97"/>
              </w:rPr>
              <w:t>(Principal Financial and</w:t>
            </w:r>
          </w:p>
        </w:tc>
        <w:tc>
          <w:tcPr>
            <w:tcW w:w="3420" w:type="dxa"/>
            <w:vAlign w:val="bottom"/>
          </w:tcPr>
          <w:p>
            <w:pPr>
              <w:spacing w:after="0"/>
              <w:rPr>
                <w:sz w:val="24"/>
                <w:szCs w:val="24"/>
                <w:color w:val="auto"/>
              </w:rPr>
            </w:pP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Winston Kung</w:t>
            </w:r>
          </w:p>
        </w:tc>
        <w:tc>
          <w:tcPr>
            <w:tcW w:w="3740" w:type="dxa"/>
            <w:vAlign w:val="bottom"/>
            <w:gridSpan w:val="3"/>
          </w:tcPr>
          <w:p>
            <w:pPr>
              <w:ind w:left="120"/>
              <w:spacing w:after="0"/>
              <w:rPr>
                <w:sz w:val="20"/>
                <w:szCs w:val="20"/>
                <w:color w:val="auto"/>
              </w:rPr>
            </w:pPr>
            <w:r>
              <w:rPr>
                <w:rFonts w:ascii="Arial" w:cs="Arial" w:eastAsia="Arial" w:hAnsi="Arial"/>
                <w:sz w:val="18"/>
                <w:szCs w:val="18"/>
                <w:i w:val="1"/>
                <w:iCs w:val="1"/>
                <w:color w:val="auto"/>
              </w:rPr>
              <w:t>Accounting Officer)</w:t>
            </w:r>
          </w:p>
        </w:tc>
        <w:tc>
          <w:tcPr>
            <w:tcW w:w="3420" w:type="dxa"/>
            <w:vAlign w:val="bottom"/>
          </w:tcPr>
          <w:p>
            <w:pPr>
              <w:ind w:left="20"/>
              <w:spacing w:after="0"/>
              <w:rPr>
                <w:sz w:val="20"/>
                <w:szCs w:val="20"/>
                <w:color w:val="auto"/>
              </w:rPr>
            </w:pPr>
            <w:r>
              <w:rPr>
                <w:rFonts w:ascii="Arial" w:cs="Arial" w:eastAsia="Arial" w:hAnsi="Arial"/>
                <w:sz w:val="18"/>
                <w:szCs w:val="18"/>
                <w:color w:val="auto"/>
              </w:rPr>
              <w:t>May 21, 2021</w:t>
            </w: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Heyman</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Richard Heyman, Ph.D.</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Chair of the Board</w:t>
            </w:r>
          </w:p>
        </w:tc>
        <w:tc>
          <w:tcPr>
            <w:tcW w:w="3420" w:type="dxa"/>
            <w:vAlign w:val="bottom"/>
          </w:tcPr>
          <w:p>
            <w:pPr>
              <w:ind w:left="20"/>
              <w:spacing w:after="0"/>
              <w:rPr>
                <w:sz w:val="20"/>
                <w:szCs w:val="20"/>
                <w:color w:val="auto"/>
              </w:rPr>
            </w:pPr>
            <w:r>
              <w:rPr>
                <w:rFonts w:ascii="Arial" w:cs="Arial" w:eastAsia="Arial" w:hAnsi="Arial"/>
                <w:sz w:val="18"/>
                <w:szCs w:val="18"/>
                <w:color w:val="auto"/>
              </w:rPr>
              <w:t>May 21, 2021</w:t>
            </w: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Baum</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Charles M. Baum, M.D., Ph.D.</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0"/>
              <w:spacing w:after="0"/>
              <w:rPr>
                <w:sz w:val="20"/>
                <w:szCs w:val="20"/>
                <w:color w:val="auto"/>
              </w:rPr>
            </w:pPr>
            <w:r>
              <w:rPr>
                <w:rFonts w:ascii="Arial" w:cs="Arial" w:eastAsia="Arial" w:hAnsi="Arial"/>
                <w:sz w:val="18"/>
                <w:szCs w:val="18"/>
                <w:color w:val="auto"/>
              </w:rPr>
              <w:t>May 21, 2021</w:t>
            </w: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Arnold Levine</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Arnold Levine, Ph.D.</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0"/>
              <w:spacing w:after="0"/>
              <w:rPr>
                <w:sz w:val="20"/>
                <w:szCs w:val="20"/>
                <w:color w:val="auto"/>
              </w:rPr>
            </w:pPr>
            <w:r>
              <w:rPr>
                <w:rFonts w:ascii="Arial" w:cs="Arial" w:eastAsia="Arial" w:hAnsi="Arial"/>
                <w:sz w:val="18"/>
                <w:szCs w:val="18"/>
                <w:color w:val="auto"/>
              </w:rPr>
              <w:t>May 21, 2021</w:t>
            </w: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Thilo Schroeder</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Thilo Schroeder, Ph.D.</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0"/>
              <w:spacing w:after="0"/>
              <w:rPr>
                <w:sz w:val="20"/>
                <w:szCs w:val="20"/>
                <w:color w:val="auto"/>
              </w:rPr>
            </w:pPr>
            <w:r>
              <w:rPr>
                <w:rFonts w:ascii="Arial" w:cs="Arial" w:eastAsia="Arial" w:hAnsi="Arial"/>
                <w:sz w:val="18"/>
                <w:szCs w:val="18"/>
                <w:color w:val="auto"/>
              </w:rPr>
              <w:t>May 21, 2021</w:t>
            </w: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Laurie Stelzer</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Laurie Stelzer</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0"/>
              <w:spacing w:after="0"/>
              <w:rPr>
                <w:sz w:val="20"/>
                <w:szCs w:val="20"/>
                <w:color w:val="auto"/>
              </w:rPr>
            </w:pPr>
            <w:r>
              <w:rPr>
                <w:rFonts w:ascii="Arial" w:cs="Arial" w:eastAsia="Arial" w:hAnsi="Arial"/>
                <w:sz w:val="18"/>
                <w:szCs w:val="18"/>
                <w:color w:val="auto"/>
              </w:rPr>
              <w:t>May 21, 2021</w:t>
            </w: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Thompson</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Peter Thompson, M.D.</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0"/>
              <w:spacing w:after="0"/>
              <w:rPr>
                <w:sz w:val="20"/>
                <w:szCs w:val="20"/>
                <w:color w:val="auto"/>
              </w:rPr>
            </w:pPr>
            <w:r>
              <w:rPr>
                <w:rFonts w:ascii="Arial" w:cs="Arial" w:eastAsia="Arial" w:hAnsi="Arial"/>
                <w:sz w:val="18"/>
                <w:szCs w:val="18"/>
                <w:color w:val="auto"/>
              </w:rPr>
              <w:t>May 21, 2021</w:t>
            </w:r>
          </w:p>
        </w:tc>
      </w:tr>
    </w:tbl>
    <w:p>
      <w:pPr>
        <w:sectPr>
          <w:pgSz w:w="11900" w:h="16838" w:orient="portrait"/>
          <w:cols w:equalWidth="0" w:num="1">
            <w:col w:w="11020"/>
          </w:cols>
          <w:pgMar w:left="440" w:top="270"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405890"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405890" cy="61722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Professional Corporation</w:t>
      </w:r>
    </w:p>
    <w:p>
      <w:pPr>
        <w:spacing w:after="0" w:line="11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1301 Avenue of the Americas, 40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3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New York, NY 10019-6022</w:t>
      </w:r>
    </w:p>
    <w:p>
      <w:pPr>
        <w:spacing w:after="0" w:line="13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HONE</w:t>
      </w:r>
      <w:r>
        <w:rPr>
          <w:rFonts w:ascii="Arial" w:cs="Arial" w:eastAsia="Arial" w:hAnsi="Arial"/>
          <w:sz w:val="18"/>
          <w:szCs w:val="18"/>
          <w:color w:val="auto"/>
        </w:rPr>
        <w:t>: 212.999.5800</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AX</w:t>
      </w:r>
      <w:r>
        <w:rPr>
          <w:rFonts w:ascii="Arial" w:cs="Arial" w:eastAsia="Arial" w:hAnsi="Arial"/>
          <w:sz w:val="18"/>
          <w:szCs w:val="18"/>
          <w:color w:val="auto"/>
        </w:rPr>
        <w:t>: 212.999.5899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PMV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 Clarke Drive, Suite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Cranbury, NJ 08512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(609) 642-6670</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Registration Statement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We have examined the Registration Statement on Form S-8 (the “Registration Statement”) to be filed by PMV Pharmaceuticals, Inc., a Delaware corporation, with the Securities and Exchange Commission on or about the date hereof, in connection with the registration under the Securities Act of 1933, as amended, of (i) 1,343,334 shares of your common stock, par value $0.00001 per share (the “EIP Shares”), reserved for issuance pursuant to the 2020 Equity Incentive Plan (the “Plan”) and (ii) 447,778 shares of your common stock, par value $0.00001 per share (the “ESPP Shares” and, together with the EIP Shares, the “Shares”), reserved for issuance pursuant to the 2020 Employee Stock Purchase Plan, as amended (the “ESPP Plan” and, together with the Plan, the “Plans”).</w:t>
      </w:r>
    </w:p>
    <w:p>
      <w:pPr>
        <w:spacing w:after="0" w:line="192"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On the basis of the foregoing, and in reliance thereon, we are of the opinion that the Shares, when issued and sold in the manner referred to in the Plans and pursuant to the agreements that accompany the Plans, will be legally and validly issued, fully paid and nonassessable.</w:t>
      </w:r>
    </w:p>
    <w:p>
      <w:pPr>
        <w:spacing w:after="0" w:line="14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 P.C.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WILSON SONSINI GOODRICH &amp; ROSATI Professional</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Corporation</w:t>
      </w:r>
    </w:p>
    <w:p>
      <w:pPr>
        <w:sectPr>
          <w:pgSz w:w="11900" w:h="16838" w:orient="portrait"/>
          <w:cols w:equalWidth="0" w:num="1">
            <w:col w:w="11020"/>
          </w:cols>
          <w:pgMar w:left="440" w:top="121" w:right="439" w:bottom="1440" w:gutter="0" w:footer="0" w:header="0"/>
        </w:sectPr>
      </w:pPr>
    </w:p>
    <w:p>
      <w:pPr>
        <w:spacing w:after="0" w:line="21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AUSTIN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BEIJING</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BOSTON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BRUSSELS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HONG KONG</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LONDON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LOS ANGELES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NEW YORK</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PALO ALTO</w:t>
      </w:r>
    </w:p>
    <w:p>
      <w:pPr>
        <w:spacing w:after="0" w:line="129" w:lineRule="exact"/>
        <w:rPr>
          <w:sz w:val="20"/>
          <w:szCs w:val="20"/>
          <w:color w:val="auto"/>
        </w:rPr>
      </w:pPr>
    </w:p>
    <w:p>
      <w:pPr>
        <w:sectPr>
          <w:pgSz w:w="11900" w:h="16838" w:orient="portrait"/>
          <w:cols w:equalWidth="0" w:num="9">
            <w:col w:w="1480" w:space="180"/>
            <w:col w:w="680" w:space="180"/>
            <w:col w:w="720" w:space="180"/>
            <w:col w:w="900" w:space="180"/>
            <w:col w:w="1080" w:space="180"/>
            <w:col w:w="760" w:space="180"/>
            <w:col w:w="1200" w:space="180"/>
            <w:col w:w="960" w:space="180"/>
            <w:col w:w="1800"/>
          </w:cols>
          <w:pgMar w:left="440" w:top="121" w:right="439"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SAN DIEGO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SAN FRANCISCO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SEATTLE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SHANGHAI</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WASHINGTON, DC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WILMINGTON, DE</w:t>
      </w:r>
    </w:p>
    <w:p>
      <w:pPr>
        <w:sectPr>
          <w:pgSz w:w="11900" w:h="16838" w:orient="portrait"/>
          <w:cols w:equalWidth="0" w:num="6">
            <w:col w:w="2460" w:space="180"/>
            <w:col w:w="1420" w:space="180"/>
            <w:col w:w="760" w:space="180"/>
            <w:col w:w="940" w:space="160"/>
            <w:col w:w="1540" w:space="180"/>
            <w:col w:w="3020"/>
          </w:cols>
          <w:pgMar w:left="440" w:top="121" w:right="43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2020 Equity Incentive Plan and the 2020 Employee Stock Purchase Plan of PMV Pharmaceuticals, Inc. of our report dated March 3, 2021, with respect to the financial statements of PMV Pharmaceuticals, Inc., included in the Annual Report (Form 10-K) for the year ended December 31, 2020,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jpeg"/><Relationship Id="rId18" Type="http://schemas.openxmlformats.org/officeDocument/2006/relationships/hyperlink" Target="http://www.sec.gov/Archives/edgar/data/1699382/000156459021010578/pmvp-10k_20201231.htm" TargetMode="External"/><Relationship Id="rId19" Type="http://schemas.openxmlformats.org/officeDocument/2006/relationships/hyperlink" Target="http://www.sec.gov/Archives/edgar/data/1699382/000156459021027813/pmvp-10q_20210331.htm" TargetMode="External"/><Relationship Id="rId20" Type="http://schemas.openxmlformats.org/officeDocument/2006/relationships/hyperlink" Target="http://www.sec.gov/Archives/edgar/data/1699382/000119312521107069/d137028d8k.htm" TargetMode="External"/><Relationship Id="rId21" Type="http://schemas.openxmlformats.org/officeDocument/2006/relationships/hyperlink" Target="http://www.sec.gov/Archives/edgar/data/1699382/000119312520250157/d14856d8a12b.htm" TargetMode="External"/><Relationship Id="rId22" Type="http://schemas.openxmlformats.org/officeDocument/2006/relationships/hyperlink" Target="http://www.sec.gov/Archives/edgar/data/1699382/000119312520257820/d95525dex31.htm" TargetMode="External"/><Relationship Id="rId23" Type="http://schemas.openxmlformats.org/officeDocument/2006/relationships/hyperlink" Target="http://www.sec.gov/Archives/edgar/data/1699382/000119312520257820/d95525dex32.htm" TargetMode="External"/><Relationship Id="rId24" Type="http://schemas.openxmlformats.org/officeDocument/2006/relationships/hyperlink" Target="http://www.sec.gov/Archives/edgar/data/1699382/000119312520249570/d922470dex42.htm" TargetMode="External"/><Relationship Id="rId25" Type="http://schemas.openxmlformats.org/officeDocument/2006/relationships/hyperlink" Target="http://www.sec.gov/Archives/edgar/data/1699382/000119312520249570/d922470dex103.htm" TargetMode="External"/><Relationship Id="rId26" Type="http://schemas.openxmlformats.org/officeDocument/2006/relationships/hyperlink" Target="http://www.sec.gov/Archives/edgar/data/1699382/000119312520249570/d922470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2021-05-21T07:03:08Z</dcterms:created>
  <dcterms:modified xsi:type="dcterms:W3CDTF">2021-05-21T07:03:08Z</dcterms:modified>
</cp:coreProperties>
</file>