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22, 2020</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Ameen Hamady</w:t>
      </w:r>
    </w:p>
    <w:p>
      <w:pPr>
        <w:spacing w:after="0" w:line="23"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Kevin Kuhar</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Deanna Virginio</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Dorrie Yale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PMV Pharmaceuticals,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333-248627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Requested Date: Thursday, September 24,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Requested Time: 4:00 P.M. Eastern Time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firstLine="440"/>
        <w:spacing w:after="0" w:line="258" w:lineRule="auto"/>
        <w:rPr>
          <w:sz w:val="20"/>
          <w:szCs w:val="20"/>
          <w:color w:val="auto"/>
        </w:rPr>
      </w:pPr>
      <w:r>
        <w:rPr>
          <w:rFonts w:ascii="Arial" w:cs="Arial" w:eastAsia="Arial" w:hAnsi="Arial"/>
          <w:sz w:val="18"/>
          <w:szCs w:val="18"/>
          <w:color w:val="auto"/>
        </w:rPr>
        <w:t>In accordance with Rule 461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we, as representatives of the several underwriters, hereby join in the request of PMV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for acceleration of the effective time of the above-referenced Registration Statement, requesting effectiveness as of 4:00 P.M., Eastern Time, on September 24, 2020, or at such later time as the Company or its outside counsel, Wilson Sonsini Goodrich &amp; Rosati, P.C., may request via telephone call to the staff of the Division of Corporation Finance of the Securities and Exchange Commission.</w:t>
      </w:r>
    </w:p>
    <w:p>
      <w:pPr>
        <w:spacing w:after="0" w:line="187" w:lineRule="exact"/>
        <w:rPr>
          <w:sz w:val="24"/>
          <w:szCs w:val="24"/>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Pursuant to Rule 460 under the Act, we, as representatives of the several underwriters, wish to advise you that approximately 2965 copies of the preliminary prospectus included in the above-named Registration Statement, as amended, were distributed during the period from September 21, 2020 through the date hereof, to prospective underwriters, institutions, dealers and others.</w:t>
      </w:r>
    </w:p>
    <w:p>
      <w:pPr>
        <w:spacing w:after="0" w:line="184" w:lineRule="exact"/>
        <w:rPr>
          <w:sz w:val="24"/>
          <w:szCs w:val="24"/>
          <w:color w:val="auto"/>
        </w:rPr>
      </w:pPr>
    </w:p>
    <w:p>
      <w:pPr>
        <w:ind w:right="20" w:firstLine="440"/>
        <w:spacing w:after="0" w:line="263" w:lineRule="auto"/>
        <w:rPr>
          <w:sz w:val="20"/>
          <w:szCs w:val="20"/>
          <w:color w:val="auto"/>
        </w:rPr>
      </w:pPr>
      <w:r>
        <w:rPr>
          <w:rFonts w:ascii="Arial" w:cs="Arial" w:eastAsia="Arial" w:hAnsi="Arial"/>
          <w:sz w:val="18"/>
          <w:szCs w:val="18"/>
          <w:color w:val="auto"/>
        </w:rPr>
        <w:t>We, the undersigned, as representatives of the several underwriters, have complied and will comply, and we have been informed by the participating underwriters that they have complied and will comply, with the requirements of Rule 15c2-8 under the Securities Exchange Act of 1934, as amended.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00"/>
          </w:cols>
          <w:pgMar w:left="440" w:top="233" w:right="459" w:bottom="1440" w:gutter="0" w:footer="0" w:header="0"/>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Elizabeth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Michele A.H. Allong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Mariel A.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EVERCORE GROUP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Bernhard Sakmann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239"/>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Underwriters’ Acceleration Request]</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2021-08-15T19:57:15Z</dcterms:created>
  <dcterms:modified xsi:type="dcterms:W3CDTF">2021-08-15T19:57:15Z</dcterms:modified>
</cp:coreProperties>
</file>