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Stelzer Laurie</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rPr>
                <w:sz w:val="1"/>
                <w:szCs w:val="1"/>
                <w:color w:val="auto"/>
              </w:rPr>
            </w:pPr>
          </w:p>
        </w:tc>
      </w:tr>
    </w:tbl>
    <w:p>
      <w:pPr>
        <w:spacing w:after="0" w:line="14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780"/>
        <w:spacing w:after="0" w:line="275" w:lineRule="auto"/>
        <w:rPr>
          <w:sz w:val="20"/>
          <w:szCs w:val="20"/>
          <w:color w:val="auto"/>
        </w:rPr>
      </w:pPr>
      <w:r>
        <w:rPr>
          <w:rFonts w:ascii="Times New Roman" w:cs="Times New Roman" w:eastAsia="Times New Roman" w:hAnsi="Times New Roman"/>
          <w:sz w:val="20"/>
          <w:szCs w:val="20"/>
          <w:color w:val="0000FF"/>
        </w:rPr>
        <w:t>C/O PMV PHARMACEUTICALS,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 CLARKE DRIVE, SUITE 3</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CRANBURY NJ</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08512</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02"/>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58"/>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202"/>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38"/>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11"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77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7703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4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08/11/2030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32,667</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8.53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-406400</wp:posOffset>
            </wp:positionV>
            <wp:extent cx="6927850" cy="24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2476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5"/>
          <w:szCs w:val="15"/>
          <w:color w:val="008000"/>
        </w:rPr>
        <w:t>1. One thirty-sixth of the shares subject to the option vested on September 12, 2020, and an additional one thirty-sixth of the shares subject to the option vest each month thereafter.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David H. Mack,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09/24/2020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839"/>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PMV Pharmaceuticals, Inc. (the "Company"), hereby constitutes and appoints David H. Mack, Ph.D. and Winston Kung, and each of them, as the undersigned's true and lawful attorney-in-fact to:</w:t>
      </w:r>
    </w:p>
    <w:p>
      <w:pPr>
        <w:spacing w:after="0" w:line="87" w:lineRule="exact"/>
        <w:rPr>
          <w:sz w:val="20"/>
          <w:szCs w:val="20"/>
          <w:color w:val="auto"/>
        </w:rPr>
      </w:pPr>
    </w:p>
    <w:p>
      <w:pPr>
        <w:ind w:right="259"/>
        <w:spacing w:after="0" w:line="279"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including amendments thereto, and any other documents necessary or appropriate</w:t>
      </w:r>
    </w:p>
    <w:p>
      <w:pPr>
        <w:ind w:right="73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EDGAR codes and passwords enabling the undersigned to make electronic filings with the SEC of reports required by Section 16(a) of the Securities Exchange Act of 1934 or any rule or regulation of the SEC;</w:t>
      </w:r>
    </w:p>
    <w:p>
      <w:pPr>
        <w:spacing w:after="0" w:line="88" w:lineRule="exact"/>
        <w:rPr>
          <w:rFonts w:ascii="Courier New" w:cs="Courier New" w:eastAsia="Courier New" w:hAnsi="Courier New"/>
          <w:sz w:val="18"/>
          <w:szCs w:val="18"/>
          <w:color w:val="auto"/>
        </w:rPr>
      </w:pPr>
    </w:p>
    <w:p>
      <w:pPr>
        <w:ind w:right="619"/>
        <w:spacing w:after="0" w:line="294"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839"/>
        <w:spacing w:after="0" w:line="293"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71"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September, 2020.</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Laurie Stelzer</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Laurie Stelzer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644348" TargetMode="External"/><Relationship Id="rId11"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2020-09-24T18:22:36Z</dcterms:created>
  <dcterms:modified xsi:type="dcterms:W3CDTF">2020-09-24T18:22:36Z</dcterms:modified>
</cp:coreProperties>
</file>