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4"/>
          <w:szCs w:val="24"/>
          <w:color w:val="auto"/>
        </w:rPr>
      </w:pPr>
    </w:p>
    <w:p>
      <w:pPr>
        <w:jc w:val="center"/>
        <w:ind w:left="420" w:right="1880"/>
        <w:spacing w:after="0" w:line="272" w:lineRule="auto"/>
        <w:rPr>
          <w:sz w:val="20"/>
          <w:szCs w:val="20"/>
          <w:color w:val="auto"/>
        </w:rPr>
      </w:pPr>
      <w:r>
        <w:rPr>
          <w:rFonts w:ascii="Arial" w:cs="Arial" w:eastAsia="Arial" w:hAnsi="Arial"/>
          <w:sz w:val="14"/>
          <w:szCs w:val="14"/>
          <w:b w:val="1"/>
          <w:bCs w:val="1"/>
          <w:color w:val="auto"/>
        </w:rPr>
        <w:t>As confidentially submitted to the Securities and Exchange Commission on June 26, 2020. This draft registration statement has not been publicly filed with the Securities and Exchange Commission and all information herein remains strictly confidential.</w:t>
      </w:r>
    </w:p>
    <w:p>
      <w:pPr>
        <w:spacing w:after="0" w:line="47" w:lineRule="exact"/>
        <w:rPr>
          <w:sz w:val="24"/>
          <w:szCs w:val="24"/>
          <w:color w:val="auto"/>
        </w:rPr>
      </w:pPr>
    </w:p>
    <w:p>
      <w:pPr>
        <w:ind w:left="92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113030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121920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FORM S-1</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REGISTRATION STATEMENT</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Under</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121920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3"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PMV PHARMACEUTICALS, INC.</w:t>
      </w:r>
    </w:p>
    <w:p>
      <w:pPr>
        <w:spacing w:after="0" w:line="10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130175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5" w:lineRule="exact"/>
        <w:rPr>
          <w:sz w:val="24"/>
          <w:szCs w:val="24"/>
          <w:color w:val="auto"/>
        </w:rPr>
      </w:pPr>
    </w:p>
    <w:tbl>
      <w:tblPr>
        <w:tblLayout w:type="fixed"/>
        <w:tblInd w:w="960" w:type="dxa"/>
        <w:tblCellMar>
          <w:top w:w="0" w:type="dxa"/>
          <w:left w:w="0" w:type="dxa"/>
          <w:bottom w:w="0" w:type="dxa"/>
          <w:right w:w="0" w:type="dxa"/>
        </w:tblCellMar>
      </w:tblPr>
      <w:tr>
        <w:trPr>
          <w:trHeight w:val="162"/>
        </w:trPr>
        <w:tc>
          <w:tcPr>
            <w:tcW w:w="2920" w:type="dxa"/>
            <w:vAlign w:val="bottom"/>
          </w:tcPr>
          <w:p>
            <w:pPr>
              <w:jc w:val="center"/>
              <w:ind w:right="808"/>
              <w:spacing w:after="0"/>
              <w:rPr>
                <w:sz w:val="20"/>
                <w:szCs w:val="20"/>
                <w:color w:val="auto"/>
              </w:rPr>
            </w:pPr>
            <w:r>
              <w:rPr>
                <w:rFonts w:ascii="Arial" w:cs="Arial" w:eastAsia="Arial" w:hAnsi="Arial"/>
                <w:sz w:val="14"/>
                <w:szCs w:val="14"/>
                <w:b w:val="1"/>
                <w:bCs w:val="1"/>
                <w:color w:val="auto"/>
              </w:rPr>
              <w:t>Delaware</w:t>
            </w:r>
          </w:p>
        </w:tc>
        <w:tc>
          <w:tcPr>
            <w:tcW w:w="3780" w:type="dxa"/>
            <w:vAlign w:val="bottom"/>
          </w:tcPr>
          <w:p>
            <w:pPr>
              <w:jc w:val="right"/>
              <w:ind w:right="1688"/>
              <w:spacing w:after="0"/>
              <w:rPr>
                <w:sz w:val="20"/>
                <w:szCs w:val="20"/>
                <w:color w:val="auto"/>
              </w:rPr>
            </w:pPr>
            <w:r>
              <w:rPr>
                <w:rFonts w:ascii="Arial" w:cs="Arial" w:eastAsia="Arial" w:hAnsi="Arial"/>
                <w:sz w:val="14"/>
                <w:szCs w:val="14"/>
                <w:b w:val="1"/>
                <w:bCs w:val="1"/>
                <w:color w:val="auto"/>
              </w:rPr>
              <w:t>2834</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46-3218129</w:t>
            </w:r>
          </w:p>
        </w:tc>
      </w:tr>
      <w:tr>
        <w:trPr>
          <w:trHeight w:val="162"/>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(State or other jurisdiction of</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(Primary Standard Industrial</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(I.R.S. Employer</w:t>
            </w:r>
          </w:p>
        </w:tc>
      </w:tr>
      <w:tr>
        <w:trPr>
          <w:trHeight w:val="202"/>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Classification Code Number)</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Identification Number)</w:t>
            </w:r>
          </w:p>
        </w:tc>
      </w:tr>
      <w:tr>
        <w:trPr>
          <w:trHeight w:val="203"/>
        </w:trPr>
        <w:tc>
          <w:tcPr>
            <w:tcW w:w="2920" w:type="dxa"/>
            <w:vAlign w:val="bottom"/>
          </w:tcPr>
          <w:p>
            <w:pPr>
              <w:spacing w:after="0"/>
              <w:rPr>
                <w:sz w:val="17"/>
                <w:szCs w:val="17"/>
                <w:color w:val="auto"/>
              </w:rPr>
            </w:pP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8 Clarke Drive, Suite 3</w:t>
            </w:r>
          </w:p>
        </w:tc>
        <w:tc>
          <w:tcPr>
            <w:tcW w:w="2480" w:type="dxa"/>
            <w:vAlign w:val="bottom"/>
          </w:tcPr>
          <w:p>
            <w:pPr>
              <w:spacing w:after="0"/>
              <w:rPr>
                <w:sz w:val="17"/>
                <w:szCs w:val="17"/>
                <w:color w:val="auto"/>
              </w:rPr>
            </w:pPr>
          </w:p>
        </w:tc>
      </w:tr>
      <w:tr>
        <w:trPr>
          <w:trHeight w:val="162"/>
        </w:trPr>
        <w:tc>
          <w:tcPr>
            <w:tcW w:w="2920" w:type="dxa"/>
            <w:vAlign w:val="bottom"/>
          </w:tcPr>
          <w:p>
            <w:pPr>
              <w:spacing w:after="0"/>
              <w:rPr>
                <w:sz w:val="14"/>
                <w:szCs w:val="14"/>
                <w:color w:val="auto"/>
              </w:rPr>
            </w:pP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Cranbury, NJ 08512</w:t>
            </w:r>
          </w:p>
        </w:tc>
        <w:tc>
          <w:tcPr>
            <w:tcW w:w="2480" w:type="dxa"/>
            <w:vAlign w:val="bottom"/>
          </w:tcPr>
          <w:p>
            <w:pPr>
              <w:spacing w:after="0"/>
              <w:rPr>
                <w:sz w:val="14"/>
                <w:szCs w:val="14"/>
                <w:color w:val="auto"/>
              </w:rPr>
            </w:pPr>
          </w:p>
        </w:tc>
      </w:tr>
      <w:tr>
        <w:trPr>
          <w:trHeight w:val="202"/>
        </w:trPr>
        <w:tc>
          <w:tcPr>
            <w:tcW w:w="2920" w:type="dxa"/>
            <w:vAlign w:val="bottom"/>
          </w:tcPr>
          <w:p>
            <w:pPr>
              <w:spacing w:after="0"/>
              <w:rPr>
                <w:sz w:val="17"/>
                <w:szCs w:val="17"/>
                <w:color w:val="auto"/>
              </w:rPr>
            </w:pPr>
          </w:p>
        </w:tc>
        <w:tc>
          <w:tcPr>
            <w:tcW w:w="3780" w:type="dxa"/>
            <w:vAlign w:val="bottom"/>
          </w:tcPr>
          <w:p>
            <w:pPr>
              <w:jc w:val="right"/>
              <w:ind w:right="1348"/>
              <w:spacing w:after="0"/>
              <w:rPr>
                <w:sz w:val="20"/>
                <w:szCs w:val="20"/>
                <w:color w:val="auto"/>
              </w:rPr>
            </w:pPr>
            <w:r>
              <w:rPr>
                <w:rFonts w:ascii="Arial" w:cs="Arial" w:eastAsia="Arial" w:hAnsi="Arial"/>
                <w:sz w:val="14"/>
                <w:szCs w:val="14"/>
                <w:b w:val="1"/>
                <w:bCs w:val="1"/>
                <w:color w:val="auto"/>
              </w:rPr>
              <w:t>(609) 642-6670</w:t>
            </w:r>
          </w:p>
        </w:tc>
        <w:tc>
          <w:tcPr>
            <w:tcW w:w="2480" w:type="dxa"/>
            <w:vAlign w:val="bottom"/>
          </w:tcPr>
          <w:p>
            <w:pPr>
              <w:spacing w:after="0"/>
              <w:rPr>
                <w:sz w:val="17"/>
                <w:szCs w:val="17"/>
                <w:color w:val="auto"/>
              </w:rPr>
            </w:pPr>
          </w:p>
        </w:tc>
      </w:tr>
    </w:tbl>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139065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David H. Mack, Ph.D.</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8 Clarke Drive, Suite 3</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Cranbury, NJ 08512</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(609) 642-6670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7" w:lineRule="exact"/>
        <w:rPr>
          <w:sz w:val="24"/>
          <w:szCs w:val="24"/>
          <w:color w:val="auto"/>
        </w:rPr>
      </w:pPr>
    </w:p>
    <w:tbl>
      <w:tblPr>
        <w:tblLayout w:type="fixed"/>
        <w:tblInd w:w="700" w:type="dxa"/>
        <w:tblCellMar>
          <w:top w:w="0" w:type="dxa"/>
          <w:left w:w="0" w:type="dxa"/>
          <w:bottom w:w="0" w:type="dxa"/>
          <w:right w:w="0" w:type="dxa"/>
        </w:tblCellMar>
      </w:tblPr>
      <w:tr>
        <w:trPr>
          <w:trHeight w:val="200"/>
        </w:trPr>
        <w:tc>
          <w:tcPr>
            <w:tcW w:w="3500" w:type="dxa"/>
            <w:vAlign w:val="bottom"/>
          </w:tcPr>
          <w:p>
            <w:pPr>
              <w:spacing w:after="0"/>
              <w:rPr>
                <w:sz w:val="17"/>
                <w:szCs w:val="17"/>
                <w:color w:val="auto"/>
              </w:rPr>
            </w:pPr>
          </w:p>
        </w:tc>
        <w:tc>
          <w:tcPr>
            <w:tcW w:w="3640" w:type="dxa"/>
            <w:vAlign w:val="bottom"/>
          </w:tcPr>
          <w:p>
            <w:pPr>
              <w:ind w:left="1080"/>
              <w:spacing w:after="0"/>
              <w:rPr>
                <w:sz w:val="20"/>
                <w:szCs w:val="20"/>
                <w:color w:val="auto"/>
              </w:rPr>
            </w:pPr>
            <w:r>
              <w:rPr>
                <w:rFonts w:ascii="Arial" w:cs="Arial" w:eastAsia="Arial" w:hAnsi="Arial"/>
                <w:sz w:val="14"/>
                <w:szCs w:val="14"/>
                <w:b w:val="1"/>
                <w:bCs w:val="1"/>
                <w:i w:val="1"/>
                <w:iCs w:val="1"/>
                <w:color w:val="auto"/>
              </w:rPr>
              <w:t>Copies to:</w:t>
            </w:r>
          </w:p>
        </w:tc>
        <w:tc>
          <w:tcPr>
            <w:tcW w:w="2480" w:type="dxa"/>
            <w:vAlign w:val="bottom"/>
          </w:tcPr>
          <w:p>
            <w:pPr>
              <w:spacing w:after="0"/>
              <w:rPr>
                <w:sz w:val="17"/>
                <w:szCs w:val="17"/>
                <w:color w:val="auto"/>
              </w:rPr>
            </w:pPr>
          </w:p>
        </w:tc>
      </w:tr>
      <w:tr>
        <w:trPr>
          <w:trHeight w:val="203"/>
        </w:trPr>
        <w:tc>
          <w:tcPr>
            <w:tcW w:w="3500" w:type="dxa"/>
            <w:vAlign w:val="bottom"/>
          </w:tcPr>
          <w:p>
            <w:pPr>
              <w:jc w:val="center"/>
              <w:ind w:right="748"/>
              <w:spacing w:after="0"/>
              <w:rPr>
                <w:sz w:val="20"/>
                <w:szCs w:val="20"/>
                <w:color w:val="auto"/>
              </w:rPr>
            </w:pPr>
            <w:r>
              <w:rPr>
                <w:rFonts w:ascii="Arial" w:cs="Arial" w:eastAsia="Arial" w:hAnsi="Arial"/>
                <w:sz w:val="14"/>
                <w:szCs w:val="14"/>
                <w:b w:val="1"/>
                <w:bCs w:val="1"/>
                <w:color w:val="auto"/>
              </w:rPr>
              <w:t>Kenneth A. Clark</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Winston Kung</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Brian Cuneo</w:t>
            </w:r>
          </w:p>
        </w:tc>
      </w:tr>
      <w:tr>
        <w:trPr>
          <w:trHeight w:val="162"/>
        </w:trPr>
        <w:tc>
          <w:tcPr>
            <w:tcW w:w="3500" w:type="dxa"/>
            <w:vAlign w:val="bottom"/>
          </w:tcPr>
          <w:p>
            <w:pPr>
              <w:jc w:val="center"/>
              <w:ind w:right="748"/>
              <w:spacing w:after="0"/>
              <w:rPr>
                <w:sz w:val="20"/>
                <w:szCs w:val="20"/>
                <w:color w:val="auto"/>
              </w:rPr>
            </w:pPr>
            <w:r>
              <w:rPr>
                <w:rFonts w:ascii="Arial" w:cs="Arial" w:eastAsia="Arial" w:hAnsi="Arial"/>
                <w:sz w:val="14"/>
                <w:szCs w:val="14"/>
                <w:b w:val="1"/>
                <w:bCs w:val="1"/>
                <w:color w:val="auto"/>
              </w:rPr>
              <w:t>Tony Jeffries</w:t>
            </w:r>
          </w:p>
        </w:tc>
        <w:tc>
          <w:tcPr>
            <w:tcW w:w="3640" w:type="dxa"/>
            <w:vAlign w:val="bottom"/>
          </w:tcPr>
          <w:p>
            <w:pPr>
              <w:jc w:val="center"/>
              <w:ind w:right="48"/>
              <w:spacing w:after="0"/>
              <w:rPr>
                <w:sz w:val="20"/>
                <w:szCs w:val="20"/>
                <w:color w:val="auto"/>
              </w:rPr>
            </w:pPr>
            <w:r>
              <w:rPr>
                <w:rFonts w:ascii="Arial" w:cs="Arial" w:eastAsia="Arial" w:hAnsi="Arial"/>
                <w:sz w:val="14"/>
                <w:szCs w:val="14"/>
                <w:b w:val="1"/>
                <w:bCs w:val="1"/>
                <w:color w:val="auto"/>
              </w:rPr>
              <w:t>Chief Operating Officer and</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Nathan Ajiashvili</w:t>
            </w:r>
          </w:p>
        </w:tc>
      </w:tr>
      <w:tr>
        <w:trPr>
          <w:trHeight w:val="162"/>
        </w:trPr>
        <w:tc>
          <w:tcPr>
            <w:tcW w:w="3500" w:type="dxa"/>
            <w:vAlign w:val="bottom"/>
          </w:tcPr>
          <w:p>
            <w:pPr>
              <w:jc w:val="center"/>
              <w:ind w:right="728"/>
              <w:spacing w:after="0"/>
              <w:rPr>
                <w:sz w:val="20"/>
                <w:szCs w:val="20"/>
                <w:color w:val="auto"/>
              </w:rPr>
            </w:pPr>
            <w:r>
              <w:rPr>
                <w:rFonts w:ascii="Arial" w:cs="Arial" w:eastAsia="Arial" w:hAnsi="Arial"/>
                <w:sz w:val="14"/>
                <w:szCs w:val="14"/>
                <w:b w:val="1"/>
                <w:bCs w:val="1"/>
                <w:color w:val="auto"/>
              </w:rPr>
              <w:t>Megan J. Baier</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Chief Financial Officer</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Latham &amp; Watkins LLP</w:t>
            </w:r>
          </w:p>
        </w:tc>
      </w:tr>
      <w:tr>
        <w:trPr>
          <w:trHeight w:val="162"/>
        </w:trPr>
        <w:tc>
          <w:tcPr>
            <w:tcW w:w="3500" w:type="dxa"/>
            <w:vAlign w:val="bottom"/>
          </w:tcPr>
          <w:p>
            <w:pPr>
              <w:jc w:val="center"/>
              <w:ind w:right="748"/>
              <w:spacing w:after="0"/>
              <w:rPr>
                <w:sz w:val="20"/>
                <w:szCs w:val="20"/>
                <w:color w:val="auto"/>
              </w:rPr>
            </w:pPr>
            <w:r>
              <w:rPr>
                <w:rFonts w:ascii="Arial" w:cs="Arial" w:eastAsia="Arial" w:hAnsi="Arial"/>
                <w:sz w:val="14"/>
                <w:szCs w:val="14"/>
                <w:b w:val="1"/>
                <w:bCs w:val="1"/>
                <w:color w:val="auto"/>
              </w:rPr>
              <w:t>Wilson Sonsini Goodrich &amp; Rosati, P.C.</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PMV Pharmaceuticals, Inc.</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140 Scott Drive</w:t>
            </w:r>
          </w:p>
        </w:tc>
      </w:tr>
      <w:tr>
        <w:trPr>
          <w:trHeight w:val="162"/>
        </w:trPr>
        <w:tc>
          <w:tcPr>
            <w:tcW w:w="3500" w:type="dxa"/>
            <w:vAlign w:val="bottom"/>
          </w:tcPr>
          <w:p>
            <w:pPr>
              <w:jc w:val="center"/>
              <w:ind w:right="728"/>
              <w:spacing w:after="0"/>
              <w:rPr>
                <w:sz w:val="20"/>
                <w:szCs w:val="20"/>
                <w:color w:val="auto"/>
              </w:rPr>
            </w:pPr>
            <w:r>
              <w:rPr>
                <w:rFonts w:ascii="Arial" w:cs="Arial" w:eastAsia="Arial" w:hAnsi="Arial"/>
                <w:sz w:val="14"/>
                <w:szCs w:val="14"/>
                <w:b w:val="1"/>
                <w:bCs w:val="1"/>
                <w:color w:val="auto"/>
              </w:rPr>
              <w:t>650 Page Mill Road</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8 Clarke Drive, Suite 3</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Menlo Park, CA 94025</w:t>
            </w:r>
          </w:p>
        </w:tc>
      </w:tr>
      <w:tr>
        <w:trPr>
          <w:trHeight w:val="162"/>
        </w:trPr>
        <w:tc>
          <w:tcPr>
            <w:tcW w:w="3500" w:type="dxa"/>
            <w:vAlign w:val="bottom"/>
          </w:tcPr>
          <w:p>
            <w:pPr>
              <w:jc w:val="center"/>
              <w:ind w:right="728"/>
              <w:spacing w:after="0"/>
              <w:rPr>
                <w:sz w:val="20"/>
                <w:szCs w:val="20"/>
                <w:color w:val="auto"/>
              </w:rPr>
            </w:pPr>
            <w:r>
              <w:rPr>
                <w:rFonts w:ascii="Arial" w:cs="Arial" w:eastAsia="Arial" w:hAnsi="Arial"/>
                <w:sz w:val="14"/>
                <w:szCs w:val="14"/>
                <w:b w:val="1"/>
                <w:bCs w:val="1"/>
                <w:color w:val="auto"/>
              </w:rPr>
              <w:t>Palo Alto, CA 94304</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Cranbury, NJ 08512</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(650) 328-4600</w:t>
            </w:r>
          </w:p>
        </w:tc>
      </w:tr>
      <w:tr>
        <w:trPr>
          <w:trHeight w:val="202"/>
        </w:trPr>
        <w:tc>
          <w:tcPr>
            <w:tcW w:w="3500" w:type="dxa"/>
            <w:vAlign w:val="bottom"/>
          </w:tcPr>
          <w:p>
            <w:pPr>
              <w:jc w:val="center"/>
              <w:ind w:right="728"/>
              <w:spacing w:after="0"/>
              <w:rPr>
                <w:sz w:val="20"/>
                <w:szCs w:val="20"/>
                <w:color w:val="auto"/>
              </w:rPr>
            </w:pPr>
            <w:r>
              <w:rPr>
                <w:rFonts w:ascii="Arial" w:cs="Arial" w:eastAsia="Arial" w:hAnsi="Arial"/>
                <w:sz w:val="14"/>
                <w:szCs w:val="14"/>
                <w:b w:val="1"/>
                <w:bCs w:val="1"/>
                <w:color w:val="auto"/>
              </w:rPr>
              <w:t>(650) 493-9300</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(609) 642-6670</w:t>
            </w:r>
          </w:p>
        </w:tc>
        <w:tc>
          <w:tcPr>
            <w:tcW w:w="248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64" w:lineRule="exact"/>
        <w:rPr>
          <w:sz w:val="24"/>
          <w:szCs w:val="24"/>
          <w:color w:val="auto"/>
        </w:rPr>
      </w:pPr>
    </w:p>
    <w:p>
      <w:pPr>
        <w:ind w:left="120" w:right="20" w:firstLine="551"/>
        <w:spacing w:after="0" w:line="184"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37" w:lineRule="exact"/>
        <w:rPr>
          <w:sz w:val="24"/>
          <w:szCs w:val="24"/>
          <w:color w:val="auto"/>
        </w:rPr>
      </w:pPr>
    </w:p>
    <w:p>
      <w:pPr>
        <w:ind w:left="120" w:right="520" w:firstLine="551"/>
        <w:spacing w:after="0" w:line="184"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7" w:lineRule="exact"/>
        <w:rPr>
          <w:sz w:val="24"/>
          <w:szCs w:val="24"/>
          <w:color w:val="auto"/>
        </w:rPr>
      </w:pPr>
    </w:p>
    <w:p>
      <w:pPr>
        <w:ind w:left="120" w:right="400" w:firstLine="551"/>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1" w:lineRule="exact"/>
        <w:rPr>
          <w:sz w:val="24"/>
          <w:szCs w:val="24"/>
          <w:color w:val="auto"/>
        </w:rPr>
      </w:pPr>
    </w:p>
    <w:p>
      <w:pPr>
        <w:ind w:left="120" w:right="400" w:firstLine="551"/>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7" w:lineRule="exact"/>
        <w:rPr>
          <w:sz w:val="24"/>
          <w:szCs w:val="24"/>
          <w:color w:val="auto"/>
        </w:rPr>
      </w:pPr>
    </w:p>
    <w:p>
      <w:pPr>
        <w:ind w:left="120" w:right="300" w:firstLine="551"/>
        <w:spacing w:after="0" w:line="26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120" w:type="dxa"/>
        <w:tblCellMar>
          <w:top w:w="0" w:type="dxa"/>
          <w:left w:w="0" w:type="dxa"/>
          <w:bottom w:w="0" w:type="dxa"/>
          <w:right w:w="0" w:type="dxa"/>
        </w:tblCellMar>
      </w:tblPr>
      <w:tr>
        <w:trPr>
          <w:trHeight w:val="175"/>
        </w:trPr>
        <w:tc>
          <w:tcPr>
            <w:tcW w:w="17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700" w:type="dxa"/>
            <w:vAlign w:val="bottom"/>
          </w:tcPr>
          <w:p>
            <w:pPr>
              <w:spacing w:after="0"/>
              <w:rPr>
                <w:sz w:val="20"/>
                <w:szCs w:val="20"/>
                <w:color w:val="auto"/>
              </w:rPr>
            </w:pPr>
            <w:r>
              <w:rPr>
                <w:rFonts w:ascii="Arial" w:cs="Arial" w:eastAsia="Arial" w:hAnsi="Arial"/>
                <w:sz w:val="14"/>
                <w:szCs w:val="14"/>
                <w:color w:val="auto"/>
              </w:rPr>
              <w:t>Non-accelerated filer</w:t>
            </w:r>
          </w:p>
        </w:tc>
        <w:tc>
          <w:tcPr>
            <w:tcW w:w="35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7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5180" w:type="dxa"/>
            <w:vAlign w:val="bottom"/>
          </w:tcPr>
          <w:p>
            <w:pPr>
              <w:ind w:left="3120"/>
              <w:spacing w:after="0"/>
              <w:rPr>
                <w:sz w:val="20"/>
                <w:szCs w:val="20"/>
                <w:color w:val="auto"/>
              </w:rPr>
            </w:pPr>
            <w:r>
              <w:rPr>
                <w:rFonts w:ascii="Arial" w:cs="Arial" w:eastAsia="Arial" w:hAnsi="Arial"/>
                <w:sz w:val="14"/>
                <w:szCs w:val="14"/>
                <w:color w:val="auto"/>
              </w:rPr>
              <w:t>Emerging growth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7" w:lineRule="exact"/>
        <w:rPr>
          <w:sz w:val="24"/>
          <w:szCs w:val="24"/>
          <w:color w:val="auto"/>
        </w:rPr>
      </w:pPr>
    </w:p>
    <w:p>
      <w:pPr>
        <w:jc w:val="both"/>
        <w:ind w:left="120" w:right="120" w:firstLine="551"/>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77"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080" w:type="dxa"/>
            <w:vAlign w:val="bottom"/>
            <w:tcBorders>
              <w:top w:val="single" w:sz="8" w:color="auto"/>
              <w:bottom w:val="single" w:sz="8" w:color="auto"/>
            </w:tcBorders>
          </w:tcPr>
          <w:p>
            <w:pPr>
              <w:spacing w:after="0"/>
              <w:rPr>
                <w:sz w:val="3"/>
                <w:szCs w:val="3"/>
                <w:color w:val="auto"/>
              </w:rPr>
            </w:pPr>
          </w:p>
        </w:tc>
        <w:tc>
          <w:tcPr>
            <w:tcW w:w="20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127"/>
        </w:trPr>
        <w:tc>
          <w:tcPr>
            <w:tcW w:w="708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jc w:val="center"/>
              <w:ind w:left="9"/>
              <w:spacing w:after="0" w:line="127" w:lineRule="exact"/>
              <w:rPr>
                <w:sz w:val="20"/>
                <w:szCs w:val="20"/>
                <w:color w:val="auto"/>
              </w:rPr>
            </w:pPr>
            <w:r>
              <w:rPr>
                <w:rFonts w:ascii="Arial" w:cs="Arial" w:eastAsia="Arial" w:hAnsi="Arial"/>
                <w:sz w:val="14"/>
                <w:szCs w:val="14"/>
                <w:b w:val="1"/>
                <w:bCs w:val="1"/>
                <w:color w:val="auto"/>
              </w:rPr>
              <w:t>Proposed Maximum</w:t>
            </w:r>
          </w:p>
        </w:tc>
        <w:tc>
          <w:tcPr>
            <w:tcW w:w="1860" w:type="dxa"/>
            <w:vAlign w:val="bottom"/>
          </w:tcPr>
          <w:p>
            <w:pPr>
              <w:spacing w:after="0"/>
              <w:rPr>
                <w:sz w:val="11"/>
                <w:szCs w:val="11"/>
                <w:color w:val="auto"/>
              </w:rPr>
            </w:pPr>
          </w:p>
        </w:tc>
      </w:tr>
      <w:tr>
        <w:trPr>
          <w:trHeight w:val="159"/>
        </w:trPr>
        <w:tc>
          <w:tcPr>
            <w:tcW w:w="70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rPr>
              <w:t>Title of Each Class of</w:t>
            </w:r>
          </w:p>
        </w:tc>
        <w:tc>
          <w:tcPr>
            <w:tcW w:w="2080" w:type="dxa"/>
            <w:vAlign w:val="bottom"/>
            <w:tcBorders>
              <w:right w:val="single" w:sz="8" w:color="auto"/>
            </w:tcBorders>
          </w:tcPr>
          <w:p>
            <w:pPr>
              <w:jc w:val="center"/>
              <w:ind w:left="9"/>
              <w:spacing w:after="0" w:line="159" w:lineRule="exact"/>
              <w:rPr>
                <w:sz w:val="20"/>
                <w:szCs w:val="20"/>
                <w:color w:val="auto"/>
              </w:rPr>
            </w:pPr>
            <w:r>
              <w:rPr>
                <w:rFonts w:ascii="Arial" w:cs="Arial" w:eastAsia="Arial" w:hAnsi="Arial"/>
                <w:sz w:val="14"/>
                <w:szCs w:val="14"/>
                <w:b w:val="1"/>
                <w:bCs w:val="1"/>
                <w:color w:val="auto"/>
              </w:rPr>
              <w:t>Aggregate</w:t>
            </w:r>
          </w:p>
        </w:tc>
        <w:tc>
          <w:tcPr>
            <w:tcW w:w="1860" w:type="dxa"/>
            <w:vAlign w:val="bottom"/>
          </w:tcPr>
          <w:p>
            <w:pPr>
              <w:jc w:val="center"/>
              <w:ind w:left="28"/>
              <w:spacing w:after="0" w:line="159" w:lineRule="exact"/>
              <w:rPr>
                <w:sz w:val="20"/>
                <w:szCs w:val="20"/>
                <w:color w:val="auto"/>
              </w:rPr>
            </w:pPr>
            <w:r>
              <w:rPr>
                <w:rFonts w:ascii="Arial" w:cs="Arial" w:eastAsia="Arial" w:hAnsi="Arial"/>
                <w:sz w:val="14"/>
                <w:szCs w:val="14"/>
                <w:b w:val="1"/>
                <w:bCs w:val="1"/>
                <w:color w:val="auto"/>
              </w:rPr>
              <w:t>Amount of</w:t>
            </w:r>
          </w:p>
        </w:tc>
      </w:tr>
      <w:tr>
        <w:trPr>
          <w:trHeight w:val="194"/>
        </w:trPr>
        <w:tc>
          <w:tcPr>
            <w:tcW w:w="7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to be Registered</w:t>
            </w:r>
          </w:p>
        </w:tc>
        <w:tc>
          <w:tcPr>
            <w:tcW w:w="2080" w:type="dxa"/>
            <w:vAlign w:val="bottom"/>
            <w:tcBorders>
              <w:bottom w:val="single" w:sz="8" w:color="auto"/>
              <w:right w:val="single" w:sz="8" w:color="auto"/>
            </w:tcBorders>
          </w:tcPr>
          <w:p>
            <w:pPr>
              <w:jc w:val="center"/>
              <w:ind w:left="9"/>
              <w:spacing w:after="0" w:line="194" w:lineRule="exact"/>
              <w:rPr>
                <w:sz w:val="20"/>
                <w:szCs w:val="20"/>
                <w:color w:val="auto"/>
              </w:rPr>
            </w:pPr>
            <w:r>
              <w:rPr>
                <w:rFonts w:ascii="Arial" w:cs="Arial" w:eastAsia="Arial" w:hAnsi="Arial"/>
                <w:sz w:val="13"/>
                <w:szCs w:val="13"/>
                <w:b w:val="1"/>
                <w:bCs w:val="1"/>
                <w:color w:val="auto"/>
              </w:rPr>
              <w:t>Offering Price</w:t>
            </w:r>
            <w:r>
              <w:rPr>
                <w:rFonts w:ascii="Arial" w:cs="Arial" w:eastAsia="Arial" w:hAnsi="Arial"/>
                <w:sz w:val="22"/>
                <w:szCs w:val="22"/>
                <w:b w:val="1"/>
                <w:bCs w:val="1"/>
                <w:color w:val="auto"/>
                <w:vertAlign w:val="superscript"/>
              </w:rPr>
              <w:t>(1)(2)</w:t>
            </w:r>
          </w:p>
        </w:tc>
        <w:tc>
          <w:tcPr>
            <w:tcW w:w="18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Registration Fee</w:t>
            </w:r>
          </w:p>
        </w:tc>
      </w:tr>
      <w:tr>
        <w:trPr>
          <w:trHeight w:val="156"/>
        </w:trPr>
        <w:tc>
          <w:tcPr>
            <w:tcW w:w="708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Common Stock $0.00001 par value per share</w:t>
            </w:r>
          </w:p>
        </w:tc>
        <w:tc>
          <w:tcPr>
            <w:tcW w:w="2080" w:type="dxa"/>
            <w:vAlign w:val="bottom"/>
            <w:tcBorders>
              <w:bottom w:val="single" w:sz="8" w:color="auto"/>
              <w:right w:val="single" w:sz="8" w:color="auto"/>
            </w:tcBorders>
          </w:tcPr>
          <w:p>
            <w:pPr>
              <w:jc w:val="right"/>
              <w:ind w:right="1129"/>
              <w:spacing w:after="0" w:line="155" w:lineRule="exact"/>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ind w:right="1008"/>
              <w:spacing w:after="0" w:line="155" w:lineRule="exact"/>
              <w:rPr>
                <w:sz w:val="20"/>
                <w:szCs w:val="20"/>
                <w:color w:val="auto"/>
              </w:rPr>
            </w:pPr>
            <w:r>
              <w:rPr>
                <w:rFonts w:ascii="Arial" w:cs="Arial" w:eastAsia="Arial" w:hAnsi="Arial"/>
                <w:sz w:val="14"/>
                <w:szCs w:val="14"/>
                <w:color w:val="auto"/>
              </w:rPr>
              <w:t>$</w:t>
            </w:r>
          </w:p>
        </w:tc>
      </w:tr>
      <w:tr>
        <w:trPr>
          <w:trHeight w:val="20"/>
        </w:trPr>
        <w:tc>
          <w:tcPr>
            <w:tcW w:w="7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ind w:left="660" w:hanging="544"/>
        <w:spacing w:after="0" w:line="188" w:lineRule="auto"/>
        <w:tabs>
          <w:tab w:leader="none" w:pos="660" w:val="left"/>
        </w:tabs>
        <w:numPr>
          <w:ilvl w:val="0"/>
          <w:numId w:val="1"/>
        </w:numPr>
        <w:rPr>
          <w:rFonts w:ascii="Arial" w:cs="Arial" w:eastAsia="Arial" w:hAnsi="Arial"/>
          <w:sz w:val="20"/>
          <w:szCs w:val="20"/>
          <w:color w:val="auto"/>
          <w:vertAlign w:val="superscript"/>
        </w:rPr>
      </w:pPr>
      <w:r>
        <w:rPr>
          <w:rFonts w:ascii="Arial" w:cs="Arial" w:eastAsia="Arial" w:hAnsi="Arial"/>
          <w:sz w:val="12"/>
          <w:szCs w:val="12"/>
          <w:color w:val="auto"/>
        </w:rPr>
        <w:t>Includes offering price of any additional shares of common stock that the underwriters have the option to purchase.</w:t>
      </w:r>
    </w:p>
    <w:p>
      <w:pPr>
        <w:ind w:left="660" w:hanging="544"/>
        <w:spacing w:after="0" w:line="183" w:lineRule="auto"/>
        <w:tabs>
          <w:tab w:leader="none" w:pos="660" w:val="left"/>
        </w:tabs>
        <w:numPr>
          <w:ilvl w:val="0"/>
          <w:numId w:val="1"/>
        </w:numPr>
        <w:rPr>
          <w:rFonts w:ascii="Arial" w:cs="Arial" w:eastAsia="Arial" w:hAnsi="Arial"/>
          <w:sz w:val="20"/>
          <w:szCs w:val="20"/>
          <w:color w:val="auto"/>
          <w:vertAlign w:val="superscript"/>
        </w:rPr>
      </w:pPr>
      <w:r>
        <w:rPr>
          <w:rFonts w:ascii="Arial" w:cs="Arial" w:eastAsia="Arial" w:hAnsi="Arial"/>
          <w:sz w:val="12"/>
          <w:szCs w:val="12"/>
          <w:color w:val="auto"/>
        </w:rPr>
        <w:t>Estimated solely for the purpose of calculating the registration fee pursuant to Rule 457(o)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133985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1" w:lineRule="exact"/>
        <w:rPr>
          <w:sz w:val="24"/>
          <w:szCs w:val="24"/>
          <w:color w:val="auto"/>
        </w:rPr>
      </w:pPr>
    </w:p>
    <w:p>
      <w:pPr>
        <w:ind w:left="120" w:right="140" w:firstLine="551"/>
        <w:spacing w:after="0" w:line="261"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6" w:right="439" w:bottom="626"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Explanatory Note</w:t>
      </w:r>
    </w:p>
    <w:p>
      <w:pPr>
        <w:spacing w:after="0" w:line="21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Pursuant to the applicable provisions of the Fixing America’s Surface Transportation Act, we are omitting our unaudited financial statements as of and for the three months ended March 31, 2019 and 2020 because they relate to historical periods that we believe will not be required to be included in the prospectus at the time of the contemplated offering. We intend to amend the registration statement to include all financial information required by Regulation S-X at the date of such amendment before distributing a preliminary prospectus to investors.</w:t>
      </w:r>
    </w:p>
    <w:p>
      <w:pPr>
        <w:sectPr>
          <w:pgSz w:w="11900" w:h="16838" w:orient="portrait"/>
          <w:cols w:equalWidth="0" w:num="1">
            <w:col w:w="11080"/>
          </w:cols>
          <w:pgMar w:left="320" w:top="455" w:right="4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12" w:lineRule="exact"/>
        <w:rPr>
          <w:sz w:val="20"/>
          <w:szCs w:val="20"/>
          <w:color w:val="auto"/>
        </w:rPr>
      </w:pPr>
    </w:p>
    <w:tbl>
      <w:tblPr>
        <w:tblLayout w:type="fixed"/>
        <w:tblInd w:w="3420" w:type="dxa"/>
        <w:tblCellMar>
          <w:top w:w="0" w:type="dxa"/>
          <w:left w:w="0" w:type="dxa"/>
          <w:bottom w:w="0" w:type="dxa"/>
          <w:right w:w="0" w:type="dxa"/>
        </w:tblCellMar>
      </w:tblPr>
      <w:tr>
        <w:trPr>
          <w:trHeight w:val="253"/>
        </w:trPr>
        <w:tc>
          <w:tcPr>
            <w:tcW w:w="3500" w:type="dxa"/>
            <w:vAlign w:val="bottom"/>
          </w:tcPr>
          <w:p>
            <w:pPr>
              <w:spacing w:after="0"/>
              <w:rPr>
                <w:sz w:val="20"/>
                <w:szCs w:val="20"/>
                <w:color w:val="auto"/>
              </w:rPr>
            </w:pPr>
            <w:r>
              <w:rPr>
                <w:rFonts w:ascii="Arial" w:cs="Arial" w:eastAsia="Arial" w:hAnsi="Arial"/>
                <w:sz w:val="18"/>
                <w:szCs w:val="18"/>
                <w:b w:val="1"/>
                <w:bCs w:val="1"/>
                <w:color w:val="CC062A"/>
              </w:rPr>
              <w:t>SUBJECT TO COMPLETION, DATED</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CC062A"/>
              </w:rPr>
              <w:t>, 2020</w:t>
            </w:r>
          </w:p>
        </w:tc>
      </w:tr>
    </w:tbl>
    <w:p>
      <w:pPr>
        <w:spacing w:after="0" w:line="160" w:lineRule="exact"/>
        <w:rPr>
          <w:sz w:val="20"/>
          <w:szCs w:val="20"/>
          <w:color w:val="auto"/>
        </w:rPr>
      </w:pPr>
    </w:p>
    <w:p>
      <w:pPr>
        <w:ind w:left="568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179705</wp:posOffset>
            </wp:positionV>
            <wp:extent cx="3394710" cy="659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9471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257175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This is an initial public offering of shares of common stock of PMV Pharmaceuticals, Inc. All of the are being sold by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w:t>
      </w:r>
    </w:p>
    <w:p>
      <w:pPr>
        <w:spacing w:after="0" w:line="414" w:lineRule="exact"/>
        <w:rPr>
          <w:sz w:val="20"/>
          <w:szCs w:val="20"/>
          <w:color w:val="auto"/>
        </w:rPr>
      </w:pPr>
    </w:p>
    <w:p>
      <w:pPr>
        <w:sectPr>
          <w:pgSz w:w="11900" w:h="16838" w:orient="portrait"/>
          <w:cols w:equalWidth="0" w:num="2">
            <w:col w:w="8420" w:space="700"/>
            <w:col w:w="2020"/>
          </w:cols>
          <w:pgMar w:left="320" w:top="455" w:right="43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Prior to this offering, there has been no public market for our common stock. We estimate that the initial public offering price of our</w:t>
      </w:r>
    </w:p>
    <w:p>
      <w:pPr>
        <w:spacing w:after="0" w:line="18" w:lineRule="exact"/>
        <w:rPr>
          <w:sz w:val="20"/>
          <w:szCs w:val="20"/>
          <w:color w:val="auto"/>
        </w:rPr>
      </w:pPr>
    </w:p>
    <w:p>
      <w:pPr>
        <w:ind w:left="120" w:right="560"/>
        <w:spacing w:after="0" w:line="250" w:lineRule="auto"/>
        <w:rPr>
          <w:sz w:val="20"/>
          <w:szCs w:val="20"/>
          <w:color w:val="auto"/>
        </w:rPr>
      </w:pPr>
      <w:r>
        <w:rPr>
          <w:rFonts w:ascii="Arial" w:cs="Arial" w:eastAsia="Arial" w:hAnsi="Arial"/>
          <w:sz w:val="18"/>
          <w:szCs w:val="18"/>
          <w:color w:val="auto"/>
        </w:rPr>
        <w:t>common stock will be between $ and $ per share. We intend to apply to list our common stock on the Nasdaq Global Market under the symbol “PMVP.”</w:t>
      </w:r>
    </w:p>
    <w:p>
      <w:pPr>
        <w:spacing w:after="0" w:line="168" w:lineRule="exact"/>
        <w:rPr>
          <w:sz w:val="20"/>
          <w:szCs w:val="20"/>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reporting requirements for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192405</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120" w:right="40" w:firstLine="551"/>
        <w:spacing w:after="0" w:line="274" w:lineRule="auto"/>
        <w:rPr>
          <w:rFonts w:ascii="Arial" w:cs="Arial" w:eastAsia="Arial" w:hAnsi="Arial"/>
          <w:sz w:val="18"/>
          <w:szCs w:val="18"/>
          <w:i w:val="1"/>
          <w:iCs w:val="1"/>
          <w:color w:val="auto"/>
        </w:rPr>
      </w:pPr>
      <w:r>
        <w:rPr>
          <w:rFonts w:ascii="Arial" w:cs="Arial" w:eastAsia="Arial" w:hAnsi="Arial"/>
          <w:sz w:val="18"/>
          <w:szCs w:val="18"/>
          <w:i w:val="1"/>
          <w:iCs w:val="1"/>
          <w:color w:val="auto"/>
        </w:rPr>
        <w:t>Investing in our common stock involves a high degree of risk. Before buying any shares, you should read carefully the discussion of the material risks of investing in our common stock under the heading “</w:t>
      </w:r>
      <w:hyperlink w:anchor="page20">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starting on page 15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193040</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left="120" w:right="220" w:firstLine="551"/>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204470</wp:posOffset>
            </wp:positionV>
            <wp:extent cx="147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6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6"/>
              </w:rPr>
              <w:t>Per Share</w:t>
            </w:r>
          </w:p>
        </w:tc>
        <w:tc>
          <w:tcPr>
            <w:tcW w:w="460" w:type="dxa"/>
            <w:vAlign w:val="bottom"/>
          </w:tcPr>
          <w:p>
            <w:pPr>
              <w:spacing w:after="0"/>
              <w:rPr>
                <w:sz w:val="19"/>
                <w:szCs w:val="19"/>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Total</w:t>
            </w: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Initial public offering price</w:t>
            </w:r>
          </w:p>
        </w:tc>
        <w:tc>
          <w:tcPr>
            <w:tcW w:w="27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3560" w:type="dxa"/>
            <w:vAlign w:val="bottom"/>
            <w:gridSpan w:val="2"/>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us</w:t>
            </w:r>
          </w:p>
        </w:tc>
        <w:tc>
          <w:tcPr>
            <w:tcW w:w="3560" w:type="dxa"/>
            <w:vAlign w:val="bottom"/>
            <w:gridSpan w:val="2"/>
            <w:shd w:val="clear" w:color="auto" w:fill="CCEEFF"/>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4" w:lineRule="exact"/>
        <w:rPr>
          <w:sz w:val="20"/>
          <w:szCs w:val="20"/>
          <w:color w:val="auto"/>
        </w:rPr>
      </w:pPr>
    </w:p>
    <w:p>
      <w:pPr>
        <w:ind w:left="540" w:hanging="424"/>
        <w:spacing w:after="0"/>
        <w:tabs>
          <w:tab w:leader="none" w:pos="540"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See the section titled “Underwriting” beginning on page 194 for additional information regarding compensation payable to the underwriters.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940" w:type="dxa"/>
            <w:vAlign w:val="bottom"/>
            <w:gridSpan w:val="6"/>
          </w:tcPr>
          <w:p>
            <w:pPr>
              <w:ind w:left="540"/>
              <w:spacing w:after="0"/>
              <w:rPr>
                <w:sz w:val="20"/>
                <w:szCs w:val="20"/>
                <w:color w:val="auto"/>
              </w:rPr>
            </w:pPr>
            <w:r>
              <w:rPr>
                <w:rFonts w:ascii="Arial" w:cs="Arial" w:eastAsia="Arial" w:hAnsi="Arial"/>
                <w:sz w:val="18"/>
                <w:szCs w:val="18"/>
                <w:color w:val="auto"/>
              </w:rPr>
              <w:t>We have granted the underwriters an option for a period of 30 days to purchase up to an additional</w:t>
            </w:r>
          </w:p>
        </w:tc>
        <w:tc>
          <w:tcPr>
            <w:tcW w:w="2080" w:type="dxa"/>
            <w:vAlign w:val="bottom"/>
          </w:tcPr>
          <w:p>
            <w:pPr>
              <w:ind w:left="160"/>
              <w:spacing w:after="0"/>
              <w:rPr>
                <w:sz w:val="20"/>
                <w:szCs w:val="20"/>
                <w:color w:val="auto"/>
              </w:rPr>
            </w:pPr>
            <w:r>
              <w:rPr>
                <w:rFonts w:ascii="Arial" w:cs="Arial" w:eastAsia="Arial" w:hAnsi="Arial"/>
                <w:sz w:val="18"/>
                <w:szCs w:val="18"/>
                <w:color w:val="auto"/>
              </w:rPr>
              <w:t>shares of common</w:t>
            </w:r>
          </w:p>
        </w:tc>
      </w:tr>
      <w:tr>
        <w:trPr>
          <w:trHeight w:val="243"/>
        </w:trPr>
        <w:tc>
          <w:tcPr>
            <w:tcW w:w="7840" w:type="dxa"/>
            <w:vAlign w:val="bottom"/>
            <w:gridSpan w:val="5"/>
          </w:tcPr>
          <w:p>
            <w:pPr>
              <w:spacing w:after="0"/>
              <w:rPr>
                <w:sz w:val="20"/>
                <w:szCs w:val="20"/>
                <w:color w:val="auto"/>
              </w:rPr>
            </w:pPr>
            <w:r>
              <w:rPr>
                <w:rFonts w:ascii="Arial" w:cs="Arial" w:eastAsia="Arial" w:hAnsi="Arial"/>
                <w:sz w:val="18"/>
                <w:szCs w:val="18"/>
                <w:color w:val="auto"/>
              </w:rPr>
              <w:t>stock from us at the initial public offering price, less the underwriting discounts and commissions.</w:t>
            </w:r>
          </w:p>
        </w:tc>
        <w:tc>
          <w:tcPr>
            <w:tcW w:w="110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418"/>
        </w:trPr>
        <w:tc>
          <w:tcPr>
            <w:tcW w:w="7840" w:type="dxa"/>
            <w:vAlign w:val="bottom"/>
            <w:gridSpan w:val="5"/>
          </w:tcPr>
          <w:p>
            <w:pPr>
              <w:ind w:left="540"/>
              <w:spacing w:after="0"/>
              <w:rPr>
                <w:sz w:val="20"/>
                <w:szCs w:val="20"/>
                <w:color w:val="auto"/>
              </w:rPr>
            </w:pPr>
            <w:r>
              <w:rPr>
                <w:rFonts w:ascii="Arial" w:cs="Arial" w:eastAsia="Arial" w:hAnsi="Arial"/>
                <w:sz w:val="18"/>
                <w:szCs w:val="18"/>
                <w:color w:val="auto"/>
              </w:rPr>
              <w:t>The underwriters expect to deliver the shares against payment in New York, New York on</w:t>
            </w: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 2020.</w:t>
            </w:r>
          </w:p>
        </w:tc>
        <w:tc>
          <w:tcPr>
            <w:tcW w:w="2080" w:type="dxa"/>
            <w:vAlign w:val="bottom"/>
          </w:tcPr>
          <w:p>
            <w:pPr>
              <w:spacing w:after="0"/>
              <w:rPr>
                <w:sz w:val="24"/>
                <w:szCs w:val="24"/>
                <w:color w:val="auto"/>
              </w:rPr>
            </w:pPr>
          </w:p>
        </w:tc>
      </w:tr>
      <w:tr>
        <w:trPr>
          <w:trHeight w:val="528"/>
        </w:trPr>
        <w:tc>
          <w:tcPr>
            <w:tcW w:w="3480" w:type="dxa"/>
            <w:vAlign w:val="bottom"/>
          </w:tcPr>
          <w:p>
            <w:pPr>
              <w:spacing w:after="0"/>
              <w:rPr>
                <w:sz w:val="20"/>
                <w:szCs w:val="20"/>
                <w:color w:val="auto"/>
              </w:rPr>
            </w:pPr>
            <w:r>
              <w:rPr>
                <w:rFonts w:ascii="Arial" w:cs="Arial" w:eastAsia="Arial" w:hAnsi="Arial"/>
                <w:sz w:val="23"/>
                <w:szCs w:val="23"/>
                <w:b w:val="1"/>
                <w:bCs w:val="1"/>
                <w:color w:val="auto"/>
              </w:rPr>
              <w:t>Goldman Sachs &amp; Co. LLC</w:t>
            </w:r>
          </w:p>
        </w:tc>
        <w:tc>
          <w:tcPr>
            <w:tcW w:w="860" w:type="dxa"/>
            <w:vAlign w:val="bottom"/>
          </w:tcPr>
          <w:p>
            <w:pPr>
              <w:spacing w:after="0"/>
              <w:rPr>
                <w:sz w:val="24"/>
                <w:szCs w:val="24"/>
                <w:color w:val="auto"/>
              </w:rPr>
            </w:pPr>
          </w:p>
        </w:tc>
        <w:tc>
          <w:tcPr>
            <w:tcW w:w="3500" w:type="dxa"/>
            <w:vAlign w:val="bottom"/>
            <w:gridSpan w:val="3"/>
          </w:tcPr>
          <w:p>
            <w:pPr>
              <w:jc w:val="right"/>
              <w:ind w:right="1100"/>
              <w:spacing w:after="0"/>
              <w:rPr>
                <w:sz w:val="20"/>
                <w:szCs w:val="20"/>
                <w:color w:val="auto"/>
              </w:rPr>
            </w:pPr>
            <w:r>
              <w:rPr>
                <w:rFonts w:ascii="Arial" w:cs="Arial" w:eastAsia="Arial" w:hAnsi="Arial"/>
                <w:sz w:val="23"/>
                <w:szCs w:val="23"/>
                <w:b w:val="1"/>
                <w:bCs w:val="1"/>
                <w:color w:val="auto"/>
              </w:rPr>
              <w:t>BofA Securities</w:t>
            </w:r>
          </w:p>
        </w:tc>
        <w:tc>
          <w:tcPr>
            <w:tcW w:w="1100" w:type="dxa"/>
            <w:vAlign w:val="bottom"/>
          </w:tcPr>
          <w:p>
            <w:pPr>
              <w:jc w:val="right"/>
              <w:ind w:right="57"/>
              <w:spacing w:after="0"/>
              <w:rPr>
                <w:sz w:val="20"/>
                <w:szCs w:val="20"/>
                <w:color w:val="auto"/>
              </w:rPr>
            </w:pPr>
            <w:r>
              <w:rPr>
                <w:rFonts w:ascii="Arial" w:cs="Arial" w:eastAsia="Arial" w:hAnsi="Arial"/>
                <w:sz w:val="23"/>
                <w:szCs w:val="23"/>
                <w:b w:val="1"/>
                <w:bCs w:val="1"/>
                <w:color w:val="auto"/>
              </w:rPr>
              <w:t>Cowen</w:t>
            </w:r>
          </w:p>
        </w:tc>
        <w:tc>
          <w:tcPr>
            <w:tcW w:w="2080" w:type="dxa"/>
            <w:vAlign w:val="bottom"/>
          </w:tcPr>
          <w:p>
            <w:pPr>
              <w:ind w:left="720"/>
              <w:spacing w:after="0"/>
              <w:rPr>
                <w:sz w:val="20"/>
                <w:szCs w:val="20"/>
                <w:color w:val="auto"/>
              </w:rPr>
            </w:pPr>
            <w:r>
              <w:rPr>
                <w:rFonts w:ascii="Arial" w:cs="Arial" w:eastAsia="Arial" w:hAnsi="Arial"/>
                <w:sz w:val="23"/>
                <w:szCs w:val="23"/>
                <w:b w:val="1"/>
                <w:bCs w:val="1"/>
                <w:color w:val="auto"/>
              </w:rPr>
              <w:t>Evercore ISI</w:t>
            </w:r>
          </w:p>
        </w:tc>
      </w:tr>
      <w:tr>
        <w:trPr>
          <w:trHeight w:val="332"/>
        </w:trPr>
        <w:tc>
          <w:tcPr>
            <w:tcW w:w="3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29"/>
        </w:trPr>
        <w:tc>
          <w:tcPr>
            <w:tcW w:w="3480" w:type="dxa"/>
            <w:vAlign w:val="bottom"/>
          </w:tcPr>
          <w:p>
            <w:pPr>
              <w:spacing w:after="0"/>
              <w:rPr>
                <w:sz w:val="24"/>
                <w:szCs w:val="24"/>
                <w:color w:val="auto"/>
              </w:rPr>
            </w:pPr>
          </w:p>
        </w:tc>
        <w:tc>
          <w:tcPr>
            <w:tcW w:w="2440" w:type="dxa"/>
            <w:vAlign w:val="bottom"/>
            <w:gridSpan w:val="2"/>
          </w:tcPr>
          <w:p>
            <w:pPr>
              <w:ind w:left="520"/>
              <w:spacing w:after="0"/>
              <w:rPr>
                <w:sz w:val="20"/>
                <w:szCs w:val="20"/>
                <w:color w:val="auto"/>
              </w:rPr>
            </w:pPr>
            <w:r>
              <w:rPr>
                <w:rFonts w:ascii="Arial" w:cs="Arial" w:eastAsia="Arial" w:hAnsi="Arial"/>
                <w:sz w:val="18"/>
                <w:szCs w:val="18"/>
                <w:color w:val="auto"/>
              </w:rPr>
              <w:t>Prospectus dated</w:t>
            </w:r>
          </w:p>
        </w:tc>
        <w:tc>
          <w:tcPr>
            <w:tcW w:w="1920" w:type="dxa"/>
            <w:vAlign w:val="bottom"/>
            <w:gridSpan w:val="2"/>
          </w:tcPr>
          <w:p>
            <w:pPr>
              <w:jc w:val="right"/>
              <w:ind w:right="840"/>
              <w:spacing w:after="0"/>
              <w:rPr>
                <w:sz w:val="20"/>
                <w:szCs w:val="20"/>
                <w:color w:val="auto"/>
              </w:rPr>
            </w:pPr>
            <w:r>
              <w:rPr>
                <w:rFonts w:ascii="Arial" w:cs="Arial" w:eastAsia="Arial" w:hAnsi="Arial"/>
                <w:sz w:val="18"/>
                <w:szCs w:val="18"/>
                <w:color w:val="auto"/>
              </w:rPr>
              <w:t>, 2020.</w:t>
            </w:r>
          </w:p>
        </w:tc>
        <w:tc>
          <w:tcPr>
            <w:tcW w:w="110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TABLE OF CONTENTS</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3420" w:type="dxa"/>
            <w:vAlign w:val="bottom"/>
            <w:vMerge w:val="restart"/>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SUMMARY</w:t>
              </w:r>
            </w:hyperlink>
          </w:p>
        </w:tc>
        <w:tc>
          <w:tcPr>
            <w:tcW w:w="9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3"/>
        </w:trPr>
        <w:tc>
          <w:tcPr>
            <w:tcW w:w="342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THE OFFERING</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RISK FACTORS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10560" w:type="dxa"/>
            <w:vAlign w:val="bottom"/>
            <w:gridSpan w:val="4"/>
          </w:tcPr>
          <w:p>
            <w:pPr>
              <w:spacing w:after="0" w:line="202" w:lineRule="exact"/>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SPECIAL NOTE REGARDING FORWARD-LOOKING STATEMENTS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USE OF PROCEEDS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DIVIDEND POLICY</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CAPITALIZATION</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DILUTION</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SELECTED FINANCIAL DATA</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10560" w:type="dxa"/>
            <w:vAlign w:val="bottom"/>
            <w:gridSpan w:val="4"/>
          </w:tcPr>
          <w:p>
            <w:pPr>
              <w:spacing w:after="0" w:line="202" w:lineRule="exact"/>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MANAGEMENT’S DISCUSSION AND ANALYSIS OF FINANCIAL CONDITION AND RESULTS OF OPERATIONS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BUSINESS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MANAGEMENT</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EXECUTIVE COMPENSATION</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3"/>
        </w:trPr>
        <w:tc>
          <w:tcPr>
            <w:tcW w:w="10560" w:type="dxa"/>
            <w:vAlign w:val="bottom"/>
            <w:gridSpan w:val="4"/>
          </w:tcPr>
          <w:p>
            <w:pPr>
              <w:spacing w:after="0" w:line="202" w:lineRule="exact"/>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CERTAIN RELATIONSHIPS AND RELATED PARTY TRANSACTIONS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PRINCIPAL STOCKHOLDERS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DESCRIPTION OF CAPITAL STOCK</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SHARES ELIGIBLE FOR FUTURE SALE</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3"/>
        </w:trPr>
        <w:tc>
          <w:tcPr>
            <w:tcW w:w="10560" w:type="dxa"/>
            <w:vAlign w:val="bottom"/>
            <w:gridSpan w:val="4"/>
          </w:tcPr>
          <w:p>
            <w:pPr>
              <w:spacing w:after="0" w:line="202" w:lineRule="exact"/>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MATERIAL U.S. FEDERAL INCOME TAX CONSEQUENCES FOR NON-U.S. HOLDERS OF OUR COMMON STOCK</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UNDERWRITING</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LEGAL MATTERS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EXPERTS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3"/>
        </w:trPr>
        <w:tc>
          <w:tcPr>
            <w:tcW w:w="10560" w:type="dxa"/>
            <w:vAlign w:val="bottom"/>
            <w:gridSpan w:val="4"/>
          </w:tcPr>
          <w:p>
            <w:pPr>
              <w:spacing w:after="0" w:line="202" w:lineRule="exact"/>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WHERE YOU CAN FIND ADDITIONAL INFORMATION</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3420" w:type="dxa"/>
            <w:vAlign w:val="bottom"/>
          </w:tcPr>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INDEX TO FINANCIAL STATEMENTS</w:t>
              </w:r>
            </w:hyperlink>
          </w:p>
        </w:tc>
        <w:tc>
          <w:tcPr>
            <w:tcW w:w="9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47"/>
        </w:trPr>
        <w:tc>
          <w:tcPr>
            <w:tcW w:w="3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420" w:type="dxa"/>
            <w:vAlign w:val="bottom"/>
          </w:tcPr>
          <w:p>
            <w:pPr>
              <w:ind w:left="540"/>
              <w:spacing w:after="0"/>
              <w:rPr>
                <w:sz w:val="20"/>
                <w:szCs w:val="20"/>
                <w:color w:val="auto"/>
              </w:rPr>
            </w:pPr>
            <w:r>
              <w:rPr>
                <w:rFonts w:ascii="Arial" w:cs="Arial" w:eastAsia="Arial" w:hAnsi="Arial"/>
                <w:sz w:val="18"/>
                <w:szCs w:val="18"/>
                <w:b w:val="1"/>
                <w:bCs w:val="1"/>
                <w:color w:val="auto"/>
              </w:rPr>
              <w:t>Through and including</w:t>
            </w:r>
          </w:p>
        </w:tc>
        <w:tc>
          <w:tcPr>
            <w:tcW w:w="7540" w:type="dxa"/>
            <w:vAlign w:val="bottom"/>
            <w:gridSpan w:val="5"/>
          </w:tcPr>
          <w:p>
            <w:pPr>
              <w:jc w:val="right"/>
              <w:spacing w:after="0"/>
              <w:rPr>
                <w:sz w:val="20"/>
                <w:szCs w:val="20"/>
                <w:color w:val="auto"/>
              </w:rPr>
            </w:pPr>
            <w:r>
              <w:rPr>
                <w:rFonts w:ascii="Arial" w:cs="Arial" w:eastAsia="Arial" w:hAnsi="Arial"/>
                <w:sz w:val="18"/>
                <w:szCs w:val="18"/>
                <w:b w:val="1"/>
                <w:bCs w:val="1"/>
                <w:color w:val="auto"/>
              </w:rPr>
              <w:t>, 2020 (the 25th day after the date of this prospectus), all dealers effecting transactions</w:t>
            </w:r>
          </w:p>
        </w:tc>
        <w:tc>
          <w:tcPr>
            <w:tcW w:w="0" w:type="dxa"/>
            <w:vAlign w:val="bottom"/>
          </w:tcPr>
          <w:p>
            <w:pPr>
              <w:spacing w:after="0"/>
              <w:rPr>
                <w:sz w:val="1"/>
                <w:szCs w:val="1"/>
                <w:color w:val="auto"/>
              </w:rPr>
            </w:pPr>
          </w:p>
        </w:tc>
      </w:tr>
    </w:tbl>
    <w:p>
      <w:pPr>
        <w:ind w:left="120" w:right="140"/>
        <w:spacing w:after="0" w:line="247" w:lineRule="auto"/>
        <w:rPr>
          <w:sz w:val="20"/>
          <w:szCs w:val="20"/>
          <w:color w:val="auto"/>
        </w:rPr>
      </w:pPr>
      <w:r>
        <w:rPr>
          <w:rFonts w:ascii="Arial" w:cs="Arial" w:eastAsia="Arial" w:hAnsi="Arial"/>
          <w:sz w:val="18"/>
          <w:szCs w:val="18"/>
          <w:b w:val="1"/>
          <w:bCs w:val="1"/>
          <w:color w:val="auto"/>
        </w:rPr>
        <w:t>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62"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and the underwriters have not authorized anyone to provide you any information other than that contained in this prospectus, any amendment or supplement to this prospectus or in any free writing prospectus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74"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5" w:right="4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TRADEMARKS</w:t>
      </w:r>
    </w:p>
    <w:p>
      <w:pPr>
        <w:spacing w:after="0" w:line="214"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 xml:space="preserve">We use the name “PMV Pharma,” the “PMV Pharma” logo and other marks as unregistered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TM</w:t>
      </w:r>
      <w:r>
        <w:rPr>
          <w:rFonts w:ascii="Arial" w:cs="Arial" w:eastAsia="Arial" w:hAnsi="Arial"/>
          <w:sz w:val="18"/>
          <w:szCs w:val="18"/>
          <w:color w:val="auto"/>
        </w:rPr>
        <w:t xml:space="preserve"> symbols, but such references are not intended to indicate in any way that we or their owners will not assert, to the fullest extent under applicable law, our rights or the rights of the applicable owner to these trademarks and trade names. We do not intend our use or display of other entities’ trade names, trademarks or service marks to imply a relationship with, or endorsement or sponsorship of us by, any other entity.</w:t>
      </w:r>
    </w:p>
    <w:p>
      <w:pPr>
        <w:spacing w:after="0" w:line="28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AND INDUSTRY DATA</w:t>
      </w:r>
    </w:p>
    <w:p>
      <w:pPr>
        <w:spacing w:after="0" w:line="214" w:lineRule="exact"/>
        <w:rPr>
          <w:sz w:val="20"/>
          <w:szCs w:val="20"/>
          <w:color w:val="auto"/>
        </w:rPr>
      </w:pPr>
    </w:p>
    <w:p>
      <w:pPr>
        <w:jc w:val="both"/>
        <w:ind w:left="120" w:right="340" w:firstLine="551"/>
        <w:spacing w:after="0" w:line="268"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potential markets for our product candidates, including data regarding the estimated size of such markets and the incidence of certain medical conditions. We obtained the industry, market and similar data set forth in this prospectus from our internal estimates and research and from academic and industry research, publications, surveys and studies conducted by third parties, including governmental agencies.</w:t>
      </w:r>
    </w:p>
    <w:p>
      <w:pPr>
        <w:spacing w:after="0" w:line="153"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This information, to the extent it contains estimates or projections, involves a number of assumptions and limitations, and you are cautioned not to give undue weight to such estimates or projections. Industry publications and other reports we have obtained from independent parties generally state that the data contained in these publications or other reports have been obtained in good faith or from sources considered to be reliable, but they do not guarantee the accuracy or completeness of such data. The industry in which we operate is subject to risks and uncertainties due to a variety of factors, including those described in the section titled “Risk Factors.” These and other factors could cause results to differ materially from those expressed in these publications and reports.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00"/>
          </w:cols>
          <w:pgMar w:left="320" w:top="455" w:right="4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99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39903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300" w:firstLine="532"/>
        <w:spacing w:after="0" w:line="241" w:lineRule="auto"/>
        <w:rPr>
          <w:sz w:val="20"/>
          <w:szCs w:val="20"/>
          <w:color w:val="auto"/>
        </w:rPr>
      </w:pPr>
      <w:r>
        <w:rPr>
          <w:rFonts w:ascii="Arial" w:cs="Arial" w:eastAsia="Arial" w:hAnsi="Arial"/>
          <w:sz w:val="18"/>
          <w:szCs w:val="18"/>
          <w:i w:val="1"/>
          <w:iCs w:val="1"/>
          <w:color w:val="auto"/>
        </w:rPr>
        <w:t>This summary highlights information contained in other parts of this prospectus. Because it is only a summary, it does not contain all of the information that you should consider before investing in shares of our common stock and it is qualified in its entirety by, and should be read in conjunction with, the more detailed information appearing elsewhere in this prospectus. You should read the entire prospectus carefully, especially “Risk Factors,” “Management’s Discussion and Analysis of Financial Condition and Results of Operations,” and our financial statements and the related notes, before deciding to buy shares of our common stock. Unless the context requires otherwise, references in this prospectus to “PMV Pharmaceuticals,” “the Company,” “we,” “us” and “our” refer to PMV Pharmaceuticals, Inc.</w:t>
      </w:r>
    </w:p>
    <w:p>
      <w:pPr>
        <w:spacing w:after="0" w:line="28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Overview</w:t>
      </w:r>
    </w:p>
    <w:p>
      <w:pPr>
        <w:spacing w:after="0" w:line="214" w:lineRule="exact"/>
        <w:rPr>
          <w:sz w:val="20"/>
          <w:szCs w:val="20"/>
          <w:color w:val="auto"/>
        </w:rPr>
      </w:pPr>
    </w:p>
    <w:p>
      <w:pPr>
        <w:ind w:left="300" w:right="60" w:firstLine="532"/>
        <w:spacing w:after="0"/>
        <w:rPr>
          <w:sz w:val="20"/>
          <w:szCs w:val="20"/>
          <w:color w:val="auto"/>
        </w:rPr>
      </w:pPr>
      <w:r>
        <w:rPr>
          <w:rFonts w:ascii="Arial" w:cs="Arial" w:eastAsia="Arial" w:hAnsi="Arial"/>
          <w:sz w:val="18"/>
          <w:szCs w:val="18"/>
          <w:color w:val="auto"/>
        </w:rPr>
        <w:t>We are a precision oncology company pioneering the discovery and development of small molecule, tumor-agnostic therapies targeting p53 mutations.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w:t>
      </w:r>
    </w:p>
    <w:p>
      <w:pPr>
        <w:spacing w:after="0" w:line="176" w:lineRule="exact"/>
        <w:rPr>
          <w:sz w:val="20"/>
          <w:szCs w:val="20"/>
          <w:color w:val="auto"/>
        </w:rPr>
      </w:pPr>
    </w:p>
    <w:p>
      <w:pPr>
        <w:ind w:left="300" w:right="100" w:firstLine="532"/>
        <w:spacing w:after="0" w:line="243" w:lineRule="auto"/>
        <w:rPr>
          <w:sz w:val="20"/>
          <w:szCs w:val="20"/>
          <w:color w:val="auto"/>
        </w:rPr>
      </w:pPr>
      <w:r>
        <w:rPr>
          <w:rFonts w:ascii="Arial" w:cs="Arial" w:eastAsia="Arial" w:hAnsi="Arial"/>
          <w:sz w:val="18"/>
          <w:szCs w:val="18"/>
          <w:color w:val="auto"/>
        </w:rPr>
        <w:t>We have designed our lead product candidate, PC14586, to potently and selectively correct p53 misfolding caused by a specific p53 mutation, Y220C, while sparing wild-type p53. The Y220C mutation is associated with 1.0-1.5% of all cancers, including breast, non-small cell lung cancer, or NSCLC, colorectal, pancreatic and ovarian cancers. We are initially pursuing a tumor-agnostic development strategy and plan to submit our investigational new drug application, or IND, for PC14586 and start a Phase 1/2 clinical trial in the second half of 2020. Our strategy is to seek approval under an accelerated pathway, and we believe our Phase 1/2 clinical trial can serve as a pivotal study.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5" w:right="6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305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4305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120" w:firstLine="532"/>
        <w:spacing w:after="0" w:line="248" w:lineRule="auto"/>
        <w:rPr>
          <w:sz w:val="20"/>
          <w:szCs w:val="20"/>
          <w:color w:val="auto"/>
        </w:rPr>
      </w:pPr>
      <w:r>
        <w:rPr>
          <w:rFonts w:ascii="Arial" w:cs="Arial" w:eastAsia="Arial" w:hAnsi="Arial"/>
          <w:sz w:val="18"/>
          <w:szCs w:val="18"/>
          <w:color w:val="auto"/>
        </w:rPr>
        <w:t>In addition, we are leveraging our precision oncology platform to develop a pipeline of oral small molecule product candidates that structurally correct other p53 hotspot mutations to restore their wild-type function. We expect to advance our next program into lead optimization in the second half of 2020. We own worldwide commercial rights to all of our programs. An overview of our development pipeline is shown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20" w:hanging="522"/>
        <w:spacing w:after="0"/>
        <w:tabs>
          <w:tab w:leader="none" w:pos="82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In Discovery, we screen compounds against biological assays to identify lead compounds with selective activity to our specific mutant p53 target of interest</w:t>
      </w:r>
    </w:p>
    <w:p>
      <w:pPr>
        <w:ind w:left="820" w:right="60" w:hanging="522"/>
        <w:spacing w:after="0" w:line="182" w:lineRule="auto"/>
        <w:tabs>
          <w:tab w:leader="none" w:pos="820"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In Lead Optimization, we modify the lead compound to improve potency, selectivity, pharmacokinetic and toxicity parameters and physical chemical properties important for clinical development</w:t>
      </w:r>
    </w:p>
    <w:p>
      <w:pPr>
        <w:spacing w:after="0" w:line="1" w:lineRule="exact"/>
        <w:rPr>
          <w:rFonts w:ascii="Arial" w:cs="Arial" w:eastAsia="Arial" w:hAnsi="Arial"/>
          <w:sz w:val="23"/>
          <w:szCs w:val="23"/>
          <w:color w:val="auto"/>
          <w:vertAlign w:val="superscript"/>
        </w:rPr>
      </w:pPr>
    </w:p>
    <w:p>
      <w:pPr>
        <w:ind w:left="820" w:hanging="522"/>
        <w:spacing w:after="0" w:line="183" w:lineRule="auto"/>
        <w:tabs>
          <w:tab w:leader="none" w:pos="820" w:val="left"/>
        </w:tabs>
        <w:numPr>
          <w:ilvl w:val="0"/>
          <w:numId w:val="3"/>
        </w:numPr>
        <w:rPr>
          <w:rFonts w:ascii="Arial" w:cs="Arial" w:eastAsia="Arial" w:hAnsi="Arial"/>
          <w:sz w:val="20"/>
          <w:szCs w:val="20"/>
          <w:color w:val="auto"/>
          <w:vertAlign w:val="superscript"/>
        </w:rPr>
      </w:pPr>
      <w:r>
        <w:rPr>
          <w:rFonts w:ascii="Arial" w:cs="Arial" w:eastAsia="Arial" w:hAnsi="Arial"/>
          <w:sz w:val="12"/>
          <w:szCs w:val="12"/>
          <w:color w:val="auto"/>
        </w:rPr>
        <w:t>In IND-Enabling Studies, we conduct preclinical studies, in accordance with Good Laboratory Practice, or GLP, required for an IND submission to the FDA</w:t>
      </w:r>
    </w:p>
    <w:p>
      <w:pPr>
        <w:spacing w:after="0" w:line="28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Potential of Precision Medicine in p53</w:t>
      </w:r>
    </w:p>
    <w:p>
      <w:pPr>
        <w:spacing w:after="0" w:line="214" w:lineRule="exact"/>
        <w:rPr>
          <w:sz w:val="20"/>
          <w:szCs w:val="20"/>
          <w:color w:val="auto"/>
        </w:rPr>
      </w:pPr>
    </w:p>
    <w:p>
      <w:pPr>
        <w:ind w:left="300" w:right="100" w:firstLine="532"/>
        <w:spacing w:after="0" w:line="248" w:lineRule="auto"/>
        <w:rPr>
          <w:sz w:val="20"/>
          <w:szCs w:val="20"/>
          <w:color w:val="auto"/>
        </w:rPr>
      </w:pPr>
      <w:r>
        <w:rPr>
          <w:rFonts w:ascii="Arial" w:cs="Arial" w:eastAsia="Arial" w:hAnsi="Arial"/>
          <w:sz w:val="18"/>
          <w:szCs w:val="18"/>
          <w:color w:val="auto"/>
        </w:rPr>
        <w:t>Cancer is a genetic disease that results from changes in a person’s DNA that causes cells to grow and divide uncontrollably. Recent advances in genetic sequencing and a better understanding of mutations that drive cancers have facilitated the development of precise, gene- and protein-specific drugs known as targeted therapies. There are multiple tumor-agnostic product approvals that are based on a genetic mutation that defines the cancer, as opposed to the tumor type.</w:t>
      </w:r>
    </w:p>
    <w:p>
      <w:pPr>
        <w:spacing w:after="0" w:line="170" w:lineRule="exact"/>
        <w:rPr>
          <w:sz w:val="20"/>
          <w:szCs w:val="20"/>
          <w:color w:val="auto"/>
        </w:rPr>
      </w:pPr>
    </w:p>
    <w:p>
      <w:pPr>
        <w:ind w:left="300" w:firstLine="532"/>
        <w:spacing w:after="0" w:line="243" w:lineRule="auto"/>
        <w:rPr>
          <w:sz w:val="20"/>
          <w:szCs w:val="20"/>
          <w:color w:val="auto"/>
        </w:rPr>
      </w:pPr>
      <w:r>
        <w:rPr>
          <w:rFonts w:ascii="Arial" w:cs="Arial" w:eastAsia="Arial" w:hAnsi="Arial"/>
          <w:sz w:val="18"/>
          <w:szCs w:val="18"/>
          <w:color w:val="auto"/>
        </w:rPr>
        <w:t>The p53 gene provides instructions for the production of tumor suppression protein p53. p53 activation facilitates the repair of the cell’s damaged DNA or triggers the killing of the damaged cell through a process known as programmed cell death, or apoptosis, before the cell can become cancerous and proliferate. The p53 gene is the most widely mutated gene in human cancers and to date, more than 25,000 unique p53 mutations have been discovered. Strategies that attempt to restore wild-type p53 activity in a non-selective manner (</w:t>
      </w:r>
      <w:r>
        <w:rPr>
          <w:rFonts w:ascii="Arial" w:cs="Arial" w:eastAsia="Arial" w:hAnsi="Arial"/>
          <w:sz w:val="18"/>
          <w:szCs w:val="18"/>
          <w:i w:val="1"/>
          <w:iCs w:val="1"/>
          <w:color w:val="auto"/>
        </w:rPr>
        <w:t>i.e.</w:t>
      </w:r>
      <w:r>
        <w:rPr>
          <w:rFonts w:ascii="Arial" w:cs="Arial" w:eastAsia="Arial" w:hAnsi="Arial"/>
          <w:sz w:val="18"/>
          <w:szCs w:val="18"/>
          <w:color w:val="auto"/>
        </w:rPr>
        <w:t>, regardless of which p53 mutation the tumor is harboring) are likely to face significant challenges, as a “one size fits all” drug is unlikely to address all p53 mutants and could have the potential for off-target toxicities.</w:t>
      </w:r>
    </w:p>
    <w:p>
      <w:pPr>
        <w:spacing w:after="0" w:line="174" w:lineRule="exact"/>
        <w:rPr>
          <w:sz w:val="20"/>
          <w:szCs w:val="20"/>
          <w:color w:val="auto"/>
        </w:rPr>
      </w:pPr>
    </w:p>
    <w:p>
      <w:pPr>
        <w:ind w:left="300" w:right="260" w:firstLine="532"/>
        <w:spacing w:after="0" w:line="248" w:lineRule="auto"/>
        <w:rPr>
          <w:sz w:val="20"/>
          <w:szCs w:val="20"/>
          <w:color w:val="auto"/>
        </w:rPr>
      </w:pPr>
      <w:r>
        <w:rPr>
          <w:rFonts w:ascii="Arial" w:cs="Arial" w:eastAsia="Arial" w:hAnsi="Arial"/>
          <w:sz w:val="18"/>
          <w:szCs w:val="18"/>
          <w:color w:val="auto"/>
        </w:rPr>
        <w:t>Therefore, we believe that the best way to address p53-driven cancers is by targeting individual p53 mutations using a precision oncology approach. Diagnostic tests are currently used by physicians in their practice to identify cancer patients with p53 mutations. We believe that identifying the p53 gene mutation and structurally correcting the specific mutant p53 protein to restore wild-type p53 activity can potentially serve as the basis of treatment for patients with these mutations.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5" w:right="6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241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24192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Approach</w:t>
      </w:r>
    </w:p>
    <w:p>
      <w:pPr>
        <w:spacing w:after="0" w:line="214" w:lineRule="exact"/>
        <w:rPr>
          <w:sz w:val="20"/>
          <w:szCs w:val="20"/>
          <w:color w:val="auto"/>
        </w:rPr>
      </w:pPr>
    </w:p>
    <w:p>
      <w:pPr>
        <w:ind w:left="300" w:right="140" w:firstLine="532"/>
        <w:spacing w:after="0" w:line="245" w:lineRule="auto"/>
        <w:rPr>
          <w:sz w:val="20"/>
          <w:szCs w:val="20"/>
          <w:color w:val="auto"/>
        </w:rPr>
      </w:pPr>
      <w:r>
        <w:rPr>
          <w:rFonts w:ascii="Arial" w:cs="Arial" w:eastAsia="Arial" w:hAnsi="Arial"/>
          <w:sz w:val="18"/>
          <w:szCs w:val="18"/>
          <w:color w:val="auto"/>
        </w:rPr>
        <w:t>We believe our novel approach to reactivate the p53 function through structural correction of the mutant p53 protein to wild-type represents a therapeutic strategy to target p53. Decades of research on p53 have unveiled its potential as a precision oncology target. Mutations in the p53 gene can give rise to mutant p53 proteins with different conformational structures. As a result, we are developing oral small molecule therapies that selectively target a specific mutant p53 protein while sparing wild-type p53. Our innovation engine is composed of three complementary drivers:</w:t>
      </w:r>
    </w:p>
    <w:p>
      <w:pPr>
        <w:spacing w:after="0" w:line="76" w:lineRule="exact"/>
        <w:rPr>
          <w:sz w:val="20"/>
          <w:szCs w:val="20"/>
          <w:color w:val="auto"/>
        </w:rPr>
      </w:pPr>
    </w:p>
    <w:p>
      <w:pPr>
        <w:ind w:left="1020" w:hanging="195"/>
        <w:spacing w:after="0" w:line="24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Deep understanding of, and leadership in, p53 biology that enable unique insights into targeting individual mutations. </w:t>
      </w:r>
      <w:r>
        <w:rPr>
          <w:rFonts w:ascii="Arial" w:cs="Arial" w:eastAsia="Arial" w:hAnsi="Arial"/>
          <w:sz w:val="18"/>
          <w:szCs w:val="18"/>
          <w:color w:val="auto"/>
        </w:rPr>
        <w:t>We have leveraged more than four decades of research experience and developed unique insights into p53</w:t>
      </w:r>
      <w:r>
        <w:rPr>
          <w:rFonts w:ascii="Arial" w:cs="Arial" w:eastAsia="Arial" w:hAnsi="Arial"/>
          <w:sz w:val="18"/>
          <w:szCs w:val="18"/>
          <w:b w:val="1"/>
          <w:bCs w:val="1"/>
          <w:color w:val="auto"/>
        </w:rPr>
        <w:t xml:space="preserve"> </w:t>
      </w:r>
      <w:r>
        <w:rPr>
          <w:rFonts w:ascii="Arial" w:cs="Arial" w:eastAsia="Arial" w:hAnsi="Arial"/>
          <w:sz w:val="18"/>
          <w:szCs w:val="18"/>
          <w:color w:val="auto"/>
        </w:rPr>
        <w:t>biology, a field that was discovered and established by our co-founder Dr. Arnold Levine</w:t>
      </w:r>
      <w:r>
        <w:rPr>
          <w:rFonts w:ascii="Arial" w:cs="Arial" w:eastAsia="Arial" w:hAnsi="Arial"/>
          <w:sz w:val="18"/>
          <w:szCs w:val="18"/>
          <w:b w:val="1"/>
          <w:bCs w:val="1"/>
          <w:color w:val="auto"/>
        </w:rPr>
        <w:t>.</w:t>
      </w:r>
      <w:r>
        <w:rPr>
          <w:rFonts w:ascii="Arial" w:cs="Arial" w:eastAsia="Arial" w:hAnsi="Arial"/>
          <w:sz w:val="18"/>
          <w:szCs w:val="18"/>
          <w:color w:val="auto"/>
        </w:rPr>
        <w:t xml:space="preserve"> Additionally, our scientific advisory board, or SAB, consists of some of the most prominent thought leaders in p53 biology. p53 is a highly complex gene, and thousands of distinct p53 mutations have been identified. A blanket approach to targeting mutant p53 has significant challenges, as a “one size fits all” drug is unlikely to address all p53 mutants. Based on our experience and expertise, we are developing oral small molecules that each selectively target a specific p53 hotspot mutation.</w:t>
      </w:r>
    </w:p>
    <w:p>
      <w:pPr>
        <w:spacing w:after="0" w:line="78" w:lineRule="exact"/>
        <w:rPr>
          <w:rFonts w:ascii="Arial" w:cs="Arial" w:eastAsia="Arial" w:hAnsi="Arial"/>
          <w:sz w:val="18"/>
          <w:szCs w:val="18"/>
          <w:color w:val="auto"/>
        </w:rPr>
      </w:pPr>
    </w:p>
    <w:p>
      <w:pPr>
        <w:ind w:left="1020" w:right="40" w:hanging="195"/>
        <w:spacing w:after="0" w:line="24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Ability to design structure-based oral small molecule product candidates that selectively target and correct specific p53 mutants</w:t>
      </w:r>
      <w:r>
        <w:rPr>
          <w:rFonts w:ascii="Arial" w:cs="Arial" w:eastAsia="Arial" w:hAnsi="Arial"/>
          <w:sz w:val="18"/>
          <w:szCs w:val="18"/>
          <w:color w:val="auto"/>
        </w:rPr>
        <w:t>. Designing molecules for p53 mutants requires an intricate understanding of the p53 protein structure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associated biology. We leverage structure-based technologies to give our oral small molecule product candidates access to challenging binding sites that are generally not accessible using conventional small molecule drug discovery approaches. For each target, we take detailed data from structural and functional studies of the mutated p53 to design development candidates against the challenging binding sites. Our design techniques help us to identify potential product candidates that can selectively target a single p53 mutant, while sparing wild-type p53.</w:t>
      </w:r>
    </w:p>
    <w:p>
      <w:pPr>
        <w:spacing w:after="0" w:line="78" w:lineRule="exact"/>
        <w:rPr>
          <w:rFonts w:ascii="Arial" w:cs="Arial" w:eastAsia="Arial" w:hAnsi="Arial"/>
          <w:sz w:val="18"/>
          <w:szCs w:val="18"/>
          <w:color w:val="auto"/>
        </w:rPr>
      </w:pPr>
    </w:p>
    <w:p>
      <w:pPr>
        <w:ind w:left="1020" w:right="120" w:hanging="195"/>
        <w:spacing w:after="0" w:line="24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Assays, screens, preclinical model systems and biomarkers that enable us to assess and optimize selective small molecule product candidates for specific p53 mutants. </w:t>
      </w:r>
      <w:r>
        <w:rPr>
          <w:rFonts w:ascii="Arial" w:cs="Arial" w:eastAsia="Arial" w:hAnsi="Arial"/>
          <w:sz w:val="18"/>
          <w:szCs w:val="18"/>
          <w:color w:val="auto"/>
        </w:rPr>
        <w:t>We test our product candidates across a diverse set of human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cancer cells based on research and understanding of bioinformatics and functional genomics. We also identify and monitor pharmacodynamic biomarkers and surrogates of clinical activity to help measure target engagement, including Macrophage Inhibitory Cytokine-1, or MIC-1, a serum-based biomarker. The biological insights we generate help us to better target various p53 mutants based on their structure and biology. We develop innovative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to advance therapeutic programs for translation to the clinic.</w:t>
      </w:r>
    </w:p>
    <w:p>
      <w:pPr>
        <w:spacing w:after="0" w:line="28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PC14586 Program</w:t>
      </w:r>
    </w:p>
    <w:p>
      <w:pPr>
        <w:spacing w:after="0" w:line="214" w:lineRule="exact"/>
        <w:rPr>
          <w:sz w:val="20"/>
          <w:szCs w:val="20"/>
          <w:color w:val="auto"/>
        </w:rPr>
      </w:pPr>
    </w:p>
    <w:p>
      <w:pPr>
        <w:ind w:left="300" w:right="120" w:firstLine="532"/>
        <w:spacing w:after="0" w:line="245" w:lineRule="auto"/>
        <w:rPr>
          <w:sz w:val="20"/>
          <w:szCs w:val="20"/>
          <w:color w:val="auto"/>
        </w:rPr>
      </w:pPr>
      <w:r>
        <w:rPr>
          <w:rFonts w:ascii="Arial" w:cs="Arial" w:eastAsia="Arial" w:hAnsi="Arial"/>
          <w:sz w:val="18"/>
          <w:szCs w:val="18"/>
          <w:color w:val="auto"/>
        </w:rPr>
        <w:t>Our lead product candidate, PC14586, is designed to be an orally available small molecule that structurally corrects a mutant p53 protein with the Y220C mutation and restores wild-type p53 function. The Y220C mutation is associated with 1.0-1.5% of all cancers, including breast, NSCLC, colorectal, pancreatic and ovarian cancers. There are currently no drugs approved by the U.S. Food and Drug Administration, or FDA, and we are not aware of any other products in clinical development that selectively target the p53 Y220C mutation.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5" w:right="6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0246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40246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20" w:firstLine="532"/>
        <w:spacing w:after="0" w:line="245" w:lineRule="auto"/>
        <w:rPr>
          <w:sz w:val="20"/>
          <w:szCs w:val="20"/>
          <w:color w:val="auto"/>
        </w:rPr>
      </w:pPr>
      <w:r>
        <w:rPr>
          <w:rFonts w:ascii="Arial" w:cs="Arial" w:eastAsia="Arial" w:hAnsi="Arial"/>
          <w:sz w:val="18"/>
          <w:szCs w:val="18"/>
          <w:color w:val="auto"/>
        </w:rPr>
        <w:t xml:space="preserve">PC14586 is designed to selectively bind to the crevice created by the p53 Y220C mutation and restore the wild-type p53 protein structure and tumor suppressing function. In preclinical studies, we have demonstrated that PC14586 rapidly converts the large protein pool of mutant p53 Y220C protein to wild-type structure. As seen in the graphic below, in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study, PC14586 induced conversion of p53 protein from mutant to wild-type conformation in a dose-dependent manner as evidenced by a decrease in mutant p53 and an increase in wild-type p53, while total p53 remains relatively unchanged.</w:t>
      </w:r>
    </w:p>
    <w:p>
      <w:pPr>
        <w:spacing w:after="0" w:line="27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 xml:space="preserve">PC14586 Demonstrated Structural Conversion from Mutant p53 to Wild-type p53 </w:t>
      </w:r>
      <w:r>
        <w:rPr>
          <w:rFonts w:ascii="Arial" w:cs="Arial" w:eastAsia="Arial" w:hAnsi="Arial"/>
          <w:sz w:val="18"/>
          <w:szCs w:val="18"/>
          <w:b w:val="1"/>
          <w:bCs w:val="1"/>
          <w:i w:val="1"/>
          <w:iCs w:val="1"/>
          <w:color w:val="auto"/>
        </w:rPr>
        <w:t>in vitro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00" w:firstLine="532"/>
        <w:spacing w:after="0" w:line="248" w:lineRule="auto"/>
        <w:rPr>
          <w:sz w:val="20"/>
          <w:szCs w:val="20"/>
          <w:color w:val="auto"/>
        </w:rPr>
      </w:pPr>
      <w:r>
        <w:rPr>
          <w:rFonts w:ascii="Arial" w:cs="Arial" w:eastAsia="Arial" w:hAnsi="Arial"/>
          <w:sz w:val="18"/>
          <w:szCs w:val="18"/>
          <w:color w:val="auto"/>
        </w:rPr>
        <w:t>Additionally, structural correction from a mutant p53 Y220C conformation to a wild-type p53 conformation by PC14586 restored p53-dependent transcription of downstream targets, which is indicative of wild-type p53 biological activity. For example, as shown in the figures below, p21 and murine double minute 2, or MDM2, two of the downstream targets of p53, were selectively upregulated by PC14586 in a dose dependent manner in cells where the p53 Y220C mutation was present.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5" w:right="6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041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404177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PC14586 Induced Transcription of p21 and MDM2 Only in Cell Lines with the p53 Y220C Mutation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00" w:firstLine="532"/>
        <w:spacing w:after="0" w:line="243" w:lineRule="auto"/>
        <w:rPr>
          <w:sz w:val="20"/>
          <w:szCs w:val="20"/>
          <w:color w:val="auto"/>
        </w:rPr>
      </w:pPr>
      <w:r>
        <w:rPr>
          <w:rFonts w:ascii="Arial" w:cs="Arial" w:eastAsia="Arial" w:hAnsi="Arial"/>
          <w:sz w:val="18"/>
          <w:szCs w:val="18"/>
          <w:color w:val="auto"/>
        </w:rPr>
        <w:t>PC14586 also exhibited profound single-agent anti-tumor activity in mouse models. We created a human p53 knock-in, or HUPKI, mouse that expresses a p53 protein with the human p53 DNA binding domain and the Y220C mutation. The HUPKI mouse presents spontaneously with sarcomas at six to eight months of age, which we can harvest and re-implant in a wild-type mouse to create a mouse tumor model that has an intact immune system harboring a human Y220C mutation. We believe this syngeneic mouse model better represents the patient population that we expect to see in the clinic, as compared to mouse xenograft models that incorporate human tumors in mice with no immune system.</w:t>
      </w:r>
    </w:p>
    <w:p>
      <w:pPr>
        <w:spacing w:after="0" w:line="174" w:lineRule="exact"/>
        <w:rPr>
          <w:sz w:val="20"/>
          <w:szCs w:val="20"/>
          <w:color w:val="auto"/>
        </w:rPr>
      </w:pPr>
    </w:p>
    <w:p>
      <w:pPr>
        <w:ind w:left="300" w:right="180" w:firstLine="532"/>
        <w:spacing w:after="0" w:line="248" w:lineRule="auto"/>
        <w:rPr>
          <w:sz w:val="20"/>
          <w:szCs w:val="20"/>
          <w:color w:val="auto"/>
        </w:rPr>
      </w:pPr>
      <w:r>
        <w:rPr>
          <w:rFonts w:ascii="Arial" w:cs="Arial" w:eastAsia="Arial" w:hAnsi="Arial"/>
          <w:sz w:val="18"/>
          <w:szCs w:val="18"/>
          <w:color w:val="auto"/>
        </w:rPr>
        <w:t>As illustrated by the table below, PC14586, administered as a single-agent at a daily oral dose of 100 mg/kg for 70 days, demonstrated regression in tumors that express the p53 Y220C mutation in the syngeneic mouse model. The durability of the response was measured by median survival, where median survival for a 100 mg/kg dose of PC14586 exceeded 156 days, even though drug treatment was discontinued on day 70. This compared with median survival of only 17 days for vehicle.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20"/>
          </w:cols>
          <w:pgMar w:left="320" w:top="455" w:right="8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350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435038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PC14586 Tumor Regression and Durable Responses in Syngeneic Mouse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850" w:type="dxa"/>
        <w:tblCellMar>
          <w:top w:w="0" w:type="dxa"/>
          <w:left w:w="0" w:type="dxa"/>
          <w:bottom w:w="0" w:type="dxa"/>
          <w:right w:w="0" w:type="dxa"/>
        </w:tblCellMar>
      </w:tblPr>
      <w:tr>
        <w:trPr>
          <w:trHeight w:val="160"/>
        </w:trPr>
        <w:tc>
          <w:tcPr>
            <w:tcW w:w="3880" w:type="dxa"/>
            <w:vAlign w:val="bottom"/>
            <w:tcBorders>
              <w:top w:val="single" w:sz="8" w:color="auto"/>
              <w:left w:val="single" w:sz="8" w:color="auto"/>
            </w:tcBorders>
            <w:shd w:val="clear" w:color="auto" w:fill="0C0C0C"/>
          </w:tcPr>
          <w:p>
            <w:pPr>
              <w:spacing w:after="0"/>
              <w:rPr>
                <w:sz w:val="13"/>
                <w:szCs w:val="13"/>
                <w:color w:val="auto"/>
              </w:rPr>
            </w:pPr>
          </w:p>
        </w:tc>
        <w:tc>
          <w:tcPr>
            <w:tcW w:w="3700" w:type="dxa"/>
            <w:vAlign w:val="bottom"/>
            <w:tcBorders>
              <w:top w:val="single" w:sz="8" w:color="auto"/>
              <w:right w:val="single" w:sz="8" w:color="auto"/>
            </w:tcBorders>
            <w:shd w:val="clear" w:color="auto" w:fill="0C0C0C"/>
          </w:tcPr>
          <w:p>
            <w:pPr>
              <w:jc w:val="center"/>
              <w:spacing w:after="0"/>
              <w:rPr>
                <w:sz w:val="20"/>
                <w:szCs w:val="20"/>
                <w:color w:val="auto"/>
              </w:rPr>
            </w:pPr>
            <w:r>
              <w:rPr>
                <w:rFonts w:ascii="Arial" w:cs="Arial" w:eastAsia="Arial" w:hAnsi="Arial"/>
                <w:sz w:val="14"/>
                <w:szCs w:val="14"/>
                <w:b w:val="1"/>
                <w:bCs w:val="1"/>
                <w:color w:val="FFFFFF"/>
              </w:rPr>
              <w:t>Median Survival Time</w:t>
            </w:r>
          </w:p>
        </w:tc>
      </w:tr>
      <w:tr>
        <w:trPr>
          <w:trHeight w:val="238"/>
        </w:trPr>
        <w:tc>
          <w:tcPr>
            <w:tcW w:w="3880" w:type="dxa"/>
            <w:vAlign w:val="bottom"/>
            <w:tcBorders>
              <w:left w:val="single" w:sz="8" w:color="auto"/>
              <w:bottom w:val="single" w:sz="8" w:color="0C0C0C"/>
            </w:tcBorders>
            <w:shd w:val="clear" w:color="auto" w:fill="0C0C0C"/>
          </w:tcPr>
          <w:p>
            <w:pPr>
              <w:jc w:val="center"/>
              <w:spacing w:after="0"/>
              <w:rPr>
                <w:sz w:val="20"/>
                <w:szCs w:val="20"/>
                <w:color w:val="auto"/>
              </w:rPr>
            </w:pPr>
            <w:r>
              <w:rPr>
                <w:rFonts w:ascii="Arial" w:cs="Arial" w:eastAsia="Arial" w:hAnsi="Arial"/>
                <w:sz w:val="14"/>
                <w:szCs w:val="14"/>
                <w:b w:val="1"/>
                <w:bCs w:val="1"/>
                <w:color w:val="FFFFFF"/>
              </w:rPr>
              <w:t>Group</w:t>
            </w:r>
          </w:p>
        </w:tc>
        <w:tc>
          <w:tcPr>
            <w:tcW w:w="3700" w:type="dxa"/>
            <w:vAlign w:val="bottom"/>
            <w:tcBorders>
              <w:bottom w:val="single" w:sz="8" w:color="0C0C0C"/>
              <w:right w:val="single" w:sz="8" w:color="auto"/>
            </w:tcBorders>
            <w:shd w:val="clear" w:color="auto" w:fill="0C0C0C"/>
          </w:tcPr>
          <w:p>
            <w:pPr>
              <w:jc w:val="center"/>
              <w:spacing w:after="0"/>
              <w:rPr>
                <w:sz w:val="20"/>
                <w:szCs w:val="20"/>
                <w:color w:val="auto"/>
              </w:rPr>
            </w:pPr>
            <w:r>
              <w:rPr>
                <w:rFonts w:ascii="Arial" w:cs="Arial" w:eastAsia="Arial" w:hAnsi="Arial"/>
                <w:sz w:val="14"/>
                <w:szCs w:val="14"/>
                <w:b w:val="1"/>
                <w:bCs w:val="1"/>
                <w:color w:val="FFFFFF"/>
              </w:rPr>
              <w:t>(Days)</w:t>
            </w:r>
          </w:p>
        </w:tc>
      </w:tr>
      <w:tr>
        <w:trPr>
          <w:trHeight w:val="288"/>
        </w:trPr>
        <w:tc>
          <w:tcPr>
            <w:tcW w:w="388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8"/>
              </w:rPr>
              <w:t>Vehicle</w:t>
            </w:r>
          </w:p>
        </w:tc>
        <w:tc>
          <w:tcPr>
            <w:tcW w:w="3700" w:type="dxa"/>
            <w:vAlign w:val="bottom"/>
            <w:tcBorders>
              <w:right w:val="single" w:sz="8" w:color="auto"/>
            </w:tcBorders>
          </w:tcPr>
          <w:p>
            <w:pPr>
              <w:jc w:val="right"/>
              <w:ind w:right="1699"/>
              <w:spacing w:after="0"/>
              <w:rPr>
                <w:sz w:val="20"/>
                <w:szCs w:val="20"/>
                <w:color w:val="auto"/>
              </w:rPr>
            </w:pPr>
            <w:r>
              <w:rPr>
                <w:rFonts w:ascii="Arial" w:cs="Arial" w:eastAsia="Arial" w:hAnsi="Arial"/>
                <w:sz w:val="18"/>
                <w:szCs w:val="18"/>
                <w:color w:val="auto"/>
              </w:rPr>
              <w:t>17</w:t>
            </w:r>
          </w:p>
        </w:tc>
      </w:tr>
      <w:tr>
        <w:trPr>
          <w:trHeight w:val="50"/>
        </w:trPr>
        <w:tc>
          <w:tcPr>
            <w:tcW w:w="3880" w:type="dxa"/>
            <w:vAlign w:val="bottom"/>
            <w:tcBorders>
              <w:left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268"/>
        </w:trPr>
        <w:tc>
          <w:tcPr>
            <w:tcW w:w="388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9"/>
              </w:rPr>
              <w:t>PC14586 100 mg/kg</w:t>
            </w:r>
          </w:p>
        </w:tc>
        <w:tc>
          <w:tcPr>
            <w:tcW w:w="3700" w:type="dxa"/>
            <w:vAlign w:val="bottom"/>
            <w:tcBorders>
              <w:right w:val="single" w:sz="8" w:color="auto"/>
            </w:tcBorders>
          </w:tcPr>
          <w:p>
            <w:pPr>
              <w:jc w:val="right"/>
              <w:ind w:right="1599"/>
              <w:spacing w:after="0"/>
              <w:rPr>
                <w:sz w:val="20"/>
                <w:szCs w:val="20"/>
                <w:color w:val="auto"/>
              </w:rPr>
            </w:pPr>
            <w:r>
              <w:rPr>
                <w:rFonts w:ascii="Arial" w:cs="Arial" w:eastAsia="Arial" w:hAnsi="Arial"/>
                <w:sz w:val="18"/>
                <w:szCs w:val="18"/>
                <w:color w:val="auto"/>
              </w:rPr>
              <w:t>&gt;156</w:t>
            </w:r>
          </w:p>
        </w:tc>
      </w:tr>
      <w:tr>
        <w:trPr>
          <w:trHeight w:val="50"/>
        </w:trPr>
        <w:tc>
          <w:tcPr>
            <w:tcW w:w="3880" w:type="dxa"/>
            <w:vAlign w:val="bottom"/>
            <w:tcBorders>
              <w:left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bl>
    <w:p>
      <w:pPr>
        <w:spacing w:after="0" w:line="195"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Note: Dosing ceased on day 70 in the PC14586 arm.</w:t>
      </w:r>
    </w:p>
    <w:p>
      <w:pPr>
        <w:spacing w:after="0" w:line="210" w:lineRule="exact"/>
        <w:rPr>
          <w:sz w:val="20"/>
          <w:szCs w:val="20"/>
          <w:color w:val="auto"/>
        </w:rPr>
      </w:pPr>
    </w:p>
    <w:p>
      <w:pPr>
        <w:ind w:left="300" w:firstLine="532"/>
        <w:spacing w:after="0" w:line="243" w:lineRule="auto"/>
        <w:rPr>
          <w:sz w:val="20"/>
          <w:szCs w:val="20"/>
          <w:color w:val="auto"/>
        </w:rPr>
      </w:pPr>
      <w:r>
        <w:rPr>
          <w:rFonts w:ascii="Arial" w:cs="Arial" w:eastAsia="Arial" w:hAnsi="Arial"/>
          <w:sz w:val="18"/>
          <w:szCs w:val="18"/>
          <w:color w:val="auto"/>
        </w:rPr>
        <w:t>PC14586 also exhibited anti-tumor activity in combination with anti-PD-1 therapy in syngeneic mouse models with the human p53 Y220C mutation. When PC14586 was administered at a sub-therapeutic daily oral dose of 50 mg/kg for 70 days in combination with a therapeutic dose of a PD-1 antibody, regression of tumors that express the p53 Y220C mutation was observed. As illustrated by the table below, median survival for a sub-therapeutic dose of PC14586 combined with anti-PD-1 treatment exceeded 156 days, even though drug treatment was discontinued on day 70, compared with median survival of only 24 days for anti-PD-1 treatment alone.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80"/>
          </w:cols>
          <w:pgMar w:left="320" w:top="455" w:right="7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38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0388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PC14586 + Anti-PD-1 Combination Showed Regression of Tumor Growth in Syngeneic Mouse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850" w:type="dxa"/>
        <w:tblCellMar>
          <w:top w:w="0" w:type="dxa"/>
          <w:left w:w="0" w:type="dxa"/>
          <w:bottom w:w="0" w:type="dxa"/>
          <w:right w:w="0" w:type="dxa"/>
        </w:tblCellMar>
      </w:tblPr>
      <w:tr>
        <w:trPr>
          <w:trHeight w:val="236"/>
        </w:trPr>
        <w:tc>
          <w:tcPr>
            <w:tcW w:w="5940" w:type="dxa"/>
            <w:vAlign w:val="bottom"/>
            <w:tcBorders>
              <w:top w:val="single" w:sz="8" w:color="auto"/>
              <w:left w:val="single" w:sz="8" w:color="auto"/>
              <w:bottom w:val="single" w:sz="8" w:color="0C0C0C"/>
            </w:tcBorders>
            <w:shd w:val="clear" w:color="auto" w:fill="0C0C0C"/>
          </w:tcPr>
          <w:p>
            <w:pPr>
              <w:jc w:val="center"/>
              <w:ind w:left="74"/>
              <w:spacing w:after="0"/>
              <w:rPr>
                <w:sz w:val="20"/>
                <w:szCs w:val="20"/>
                <w:color w:val="auto"/>
              </w:rPr>
            </w:pPr>
            <w:r>
              <w:rPr>
                <w:rFonts w:ascii="Arial" w:cs="Arial" w:eastAsia="Arial" w:hAnsi="Arial"/>
                <w:sz w:val="14"/>
                <w:szCs w:val="14"/>
                <w:b w:val="1"/>
                <w:bCs w:val="1"/>
                <w:color w:val="FFFFFF"/>
                <w:w w:val="99"/>
              </w:rPr>
              <w:t>Group</w:t>
            </w:r>
          </w:p>
        </w:tc>
        <w:tc>
          <w:tcPr>
            <w:tcW w:w="3660" w:type="dxa"/>
            <w:vAlign w:val="bottom"/>
            <w:tcBorders>
              <w:top w:val="single" w:sz="8" w:color="auto"/>
              <w:bottom w:val="single" w:sz="8" w:color="0C0C0C"/>
              <w:right w:val="single" w:sz="8" w:color="auto"/>
            </w:tcBorders>
            <w:shd w:val="clear" w:color="auto" w:fill="0C0C0C"/>
          </w:tcPr>
          <w:p>
            <w:pPr>
              <w:ind w:left="880"/>
              <w:spacing w:after="0"/>
              <w:rPr>
                <w:sz w:val="20"/>
                <w:szCs w:val="20"/>
                <w:color w:val="auto"/>
              </w:rPr>
            </w:pPr>
            <w:r>
              <w:rPr>
                <w:rFonts w:ascii="Arial" w:cs="Arial" w:eastAsia="Arial" w:hAnsi="Arial"/>
                <w:sz w:val="14"/>
                <w:szCs w:val="14"/>
                <w:b w:val="1"/>
                <w:bCs w:val="1"/>
                <w:color w:val="FFFFFF"/>
              </w:rPr>
              <w:t>Median Survival Time (Days)</w:t>
            </w:r>
          </w:p>
        </w:tc>
      </w:tr>
      <w:tr>
        <w:trPr>
          <w:trHeight w:val="288"/>
        </w:trPr>
        <w:tc>
          <w:tcPr>
            <w:tcW w:w="5940" w:type="dxa"/>
            <w:vAlign w:val="bottom"/>
            <w:tcBorders>
              <w:left w:val="single" w:sz="8" w:color="auto"/>
            </w:tcBorders>
          </w:tcPr>
          <w:p>
            <w:pPr>
              <w:jc w:val="center"/>
              <w:ind w:left="74"/>
              <w:spacing w:after="0"/>
              <w:rPr>
                <w:sz w:val="20"/>
                <w:szCs w:val="20"/>
                <w:color w:val="auto"/>
              </w:rPr>
            </w:pPr>
            <w:r>
              <w:rPr>
                <w:rFonts w:ascii="Arial" w:cs="Arial" w:eastAsia="Arial" w:hAnsi="Arial"/>
                <w:sz w:val="18"/>
                <w:szCs w:val="18"/>
                <w:color w:val="auto"/>
                <w:w w:val="98"/>
              </w:rPr>
              <w:t>Vehicle</w:t>
            </w:r>
          </w:p>
        </w:tc>
        <w:tc>
          <w:tcPr>
            <w:tcW w:w="3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17</w:t>
            </w:r>
          </w:p>
        </w:tc>
      </w:tr>
      <w:tr>
        <w:trPr>
          <w:trHeight w:val="50"/>
        </w:trPr>
        <w:tc>
          <w:tcPr>
            <w:tcW w:w="5940" w:type="dxa"/>
            <w:vAlign w:val="bottom"/>
            <w:tcBorders>
              <w:left w:val="single" w:sz="8" w:color="auto"/>
              <w:bottom w:val="single" w:sz="8" w:color="auto"/>
            </w:tcBorders>
          </w:tcPr>
          <w:p>
            <w:pPr>
              <w:spacing w:after="0"/>
              <w:rPr>
                <w:sz w:val="4"/>
                <w:szCs w:val="4"/>
                <w:color w:val="auto"/>
              </w:rPr>
            </w:pPr>
          </w:p>
        </w:tc>
        <w:tc>
          <w:tcPr>
            <w:tcW w:w="3660" w:type="dxa"/>
            <w:vAlign w:val="bottom"/>
            <w:tcBorders>
              <w:bottom w:val="single" w:sz="8" w:color="auto"/>
              <w:right w:val="single" w:sz="8" w:color="auto"/>
            </w:tcBorders>
          </w:tcPr>
          <w:p>
            <w:pPr>
              <w:spacing w:after="0"/>
              <w:rPr>
                <w:sz w:val="4"/>
                <w:szCs w:val="4"/>
                <w:color w:val="auto"/>
              </w:rPr>
            </w:pPr>
          </w:p>
        </w:tc>
      </w:tr>
      <w:tr>
        <w:trPr>
          <w:trHeight w:val="268"/>
        </w:trPr>
        <w:tc>
          <w:tcPr>
            <w:tcW w:w="5940" w:type="dxa"/>
            <w:vAlign w:val="bottom"/>
            <w:tcBorders>
              <w:left w:val="single" w:sz="8" w:color="auto"/>
            </w:tcBorders>
          </w:tcPr>
          <w:p>
            <w:pPr>
              <w:jc w:val="center"/>
              <w:ind w:left="74"/>
              <w:spacing w:after="0"/>
              <w:rPr>
                <w:sz w:val="20"/>
                <w:szCs w:val="20"/>
                <w:color w:val="auto"/>
              </w:rPr>
            </w:pPr>
            <w:r>
              <w:rPr>
                <w:rFonts w:ascii="Arial" w:cs="Arial" w:eastAsia="Arial" w:hAnsi="Arial"/>
                <w:sz w:val="18"/>
                <w:szCs w:val="18"/>
                <w:color w:val="auto"/>
                <w:w w:val="99"/>
              </w:rPr>
              <w:t>Anti-PD-1 200 mg/kg</w:t>
            </w:r>
          </w:p>
        </w:tc>
        <w:tc>
          <w:tcPr>
            <w:tcW w:w="3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24</w:t>
            </w:r>
          </w:p>
        </w:tc>
      </w:tr>
      <w:tr>
        <w:trPr>
          <w:trHeight w:val="50"/>
        </w:trPr>
        <w:tc>
          <w:tcPr>
            <w:tcW w:w="5940" w:type="dxa"/>
            <w:vAlign w:val="bottom"/>
            <w:tcBorders>
              <w:left w:val="single" w:sz="8" w:color="auto"/>
              <w:bottom w:val="single" w:sz="8" w:color="auto"/>
            </w:tcBorders>
          </w:tcPr>
          <w:p>
            <w:pPr>
              <w:spacing w:after="0"/>
              <w:rPr>
                <w:sz w:val="4"/>
                <w:szCs w:val="4"/>
                <w:color w:val="auto"/>
              </w:rPr>
            </w:pPr>
          </w:p>
        </w:tc>
        <w:tc>
          <w:tcPr>
            <w:tcW w:w="3660" w:type="dxa"/>
            <w:vAlign w:val="bottom"/>
            <w:tcBorders>
              <w:bottom w:val="single" w:sz="8" w:color="auto"/>
              <w:right w:val="single" w:sz="8" w:color="auto"/>
            </w:tcBorders>
          </w:tcPr>
          <w:p>
            <w:pPr>
              <w:spacing w:after="0"/>
              <w:rPr>
                <w:sz w:val="4"/>
                <w:szCs w:val="4"/>
                <w:color w:val="auto"/>
              </w:rPr>
            </w:pPr>
          </w:p>
        </w:tc>
      </w:tr>
      <w:tr>
        <w:trPr>
          <w:trHeight w:val="268"/>
        </w:trPr>
        <w:tc>
          <w:tcPr>
            <w:tcW w:w="5940" w:type="dxa"/>
            <w:vAlign w:val="bottom"/>
            <w:tcBorders>
              <w:left w:val="single" w:sz="8" w:color="auto"/>
            </w:tcBorders>
          </w:tcPr>
          <w:p>
            <w:pPr>
              <w:jc w:val="center"/>
              <w:ind w:left="74"/>
              <w:spacing w:after="0"/>
              <w:rPr>
                <w:sz w:val="20"/>
                <w:szCs w:val="20"/>
                <w:color w:val="auto"/>
              </w:rPr>
            </w:pPr>
            <w:r>
              <w:rPr>
                <w:rFonts w:ascii="Arial" w:cs="Arial" w:eastAsia="Arial" w:hAnsi="Arial"/>
                <w:sz w:val="18"/>
                <w:szCs w:val="18"/>
                <w:color w:val="auto"/>
                <w:w w:val="99"/>
              </w:rPr>
              <w:t>PC14586 50 mg/kg</w:t>
            </w:r>
          </w:p>
        </w:tc>
        <w:tc>
          <w:tcPr>
            <w:tcW w:w="3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28</w:t>
            </w:r>
          </w:p>
        </w:tc>
      </w:tr>
      <w:tr>
        <w:trPr>
          <w:trHeight w:val="50"/>
        </w:trPr>
        <w:tc>
          <w:tcPr>
            <w:tcW w:w="5940" w:type="dxa"/>
            <w:vAlign w:val="bottom"/>
            <w:tcBorders>
              <w:left w:val="single" w:sz="8" w:color="auto"/>
              <w:bottom w:val="single" w:sz="8" w:color="auto"/>
            </w:tcBorders>
          </w:tcPr>
          <w:p>
            <w:pPr>
              <w:spacing w:after="0"/>
              <w:rPr>
                <w:sz w:val="4"/>
                <w:szCs w:val="4"/>
                <w:color w:val="auto"/>
              </w:rPr>
            </w:pPr>
          </w:p>
        </w:tc>
        <w:tc>
          <w:tcPr>
            <w:tcW w:w="3660" w:type="dxa"/>
            <w:vAlign w:val="bottom"/>
            <w:tcBorders>
              <w:bottom w:val="single" w:sz="8" w:color="auto"/>
              <w:right w:val="single" w:sz="8" w:color="auto"/>
            </w:tcBorders>
          </w:tcPr>
          <w:p>
            <w:pPr>
              <w:spacing w:after="0"/>
              <w:rPr>
                <w:sz w:val="4"/>
                <w:szCs w:val="4"/>
                <w:color w:val="auto"/>
              </w:rPr>
            </w:pPr>
          </w:p>
        </w:tc>
      </w:tr>
      <w:tr>
        <w:trPr>
          <w:trHeight w:val="268"/>
        </w:trPr>
        <w:tc>
          <w:tcPr>
            <w:tcW w:w="5940" w:type="dxa"/>
            <w:vAlign w:val="bottom"/>
            <w:tcBorders>
              <w:left w:val="single" w:sz="8" w:color="auto"/>
            </w:tcBorders>
          </w:tcPr>
          <w:p>
            <w:pPr>
              <w:jc w:val="center"/>
              <w:ind w:left="74"/>
              <w:spacing w:after="0"/>
              <w:rPr>
                <w:sz w:val="20"/>
                <w:szCs w:val="20"/>
                <w:color w:val="auto"/>
              </w:rPr>
            </w:pPr>
            <w:r>
              <w:rPr>
                <w:rFonts w:ascii="Arial" w:cs="Arial" w:eastAsia="Arial" w:hAnsi="Arial"/>
                <w:sz w:val="18"/>
                <w:szCs w:val="18"/>
                <w:color w:val="auto"/>
              </w:rPr>
              <w:t>PC14586 50 mg/kg + Anti-PD-1 200 mg/kg</w:t>
            </w:r>
          </w:p>
        </w:tc>
        <w:tc>
          <w:tcPr>
            <w:tcW w:w="3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&gt;156</w:t>
            </w:r>
          </w:p>
        </w:tc>
      </w:tr>
      <w:tr>
        <w:trPr>
          <w:trHeight w:val="50"/>
        </w:trPr>
        <w:tc>
          <w:tcPr>
            <w:tcW w:w="5940" w:type="dxa"/>
            <w:vAlign w:val="bottom"/>
            <w:tcBorders>
              <w:left w:val="single" w:sz="8" w:color="auto"/>
              <w:bottom w:val="single" w:sz="8" w:color="auto"/>
            </w:tcBorders>
          </w:tcPr>
          <w:p>
            <w:pPr>
              <w:spacing w:after="0"/>
              <w:rPr>
                <w:sz w:val="4"/>
                <w:szCs w:val="4"/>
                <w:color w:val="auto"/>
              </w:rPr>
            </w:pPr>
          </w:p>
        </w:tc>
        <w:tc>
          <w:tcPr>
            <w:tcW w:w="3660" w:type="dxa"/>
            <w:vAlign w:val="bottom"/>
            <w:tcBorders>
              <w:bottom w:val="single" w:sz="8" w:color="auto"/>
              <w:right w:val="single" w:sz="8" w:color="auto"/>
            </w:tcBorders>
          </w:tcPr>
          <w:p>
            <w:pPr>
              <w:spacing w:after="0"/>
              <w:rPr>
                <w:sz w:val="4"/>
                <w:szCs w:val="4"/>
                <w:color w:val="auto"/>
              </w:rPr>
            </w:pPr>
          </w:p>
        </w:tc>
      </w:tr>
    </w:tbl>
    <w:p>
      <w:pPr>
        <w:spacing w:after="0" w:line="195"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Note: Dosing ceased on day 70 in the PC14586 + Anti-PD-1 arm.</w:t>
      </w:r>
    </w:p>
    <w:p>
      <w:pPr>
        <w:spacing w:after="0" w:line="210" w:lineRule="exact"/>
        <w:rPr>
          <w:sz w:val="20"/>
          <w:szCs w:val="20"/>
          <w:color w:val="auto"/>
        </w:rPr>
      </w:pPr>
    </w:p>
    <w:p>
      <w:pPr>
        <w:ind w:left="300" w:firstLine="532"/>
        <w:spacing w:after="0" w:line="276" w:lineRule="auto"/>
        <w:rPr>
          <w:sz w:val="20"/>
          <w:szCs w:val="20"/>
          <w:color w:val="auto"/>
        </w:rPr>
      </w:pPr>
      <w:r>
        <w:rPr>
          <w:rFonts w:ascii="Arial" w:cs="Arial" w:eastAsia="Arial" w:hAnsi="Arial"/>
          <w:sz w:val="18"/>
          <w:szCs w:val="18"/>
          <w:color w:val="auto"/>
        </w:rPr>
        <w:t>We are initially pursuing a tumor-agnostic development strategy and plan to submit our IND for PC14586 and start a Phase 1/2 clinical trial in the second half of 2020.</w:t>
      </w:r>
    </w:p>
    <w:p>
      <w:pPr>
        <w:spacing w:after="0" w:line="200" w:lineRule="exact"/>
        <w:rPr>
          <w:sz w:val="20"/>
          <w:szCs w:val="20"/>
          <w:color w:val="auto"/>
        </w:rPr>
      </w:pPr>
    </w:p>
    <w:p>
      <w:pPr>
        <w:spacing w:after="0" w:line="37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320" w:top="455" w:right="6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359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Other Pipeline Programs</w:t>
      </w:r>
    </w:p>
    <w:p>
      <w:pPr>
        <w:spacing w:after="0" w:line="214" w:lineRule="exact"/>
        <w:rPr>
          <w:sz w:val="20"/>
          <w:szCs w:val="20"/>
          <w:color w:val="auto"/>
        </w:rPr>
      </w:pPr>
    </w:p>
    <w:p>
      <w:pPr>
        <w:ind w:left="300" w:firstLine="532"/>
        <w:spacing w:after="0" w:line="255" w:lineRule="auto"/>
        <w:rPr>
          <w:sz w:val="20"/>
          <w:szCs w:val="20"/>
          <w:color w:val="auto"/>
        </w:rPr>
      </w:pPr>
      <w:r>
        <w:rPr>
          <w:rFonts w:ascii="Arial" w:cs="Arial" w:eastAsia="Arial" w:hAnsi="Arial"/>
          <w:sz w:val="18"/>
          <w:szCs w:val="18"/>
          <w:color w:val="auto"/>
        </w:rPr>
        <w:t>In addition to our PC14586 Y220C program, we are focused on developing a pipeline of product candidates targeting other p53 hotspot mutations. These programs have been developed internally using our precision oncology platform and expertise. We expect to advance our next program, targeting an undisclosed p53 hotspot mutation, into lead optimization in the second half of 2020.</w:t>
      </w: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History and Team</w:t>
      </w:r>
    </w:p>
    <w:p>
      <w:pPr>
        <w:spacing w:after="0" w:line="214" w:lineRule="exact"/>
        <w:rPr>
          <w:sz w:val="20"/>
          <w:szCs w:val="20"/>
          <w:color w:val="auto"/>
        </w:rPr>
      </w:pPr>
    </w:p>
    <w:p>
      <w:pPr>
        <w:ind w:left="300" w:right="20" w:firstLine="532"/>
        <w:spacing w:after="0" w:line="243" w:lineRule="auto"/>
        <w:rPr>
          <w:sz w:val="20"/>
          <w:szCs w:val="20"/>
          <w:color w:val="auto"/>
        </w:rPr>
      </w:pPr>
      <w:r>
        <w:rPr>
          <w:rFonts w:ascii="Arial" w:cs="Arial" w:eastAsia="Arial" w:hAnsi="Arial"/>
          <w:sz w:val="18"/>
          <w:szCs w:val="18"/>
          <w:color w:val="auto"/>
        </w:rPr>
        <w:t>We were founded in 2013 by David Mack, Ph.D., Arnold Levine, Ph.D. and Thomas Shenk, Ph.D. Over the past seven years, we have built a precision oncology platform and chemistry discovery engine that leverages more than four decades of research experience and unique insights into the p53 protein. Dr. Levine is widely recognized for his seminal contributions to the field of p53 biology, having discovered p53 in 1979. Our vision has been supported by leading investors, including InterWest Partners, OrbiMed Advisors, Topspin, Euclidean Capital, Nextech Invest, Viking Global Investors, Boxer Capital of Tavistock Group and Osage University Partners.</w:t>
      </w:r>
    </w:p>
    <w:p>
      <w:pPr>
        <w:spacing w:after="0" w:line="174" w:lineRule="exact"/>
        <w:rPr>
          <w:sz w:val="20"/>
          <w:szCs w:val="20"/>
          <w:color w:val="auto"/>
        </w:rPr>
      </w:pPr>
    </w:p>
    <w:p>
      <w:pPr>
        <w:ind w:left="300" w:right="120" w:firstLine="532"/>
        <w:spacing w:after="0" w:line="239" w:lineRule="auto"/>
        <w:rPr>
          <w:sz w:val="20"/>
          <w:szCs w:val="20"/>
          <w:color w:val="auto"/>
        </w:rPr>
      </w:pPr>
      <w:r>
        <w:rPr>
          <w:rFonts w:ascii="Arial" w:cs="Arial" w:eastAsia="Arial" w:hAnsi="Arial"/>
          <w:sz w:val="18"/>
          <w:szCs w:val="18"/>
          <w:color w:val="auto"/>
        </w:rPr>
        <w:t>Additionally, we have assembled a management team of biopharmaceutical experts with extensive experience in drug discovery and development, with particular expertise in the discovery of small molecule oncology programs. Dr. Mack, our President and Chief Executive Officer, was previously General Partner at Alta Partners and co-founder and Vice President of Genomic Research at Eos Biotechnology, where he led the advancement of multiple product candidates prior to the company’s sale to Protein Design Labs. Winston Kung, our Chief Operating Officer and Chief Financial Officer, was previously Vice President of Business Development and Global Alliances at Celgene and Chief Business Officer of Celgene Cellular Therapeutics. Dr. Leila Alland, our Chief Medical Officer, is an oncologist with 20 years of experience developing oncology products in the biopharmaceutical industry, most recently as Chief Medical Officer of Affimed. Deepika Jalota, Pharm.D., our Senior Vice President of Regulatory Affairs and Quality Assurance, was previously Vice President of Oncology Regulatory Affairs at Bayer and led the tumor-agnostic regulatory strategy for larotrectinib (Vitrakvi) in collaboration with Loxo Oncology.</w:t>
      </w:r>
    </w:p>
    <w:p>
      <w:pPr>
        <w:spacing w:after="0" w:line="180" w:lineRule="exact"/>
        <w:rPr>
          <w:sz w:val="20"/>
          <w:szCs w:val="20"/>
          <w:color w:val="auto"/>
        </w:rPr>
      </w:pPr>
    </w:p>
    <w:p>
      <w:pPr>
        <w:ind w:left="300" w:right="40" w:firstLine="532"/>
        <w:spacing w:after="0" w:line="276" w:lineRule="auto"/>
        <w:rPr>
          <w:sz w:val="20"/>
          <w:szCs w:val="20"/>
          <w:color w:val="auto"/>
        </w:rPr>
      </w:pPr>
      <w:r>
        <w:rPr>
          <w:rFonts w:ascii="Arial" w:cs="Arial" w:eastAsia="Arial" w:hAnsi="Arial"/>
          <w:sz w:val="18"/>
          <w:szCs w:val="18"/>
          <w:color w:val="auto"/>
        </w:rPr>
        <w:t>Our company was founded and continues to be supported by world-class scientific advisors, including our SAB, many of whom have been associated with multiple oncology product approvals.</w:t>
      </w:r>
    </w:p>
    <w:p>
      <w:pPr>
        <w:spacing w:after="0" w:line="25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Strategy</w:t>
      </w:r>
    </w:p>
    <w:p>
      <w:pPr>
        <w:spacing w:after="0" w:line="214" w:lineRule="exact"/>
        <w:rPr>
          <w:sz w:val="20"/>
          <w:szCs w:val="20"/>
          <w:color w:val="auto"/>
        </w:rPr>
      </w:pPr>
    </w:p>
    <w:p>
      <w:pPr>
        <w:ind w:left="300" w:right="160" w:firstLine="532"/>
        <w:spacing w:after="0" w:line="276" w:lineRule="auto"/>
        <w:rPr>
          <w:sz w:val="20"/>
          <w:szCs w:val="20"/>
          <w:color w:val="auto"/>
        </w:rPr>
      </w:pPr>
      <w:r>
        <w:rPr>
          <w:rFonts w:ascii="Arial" w:cs="Arial" w:eastAsia="Arial" w:hAnsi="Arial"/>
          <w:sz w:val="18"/>
          <w:szCs w:val="18"/>
          <w:color w:val="auto"/>
        </w:rPr>
        <w:t>Our vision is to become a leading precision oncology company by designing, developing and commercializing small molecule therapies targeting mutant p53. The critical components of our strategy include:</w:t>
      </w:r>
    </w:p>
    <w:p>
      <w:pPr>
        <w:spacing w:after="0" w:line="50" w:lineRule="exact"/>
        <w:rPr>
          <w:sz w:val="20"/>
          <w:szCs w:val="20"/>
          <w:color w:val="auto"/>
        </w:rPr>
      </w:pPr>
    </w:p>
    <w:p>
      <w:pPr>
        <w:ind w:left="1020" w:right="220" w:hanging="195"/>
        <w:spacing w:after="0" w:line="27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advancing our lead product candidate, PC14586, as a tumor-agnostic, oral small molecule single-agent therapy for cancer patients;</w:t>
      </w:r>
    </w:p>
    <w:p>
      <w:pPr>
        <w:spacing w:after="0" w:line="50" w:lineRule="exact"/>
        <w:rPr>
          <w:rFonts w:ascii="Arial" w:cs="Arial" w:eastAsia="Arial" w:hAnsi="Arial"/>
          <w:sz w:val="18"/>
          <w:szCs w:val="18"/>
          <w:color w:val="auto"/>
        </w:rPr>
      </w:pPr>
    </w:p>
    <w:p>
      <w:pPr>
        <w:ind w:left="1020" w:right="20" w:hanging="195"/>
        <w:spacing w:after="0" w:line="27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harnessing the power of our precision oncology platform to discover and develop additional differentiated product candidates that are designed to precisely target p53 mutations in cancer;</w:t>
      </w:r>
    </w:p>
    <w:p>
      <w:pPr>
        <w:spacing w:after="0" w:line="50" w:lineRule="exact"/>
        <w:rPr>
          <w:rFonts w:ascii="Arial" w:cs="Arial" w:eastAsia="Arial" w:hAnsi="Arial"/>
          <w:sz w:val="18"/>
          <w:szCs w:val="18"/>
          <w:color w:val="auto"/>
        </w:rPr>
      </w:pPr>
    </w:p>
    <w:p>
      <w:pPr>
        <w:ind w:left="1020" w:right="440" w:hanging="195"/>
        <w:spacing w:after="0" w:line="27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leveraging the advantages of precision medicine and our expertise in p53 biology to pursue accelerated approval of our product candidates; and</w:t>
      </w:r>
    </w:p>
    <w:p>
      <w:pPr>
        <w:spacing w:after="0" w:line="50" w:lineRule="exact"/>
        <w:rPr>
          <w:rFonts w:ascii="Arial" w:cs="Arial" w:eastAsia="Arial" w:hAnsi="Arial"/>
          <w:sz w:val="18"/>
          <w:szCs w:val="18"/>
          <w:color w:val="auto"/>
        </w:rPr>
      </w:pPr>
    </w:p>
    <w:p>
      <w:pPr>
        <w:ind w:left="1020" w:hanging="19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identifying and exploring combination therapy approaches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5" w:right="6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559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Risks Related to Our Business</w:t>
      </w:r>
    </w:p>
    <w:p>
      <w:pPr>
        <w:spacing w:after="0" w:line="214" w:lineRule="exact"/>
        <w:rPr>
          <w:sz w:val="20"/>
          <w:szCs w:val="20"/>
          <w:color w:val="auto"/>
        </w:rPr>
      </w:pPr>
    </w:p>
    <w:p>
      <w:pPr>
        <w:ind w:left="300" w:right="280" w:firstLine="532"/>
        <w:spacing w:after="0" w:line="255" w:lineRule="auto"/>
        <w:rPr>
          <w:sz w:val="20"/>
          <w:szCs w:val="20"/>
          <w:color w:val="auto"/>
        </w:rPr>
      </w:pPr>
      <w:r>
        <w:rPr>
          <w:rFonts w:ascii="Arial" w:cs="Arial" w:eastAsia="Arial" w:hAnsi="Arial"/>
          <w:sz w:val="18"/>
          <w:szCs w:val="18"/>
          <w:color w:val="auto"/>
        </w:rPr>
        <w:t>Our ability to execute on our business strategy is subject to a number of risks, which are discussed more fully in the section titled “Risk Factors.” You should carefully consider these risks before making an investment in our common stock. These risks include, among others, the following:</w:t>
      </w:r>
    </w:p>
    <w:p>
      <w:pPr>
        <w:spacing w:after="0" w:line="69" w:lineRule="exact"/>
        <w:rPr>
          <w:sz w:val="20"/>
          <w:szCs w:val="20"/>
          <w:color w:val="auto"/>
        </w:rPr>
      </w:pPr>
    </w:p>
    <w:p>
      <w:pPr>
        <w:ind w:left="1020" w:right="320" w:hanging="195"/>
        <w:spacing w:after="0" w:line="27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limited operating history, have not initiated or completed any clinical trials, and have no products approved for commercial sale;</w:t>
      </w:r>
    </w:p>
    <w:p>
      <w:pPr>
        <w:spacing w:after="0" w:line="50" w:lineRule="exact"/>
        <w:rPr>
          <w:rFonts w:ascii="Arial" w:cs="Arial" w:eastAsia="Arial" w:hAnsi="Arial"/>
          <w:sz w:val="18"/>
          <w:szCs w:val="18"/>
          <w:color w:val="auto"/>
        </w:rPr>
      </w:pPr>
    </w:p>
    <w:p>
      <w:pPr>
        <w:ind w:left="1020" w:right="400" w:hanging="195"/>
        <w:spacing w:after="0" w:line="27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we expect to incur significant net losses for the foreseeable future and may not be able to achieve or sustain revenue or profitability in the future;</w:t>
      </w:r>
    </w:p>
    <w:p>
      <w:pPr>
        <w:spacing w:after="0" w:line="50" w:lineRule="exact"/>
        <w:rPr>
          <w:rFonts w:ascii="Arial" w:cs="Arial" w:eastAsia="Arial" w:hAnsi="Arial"/>
          <w:sz w:val="18"/>
          <w:szCs w:val="18"/>
          <w:color w:val="auto"/>
        </w:rPr>
      </w:pPr>
    </w:p>
    <w:p>
      <w:pPr>
        <w:jc w:val="both"/>
        <w:ind w:left="1020" w:right="60" w:hanging="195"/>
        <w:spacing w:after="0" w:line="25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not generated any revenue from our product candidates and may never generate revenue or be profitable and our ability to generate revenue and achieve profitability depends significantly on our ability to achieve several objectives relating to the discovery, development and commercialization of our product candidates;</w:t>
      </w:r>
    </w:p>
    <w:p>
      <w:pPr>
        <w:spacing w:after="0" w:line="69" w:lineRule="exact"/>
        <w:rPr>
          <w:rFonts w:ascii="Arial" w:cs="Arial" w:eastAsia="Arial" w:hAnsi="Arial"/>
          <w:sz w:val="18"/>
          <w:szCs w:val="18"/>
          <w:color w:val="auto"/>
        </w:rPr>
      </w:pPr>
    </w:p>
    <w:p>
      <w:pPr>
        <w:ind w:left="1020" w:right="140" w:hanging="195"/>
        <w:spacing w:after="0" w:line="27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0" w:lineRule="exact"/>
        <w:rPr>
          <w:rFonts w:ascii="Arial" w:cs="Arial" w:eastAsia="Arial" w:hAnsi="Arial"/>
          <w:sz w:val="18"/>
          <w:szCs w:val="18"/>
          <w:color w:val="auto"/>
        </w:rPr>
      </w:pPr>
    </w:p>
    <w:p>
      <w:pPr>
        <w:ind w:left="1020" w:hanging="19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even if this offering is successful, we will require substantial additional capital to finance our operations;</w:t>
      </w:r>
    </w:p>
    <w:p>
      <w:pPr>
        <w:spacing w:after="0" w:line="117" w:lineRule="exact"/>
        <w:rPr>
          <w:rFonts w:ascii="Arial" w:cs="Arial" w:eastAsia="Arial" w:hAnsi="Arial"/>
          <w:sz w:val="18"/>
          <w:szCs w:val="18"/>
          <w:color w:val="auto"/>
        </w:rPr>
      </w:pPr>
    </w:p>
    <w:p>
      <w:pPr>
        <w:ind w:left="1020" w:hanging="195"/>
        <w:spacing w:after="0" w:line="24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discovery and preclinical development is focused on the development of precision medicines for patients with genetically defined cancers, which is a rapidly evolving area of science, and the approach we are taking to discover and develop drugs targeting p53 hotspot mutations is novel, may never lead to marketable products and may not ultimately represent a significant market;</w:t>
      </w:r>
    </w:p>
    <w:p>
      <w:pPr>
        <w:spacing w:after="0" w:line="75" w:lineRule="exact"/>
        <w:rPr>
          <w:rFonts w:ascii="Arial" w:cs="Arial" w:eastAsia="Arial" w:hAnsi="Arial"/>
          <w:sz w:val="18"/>
          <w:szCs w:val="18"/>
          <w:color w:val="auto"/>
        </w:rPr>
      </w:pPr>
    </w:p>
    <w:p>
      <w:pPr>
        <w:ind w:left="1020" w:right="20" w:hanging="195"/>
        <w:spacing w:after="0" w:line="25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very early in our development efforts and are substantially dependent on our lead product candidate, PC14586. If we are unable to advance, obtain regulatory approval for and commercialize PC14586, our business, financial condition and results of operations will be materially adversely affected;</w:t>
      </w:r>
    </w:p>
    <w:p>
      <w:pPr>
        <w:spacing w:after="0" w:line="69" w:lineRule="exact"/>
        <w:rPr>
          <w:rFonts w:ascii="Arial" w:cs="Arial" w:eastAsia="Arial" w:hAnsi="Arial"/>
          <w:sz w:val="18"/>
          <w:szCs w:val="18"/>
          <w:color w:val="auto"/>
        </w:rPr>
      </w:pPr>
    </w:p>
    <w:p>
      <w:pPr>
        <w:ind w:left="1020" w:right="60" w:hanging="195"/>
        <w:spacing w:after="0" w:line="25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subset of cancer patients that we are targeting are expected to have certain p53 mutants and we may not be able to identify a sufficient number of patients whom we can recruit and retain for our clinical trials to obtain approval for our current or future product candidates;</w:t>
      </w:r>
    </w:p>
    <w:p>
      <w:pPr>
        <w:spacing w:after="0" w:line="69" w:lineRule="exact"/>
        <w:rPr>
          <w:rFonts w:ascii="Arial" w:cs="Arial" w:eastAsia="Arial" w:hAnsi="Arial"/>
          <w:sz w:val="18"/>
          <w:szCs w:val="18"/>
          <w:color w:val="auto"/>
        </w:rPr>
      </w:pPr>
    </w:p>
    <w:p>
      <w:pPr>
        <w:ind w:left="1020" w:hanging="195"/>
        <w:spacing w:after="0" w:line="25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novel approach to the discovery and development of our current and future product candidates is unproven, and we may not be successful in our efforts to use and expand our platform to build a pipeline of product candidates with commercial value;</w:t>
      </w:r>
    </w:p>
    <w:p>
      <w:pPr>
        <w:spacing w:after="0" w:line="69" w:lineRule="exact"/>
        <w:rPr>
          <w:rFonts w:ascii="Arial" w:cs="Arial" w:eastAsia="Arial" w:hAnsi="Arial"/>
          <w:sz w:val="18"/>
          <w:szCs w:val="18"/>
          <w:color w:val="auto"/>
        </w:rPr>
      </w:pPr>
    </w:p>
    <w:p>
      <w:pPr>
        <w:ind w:left="1020" w:right="740" w:hanging="195"/>
        <w:spacing w:after="0" w:line="24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regulatory approval processes of the FDA and other comparable foreign regulatory authorities are lengthy, time consuming and inherently unpredictable. If we are not able to obtain required regulatory approvals for our product candidates, we will not be able to commercialize our product candidates, and our ability to generate revenue will be materially impaired;</w:t>
      </w:r>
    </w:p>
    <w:p>
      <w:pPr>
        <w:spacing w:after="0" w:line="75" w:lineRule="exact"/>
        <w:rPr>
          <w:rFonts w:ascii="Arial" w:cs="Arial" w:eastAsia="Arial" w:hAnsi="Arial"/>
          <w:sz w:val="18"/>
          <w:szCs w:val="18"/>
          <w:color w:val="auto"/>
        </w:rPr>
      </w:pPr>
    </w:p>
    <w:p>
      <w:pPr>
        <w:ind w:left="1020" w:right="160" w:hanging="195"/>
        <w:spacing w:after="0" w:line="27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currently rely, and plan to rely in the future, on third parties to conduct and support preclinical and clinical development, and these third parties may not meet expectations;</w:t>
      </w:r>
    </w:p>
    <w:p>
      <w:pPr>
        <w:spacing w:after="0" w:line="50" w:lineRule="exact"/>
        <w:rPr>
          <w:rFonts w:ascii="Arial" w:cs="Arial" w:eastAsia="Arial" w:hAnsi="Arial"/>
          <w:sz w:val="18"/>
          <w:szCs w:val="18"/>
          <w:color w:val="auto"/>
        </w:rPr>
      </w:pPr>
    </w:p>
    <w:p>
      <w:pPr>
        <w:jc w:val="both"/>
        <w:ind w:left="1020" w:right="80" w:hanging="195"/>
        <w:spacing w:after="0" w:line="306"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are unable to obtain and maintain sufficient patent and other intellectual property protection for our product candidates and technology, our competitors could develop and commercialize products and technology similar or identical to ours; and</w:t>
      </w:r>
    </w:p>
    <w:p>
      <w:pPr>
        <w:spacing w:after="0" w:line="28" w:lineRule="exact"/>
        <w:rPr>
          <w:rFonts w:ascii="Arial" w:cs="Arial" w:eastAsia="Arial" w:hAnsi="Arial"/>
          <w:sz w:val="17"/>
          <w:szCs w:val="17"/>
          <w:color w:val="auto"/>
        </w:rPr>
      </w:pPr>
    </w:p>
    <w:p>
      <w:pPr>
        <w:ind w:left="1020" w:hanging="19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depends in part on our ability to protect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320" w:top="455" w:right="6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87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Corporate Information</w:t>
      </w:r>
    </w:p>
    <w:p>
      <w:pPr>
        <w:spacing w:after="0" w:line="214" w:lineRule="exact"/>
        <w:rPr>
          <w:sz w:val="20"/>
          <w:szCs w:val="20"/>
          <w:color w:val="auto"/>
        </w:rPr>
      </w:pPr>
    </w:p>
    <w:p>
      <w:pPr>
        <w:ind w:left="300" w:firstLine="532"/>
        <w:spacing w:after="0" w:line="245" w:lineRule="auto"/>
        <w:rPr>
          <w:sz w:val="20"/>
          <w:szCs w:val="20"/>
          <w:color w:val="auto"/>
        </w:rPr>
      </w:pPr>
      <w:r>
        <w:rPr>
          <w:rFonts w:ascii="Arial" w:cs="Arial" w:eastAsia="Arial" w:hAnsi="Arial"/>
          <w:sz w:val="18"/>
          <w:szCs w:val="18"/>
          <w:color w:val="auto"/>
        </w:rPr>
        <w:t>We were incorporated in Delaware in March 2013 under the name “PJ Pharmaceuticals, Inc.” In July 2013, we changed our name to “PMV Pharmaceuticals, Inc.” Our principal executive offices are located at 8 Clarke Drive, Suite 3, Cranbury, New Jersey 08512. Our telephone number is (609) 642-6670. Our website address is www.pmvpharma.com. Information contained on, or that can be accessible through, our website is not a part of this prospectus and the inclusion of our website address in this prospectus is an inactive textual reference only.</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14" w:lineRule="exact"/>
        <w:rPr>
          <w:sz w:val="20"/>
          <w:szCs w:val="20"/>
          <w:color w:val="auto"/>
        </w:rPr>
      </w:pPr>
    </w:p>
    <w:p>
      <w:pPr>
        <w:ind w:left="300" w:right="100" w:firstLine="532"/>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JOBS Act. An emerging growth company may take advantage of certain reduced reporting requirements that are otherwise applicable to public companies. These provisions include, but are not limited to:</w:t>
      </w:r>
    </w:p>
    <w:p>
      <w:pPr>
        <w:spacing w:after="0" w:line="69" w:lineRule="exact"/>
        <w:rPr>
          <w:sz w:val="20"/>
          <w:szCs w:val="20"/>
          <w:color w:val="auto"/>
        </w:rPr>
      </w:pPr>
    </w:p>
    <w:p>
      <w:pPr>
        <w:ind w:left="1020" w:right="20" w:hanging="195"/>
        <w:spacing w:after="0" w:line="25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in addition to any required unaudited interim financial statements, with correspondingly reduced disclosure in the section titled “Management’s Discussion and Analysis of Financial Condition and Results of Operations”;</w:t>
      </w:r>
    </w:p>
    <w:p>
      <w:pPr>
        <w:spacing w:after="0" w:line="69" w:lineRule="exact"/>
        <w:rPr>
          <w:rFonts w:ascii="Arial" w:cs="Arial" w:eastAsia="Arial" w:hAnsi="Arial"/>
          <w:sz w:val="18"/>
          <w:szCs w:val="18"/>
          <w:color w:val="auto"/>
        </w:rPr>
      </w:pPr>
    </w:p>
    <w:p>
      <w:pPr>
        <w:ind w:left="1020" w:right="120" w:hanging="195"/>
        <w:spacing w:after="0" w:line="27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w:t>
      </w:r>
    </w:p>
    <w:p>
      <w:pPr>
        <w:spacing w:after="0" w:line="50" w:lineRule="exact"/>
        <w:rPr>
          <w:rFonts w:ascii="Arial" w:cs="Arial" w:eastAsia="Arial" w:hAnsi="Arial"/>
          <w:sz w:val="18"/>
          <w:szCs w:val="18"/>
          <w:color w:val="auto"/>
        </w:rPr>
      </w:pPr>
    </w:p>
    <w:p>
      <w:pPr>
        <w:ind w:left="1020" w:right="780" w:hanging="195"/>
        <w:spacing w:after="0" w:line="27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this prospectus and our periodic reports, proxy statements and registration statements; and</w:t>
      </w:r>
    </w:p>
    <w:p>
      <w:pPr>
        <w:spacing w:after="0" w:line="50" w:lineRule="exact"/>
        <w:rPr>
          <w:rFonts w:ascii="Arial" w:cs="Arial" w:eastAsia="Arial" w:hAnsi="Arial"/>
          <w:sz w:val="18"/>
          <w:szCs w:val="18"/>
          <w:color w:val="auto"/>
        </w:rPr>
      </w:pPr>
    </w:p>
    <w:p>
      <w:pPr>
        <w:ind w:left="1020" w:right="660" w:hanging="195"/>
        <w:spacing w:after="0" w:line="27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any golden parachute payments.</w:t>
      </w:r>
    </w:p>
    <w:p>
      <w:pPr>
        <w:spacing w:after="0" w:line="145" w:lineRule="exact"/>
        <w:rPr>
          <w:sz w:val="20"/>
          <w:szCs w:val="20"/>
          <w:color w:val="auto"/>
        </w:rPr>
      </w:pPr>
    </w:p>
    <w:p>
      <w:pPr>
        <w:ind w:left="300" w:firstLine="532"/>
        <w:spacing w:after="0" w:line="248"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at least $1.07 billion in annual gross revenue; (ii) the date we are deemed to be a “large accelerated filer”; (iii) the issuance, in any three-year period, by us of more than $1.0 billion in non-convertible debt securities; and (iv) the last day of the fiscal year following the fifth anniversary of this offering.</w:t>
      </w:r>
    </w:p>
    <w:p>
      <w:pPr>
        <w:spacing w:after="0" w:line="170" w:lineRule="exact"/>
        <w:rPr>
          <w:sz w:val="20"/>
          <w:szCs w:val="20"/>
          <w:color w:val="auto"/>
        </w:rPr>
      </w:pPr>
    </w:p>
    <w:p>
      <w:pPr>
        <w:ind w:left="300" w:firstLine="532"/>
        <w:spacing w:after="0" w:line="245" w:lineRule="auto"/>
        <w:rPr>
          <w:sz w:val="20"/>
          <w:szCs w:val="20"/>
          <w:color w:val="auto"/>
        </w:rPr>
      </w:pPr>
      <w:r>
        <w:rPr>
          <w:rFonts w:ascii="Arial" w:cs="Arial" w:eastAsia="Arial" w:hAnsi="Arial"/>
          <w:sz w:val="18"/>
          <w:szCs w:val="18"/>
          <w:color w:val="auto"/>
        </w:rPr>
        <w:t>We have taken advantage of reduced reporting requirements in this prospectus and may elect to take advantage of other reduced reporting requirements in our future filings with the Securities and Exchange Commission. As a result, the information that we provide to our stockholders may be different than, and not comparable to, information presented by other public reporting companies. In particular, in this prospectus, we have provided only two years of audited financial statements and have not included all of the executive compensation related information that would be required if we were not an emerging growth company.</w:t>
      </w:r>
    </w:p>
    <w:p>
      <w:pPr>
        <w:spacing w:after="0" w:line="172" w:lineRule="exact"/>
        <w:rPr>
          <w:sz w:val="20"/>
          <w:szCs w:val="20"/>
          <w:color w:val="auto"/>
        </w:rPr>
      </w:pPr>
    </w:p>
    <w:p>
      <w:pPr>
        <w:ind w:left="300" w:right="140" w:firstLine="532"/>
        <w:spacing w:after="0" w:line="241"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we either (i) irrevocably elect to “opt out” of such extended transition period or (ii) no longer qualify as an emerging growth company.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5" w:right="6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0615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06158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140"/>
          </w:cols>
          <w:pgMar w:left="320" w:top="455" w:right="43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4120"/>
        <w:spacing w:after="0"/>
        <w:rPr>
          <w:sz w:val="20"/>
          <w:szCs w:val="20"/>
          <w:color w:val="auto"/>
        </w:rPr>
      </w:pPr>
      <w:r>
        <w:rPr>
          <w:rFonts w:ascii="Arial" w:cs="Arial" w:eastAsia="Arial" w:hAnsi="Arial"/>
          <w:sz w:val="18"/>
          <w:szCs w:val="18"/>
          <w:color w:val="auto"/>
        </w:rPr>
        <w:t>shares.</w:t>
      </w:r>
    </w:p>
    <w:p>
      <w:pPr>
        <w:spacing w:after="0" w:line="90" w:lineRule="exact"/>
        <w:rPr>
          <w:sz w:val="20"/>
          <w:szCs w:val="20"/>
          <w:color w:val="auto"/>
        </w:rPr>
      </w:pPr>
    </w:p>
    <w:p>
      <w:pPr>
        <w:sectPr>
          <w:pgSz w:w="11900" w:h="16838" w:orient="portrait"/>
          <w:cols w:equalWidth="0" w:num="2">
            <w:col w:w="5700" w:space="720"/>
            <w:col w:w="4720"/>
          </w:cols>
          <w:pgMar w:left="320" w:top="455" w:right="43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Underwriters’ option to purchase additional shares</w:t>
      </w:r>
    </w:p>
    <w:p>
      <w:pPr>
        <w:spacing w:after="0" w:line="20" w:lineRule="exact"/>
        <w:rPr>
          <w:sz w:val="20"/>
          <w:szCs w:val="20"/>
          <w:color w:val="auto"/>
        </w:rPr>
      </w:pPr>
      <w:r>
        <w:rPr>
          <w:sz w:val="20"/>
          <w:szCs w:val="20"/>
          <w:color w:val="auto"/>
        </w:rPr>
        <w:br w:type="column"/>
      </w:r>
    </w:p>
    <w:p>
      <w:pPr>
        <w:ind w:right="660"/>
        <w:spacing w:after="0" w:line="255" w:lineRule="auto"/>
        <w:rPr>
          <w:sz w:val="20"/>
          <w:szCs w:val="20"/>
          <w:color w:val="auto"/>
        </w:rPr>
      </w:pPr>
      <w:r>
        <w:rPr>
          <w:rFonts w:ascii="Arial" w:cs="Arial" w:eastAsia="Arial" w:hAnsi="Arial"/>
          <w:sz w:val="18"/>
          <w:szCs w:val="18"/>
          <w:color w:val="auto"/>
        </w:rPr>
        <w:t>We have granted the underwriters an option for a period of 30 days to purchase up to additional shares of our common stock.</w:t>
      </w:r>
    </w:p>
    <w:p>
      <w:pPr>
        <w:spacing w:after="0" w:line="24" w:lineRule="exact"/>
        <w:rPr>
          <w:sz w:val="20"/>
          <w:szCs w:val="20"/>
          <w:color w:val="auto"/>
        </w:rPr>
      </w:pPr>
    </w:p>
    <w:p>
      <w:pPr>
        <w:sectPr>
          <w:pgSz w:w="11900" w:h="16838" w:orient="portrait"/>
          <w:cols w:equalWidth="0" w:num="2">
            <w:col w:w="5100" w:space="720"/>
            <w:col w:w="532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5300" w:type="dxa"/>
            <w:vAlign w:val="bottom"/>
          </w:tcPr>
          <w:p>
            <w:pPr>
              <w:ind w:left="180"/>
              <w:spacing w:after="0"/>
              <w:rPr>
                <w:sz w:val="20"/>
                <w:szCs w:val="20"/>
                <w:color w:val="auto"/>
              </w:rPr>
            </w:pPr>
            <w:r>
              <w:rPr>
                <w:rFonts w:ascii="Arial" w:cs="Arial" w:eastAsia="Arial" w:hAnsi="Arial"/>
                <w:sz w:val="18"/>
                <w:szCs w:val="18"/>
                <w:color w:val="auto"/>
              </w:rPr>
              <w:t>Common stock to be outstanding immediately after this offering</w:t>
            </w:r>
          </w:p>
        </w:tc>
        <w:tc>
          <w:tcPr>
            <w:tcW w:w="2060" w:type="dxa"/>
            <w:vAlign w:val="bottom"/>
          </w:tcPr>
          <w:p>
            <w:pPr>
              <w:ind w:left="1000"/>
              <w:spacing w:after="0"/>
              <w:rPr>
                <w:sz w:val="20"/>
                <w:szCs w:val="20"/>
                <w:color w:val="auto"/>
              </w:rPr>
            </w:pPr>
            <w:r>
              <w:rPr>
                <w:rFonts w:ascii="Arial" w:cs="Arial" w:eastAsia="Arial" w:hAnsi="Arial"/>
                <w:sz w:val="18"/>
                <w:szCs w:val="18"/>
                <w:color w:val="auto"/>
              </w:rPr>
              <w:t>shares (or</w:t>
            </w:r>
          </w:p>
        </w:tc>
        <w:tc>
          <w:tcPr>
            <w:tcW w:w="3660" w:type="dxa"/>
            <w:vAlign w:val="bottom"/>
            <w:gridSpan w:val="2"/>
          </w:tcPr>
          <w:p>
            <w:pPr>
              <w:ind w:left="400"/>
              <w:spacing w:after="0"/>
              <w:rPr>
                <w:sz w:val="20"/>
                <w:szCs w:val="20"/>
                <w:color w:val="auto"/>
              </w:rPr>
            </w:pPr>
            <w:r>
              <w:rPr>
                <w:rFonts w:ascii="Arial" w:cs="Arial" w:eastAsia="Arial" w:hAnsi="Arial"/>
                <w:sz w:val="18"/>
                <w:szCs w:val="18"/>
                <w:color w:val="auto"/>
              </w:rPr>
              <w:t>shares if the underwriters exercise</w:t>
            </w:r>
          </w:p>
        </w:tc>
      </w:tr>
      <w:tr>
        <w:trPr>
          <w:trHeight w:val="243"/>
        </w:trPr>
        <w:tc>
          <w:tcPr>
            <w:tcW w:w="5300" w:type="dxa"/>
            <w:vAlign w:val="bottom"/>
          </w:tcPr>
          <w:p>
            <w:pPr>
              <w:spacing w:after="0"/>
              <w:rPr>
                <w:sz w:val="21"/>
                <w:szCs w:val="21"/>
                <w:color w:val="auto"/>
              </w:rPr>
            </w:pPr>
          </w:p>
        </w:tc>
        <w:tc>
          <w:tcPr>
            <w:tcW w:w="5720" w:type="dxa"/>
            <w:vAlign w:val="bottom"/>
            <w:gridSpan w:val="3"/>
          </w:tcPr>
          <w:p>
            <w:pPr>
              <w:ind w:left="400"/>
              <w:spacing w:after="0"/>
              <w:rPr>
                <w:sz w:val="20"/>
                <w:szCs w:val="20"/>
                <w:color w:val="auto"/>
              </w:rPr>
            </w:pPr>
            <w:r>
              <w:rPr>
                <w:rFonts w:ascii="Arial" w:cs="Arial" w:eastAsia="Arial" w:hAnsi="Arial"/>
                <w:sz w:val="18"/>
                <w:szCs w:val="18"/>
                <w:color w:val="auto"/>
              </w:rPr>
              <w:t>their option to purchase additional shares in full).</w:t>
            </w: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5720" w:type="dxa"/>
            <w:vAlign w:val="bottom"/>
            <w:gridSpan w:val="3"/>
          </w:tcPr>
          <w:p>
            <w:pPr>
              <w:ind w:left="400"/>
              <w:spacing w:after="0"/>
              <w:rPr>
                <w:sz w:val="20"/>
                <w:szCs w:val="20"/>
                <w:color w:val="auto"/>
              </w:rPr>
            </w:pPr>
            <w:r>
              <w:rPr>
                <w:rFonts w:ascii="Arial" w:cs="Arial" w:eastAsia="Arial" w:hAnsi="Arial"/>
                <w:sz w:val="18"/>
                <w:szCs w:val="18"/>
                <w:color w:val="auto"/>
              </w:rPr>
              <w:t>We estimate that the net proceeds to us from the sale of the</w:t>
            </w:r>
          </w:p>
        </w:tc>
      </w:tr>
      <w:tr>
        <w:trPr>
          <w:trHeight w:val="203"/>
        </w:trPr>
        <w:tc>
          <w:tcPr>
            <w:tcW w:w="5300" w:type="dxa"/>
            <w:vAlign w:val="bottom"/>
          </w:tcPr>
          <w:p>
            <w:pPr>
              <w:spacing w:after="0"/>
              <w:rPr>
                <w:sz w:val="17"/>
                <w:szCs w:val="17"/>
                <w:color w:val="auto"/>
              </w:rPr>
            </w:pPr>
          </w:p>
        </w:tc>
        <w:tc>
          <w:tcPr>
            <w:tcW w:w="5720" w:type="dxa"/>
            <w:vAlign w:val="bottom"/>
            <w:gridSpan w:val="3"/>
          </w:tcPr>
          <w:p>
            <w:pPr>
              <w:ind w:left="400"/>
              <w:spacing w:after="0" w:line="202" w:lineRule="exact"/>
              <w:rPr>
                <w:sz w:val="20"/>
                <w:szCs w:val="20"/>
                <w:color w:val="auto"/>
              </w:rPr>
            </w:pPr>
            <w:r>
              <w:rPr>
                <w:rFonts w:ascii="Arial" w:cs="Arial" w:eastAsia="Arial" w:hAnsi="Arial"/>
                <w:sz w:val="18"/>
                <w:szCs w:val="18"/>
                <w:color w:val="auto"/>
              </w:rPr>
              <w:t>shares of our common stock in this offering will be</w:t>
            </w:r>
          </w:p>
        </w:tc>
      </w:tr>
      <w:tr>
        <w:trPr>
          <w:trHeight w:val="203"/>
        </w:trPr>
        <w:tc>
          <w:tcPr>
            <w:tcW w:w="5300" w:type="dxa"/>
            <w:vAlign w:val="bottom"/>
          </w:tcPr>
          <w:p>
            <w:pPr>
              <w:spacing w:after="0"/>
              <w:rPr>
                <w:sz w:val="17"/>
                <w:szCs w:val="17"/>
                <w:color w:val="auto"/>
              </w:rPr>
            </w:pPr>
          </w:p>
        </w:tc>
        <w:tc>
          <w:tcPr>
            <w:tcW w:w="2060" w:type="dxa"/>
            <w:vAlign w:val="bottom"/>
          </w:tcPr>
          <w:p>
            <w:pPr>
              <w:ind w:left="400"/>
              <w:spacing w:after="0" w:line="202" w:lineRule="exact"/>
              <w:rPr>
                <w:sz w:val="20"/>
                <w:szCs w:val="20"/>
                <w:color w:val="auto"/>
              </w:rPr>
            </w:pPr>
            <w:r>
              <w:rPr>
                <w:rFonts w:ascii="Arial" w:cs="Arial" w:eastAsia="Arial" w:hAnsi="Arial"/>
                <w:sz w:val="18"/>
                <w:szCs w:val="18"/>
                <w:color w:val="auto"/>
              </w:rPr>
              <w:t>approximately $</w:t>
            </w:r>
          </w:p>
        </w:tc>
        <w:tc>
          <w:tcPr>
            <w:tcW w:w="36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million, or approximately $</w:t>
            </w:r>
          </w:p>
        </w:tc>
      </w:tr>
      <w:tr>
        <w:trPr>
          <w:trHeight w:val="203"/>
        </w:trPr>
        <w:tc>
          <w:tcPr>
            <w:tcW w:w="5300" w:type="dxa"/>
            <w:vAlign w:val="bottom"/>
          </w:tcPr>
          <w:p>
            <w:pPr>
              <w:spacing w:after="0"/>
              <w:rPr>
                <w:sz w:val="17"/>
                <w:szCs w:val="17"/>
                <w:color w:val="auto"/>
              </w:rPr>
            </w:pPr>
          </w:p>
        </w:tc>
        <w:tc>
          <w:tcPr>
            <w:tcW w:w="5720" w:type="dxa"/>
            <w:vAlign w:val="bottom"/>
            <w:gridSpan w:val="3"/>
          </w:tcPr>
          <w:p>
            <w:pPr>
              <w:ind w:left="1000"/>
              <w:spacing w:after="0" w:line="202" w:lineRule="exact"/>
              <w:rPr>
                <w:sz w:val="20"/>
                <w:szCs w:val="20"/>
                <w:color w:val="auto"/>
              </w:rPr>
            </w:pPr>
            <w:r>
              <w:rPr>
                <w:rFonts w:ascii="Arial" w:cs="Arial" w:eastAsia="Arial" w:hAnsi="Arial"/>
                <w:sz w:val="18"/>
                <w:szCs w:val="18"/>
                <w:color w:val="auto"/>
              </w:rPr>
              <w:t>million if the underwriters exercise their option to</w:t>
            </w:r>
          </w:p>
        </w:tc>
      </w:tr>
      <w:tr>
        <w:trPr>
          <w:trHeight w:val="203"/>
        </w:trPr>
        <w:tc>
          <w:tcPr>
            <w:tcW w:w="5300" w:type="dxa"/>
            <w:vAlign w:val="bottom"/>
          </w:tcPr>
          <w:p>
            <w:pPr>
              <w:spacing w:after="0"/>
              <w:rPr>
                <w:sz w:val="17"/>
                <w:szCs w:val="17"/>
                <w:color w:val="auto"/>
              </w:rPr>
            </w:pPr>
          </w:p>
        </w:tc>
        <w:tc>
          <w:tcPr>
            <w:tcW w:w="5720" w:type="dxa"/>
            <w:vAlign w:val="bottom"/>
            <w:gridSpan w:val="3"/>
          </w:tcPr>
          <w:p>
            <w:pPr>
              <w:ind w:left="400"/>
              <w:spacing w:after="0" w:line="202" w:lineRule="exact"/>
              <w:rPr>
                <w:sz w:val="20"/>
                <w:szCs w:val="20"/>
                <w:color w:val="auto"/>
              </w:rPr>
            </w:pPr>
            <w:r>
              <w:rPr>
                <w:rFonts w:ascii="Arial" w:cs="Arial" w:eastAsia="Arial" w:hAnsi="Arial"/>
                <w:sz w:val="18"/>
                <w:szCs w:val="18"/>
                <w:color w:val="auto"/>
              </w:rPr>
              <w:t>purchase additional shares in full, based upon the assumed</w:t>
            </w:r>
          </w:p>
        </w:tc>
      </w:tr>
      <w:tr>
        <w:trPr>
          <w:trHeight w:val="203"/>
        </w:trPr>
        <w:tc>
          <w:tcPr>
            <w:tcW w:w="5300" w:type="dxa"/>
            <w:vAlign w:val="bottom"/>
          </w:tcPr>
          <w:p>
            <w:pPr>
              <w:spacing w:after="0"/>
              <w:rPr>
                <w:sz w:val="17"/>
                <w:szCs w:val="17"/>
                <w:color w:val="auto"/>
              </w:rPr>
            </w:pPr>
          </w:p>
        </w:tc>
        <w:tc>
          <w:tcPr>
            <w:tcW w:w="320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initial public offering price of $</w:t>
            </w:r>
          </w:p>
        </w:tc>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per share, which is the</w:t>
            </w:r>
          </w:p>
        </w:tc>
      </w:tr>
      <w:tr>
        <w:trPr>
          <w:trHeight w:val="203"/>
        </w:trPr>
        <w:tc>
          <w:tcPr>
            <w:tcW w:w="5300" w:type="dxa"/>
            <w:vAlign w:val="bottom"/>
          </w:tcPr>
          <w:p>
            <w:pPr>
              <w:spacing w:after="0"/>
              <w:rPr>
                <w:sz w:val="17"/>
                <w:szCs w:val="17"/>
                <w:color w:val="auto"/>
              </w:rPr>
            </w:pPr>
          </w:p>
        </w:tc>
        <w:tc>
          <w:tcPr>
            <w:tcW w:w="5720" w:type="dxa"/>
            <w:vAlign w:val="bottom"/>
            <w:gridSpan w:val="3"/>
          </w:tcPr>
          <w:p>
            <w:pPr>
              <w:ind w:left="400"/>
              <w:spacing w:after="0" w:line="202" w:lineRule="exact"/>
              <w:rPr>
                <w:sz w:val="20"/>
                <w:szCs w:val="20"/>
                <w:color w:val="auto"/>
              </w:rPr>
            </w:pPr>
            <w:r>
              <w:rPr>
                <w:rFonts w:ascii="Arial" w:cs="Arial" w:eastAsia="Arial" w:hAnsi="Arial"/>
                <w:sz w:val="18"/>
                <w:szCs w:val="18"/>
                <w:color w:val="auto"/>
              </w:rPr>
              <w:t>midpoint of the estimated offering price range set forth on the</w:t>
            </w:r>
          </w:p>
        </w:tc>
      </w:tr>
      <w:tr>
        <w:trPr>
          <w:trHeight w:val="203"/>
        </w:trPr>
        <w:tc>
          <w:tcPr>
            <w:tcW w:w="5300" w:type="dxa"/>
            <w:vAlign w:val="bottom"/>
          </w:tcPr>
          <w:p>
            <w:pPr>
              <w:spacing w:after="0"/>
              <w:rPr>
                <w:sz w:val="17"/>
                <w:szCs w:val="17"/>
                <w:color w:val="auto"/>
              </w:rPr>
            </w:pPr>
          </w:p>
        </w:tc>
        <w:tc>
          <w:tcPr>
            <w:tcW w:w="5720" w:type="dxa"/>
            <w:vAlign w:val="bottom"/>
            <w:gridSpan w:val="3"/>
          </w:tcPr>
          <w:p>
            <w:pPr>
              <w:ind w:left="400"/>
              <w:spacing w:after="0" w:line="202" w:lineRule="exact"/>
              <w:rPr>
                <w:sz w:val="20"/>
                <w:szCs w:val="20"/>
                <w:color w:val="auto"/>
              </w:rPr>
            </w:pPr>
            <w:r>
              <w:rPr>
                <w:rFonts w:ascii="Arial" w:cs="Arial" w:eastAsia="Arial" w:hAnsi="Arial"/>
                <w:sz w:val="18"/>
                <w:szCs w:val="18"/>
                <w:color w:val="auto"/>
              </w:rPr>
              <w:t>cover page of this prospectus, and after deducting estimated</w:t>
            </w:r>
          </w:p>
        </w:tc>
      </w:tr>
      <w:tr>
        <w:trPr>
          <w:trHeight w:val="203"/>
        </w:trPr>
        <w:tc>
          <w:tcPr>
            <w:tcW w:w="5300" w:type="dxa"/>
            <w:vAlign w:val="bottom"/>
          </w:tcPr>
          <w:p>
            <w:pPr>
              <w:spacing w:after="0"/>
              <w:rPr>
                <w:sz w:val="17"/>
                <w:szCs w:val="17"/>
                <w:color w:val="auto"/>
              </w:rPr>
            </w:pPr>
          </w:p>
        </w:tc>
        <w:tc>
          <w:tcPr>
            <w:tcW w:w="5720" w:type="dxa"/>
            <w:vAlign w:val="bottom"/>
            <w:gridSpan w:val="3"/>
          </w:tcPr>
          <w:p>
            <w:pPr>
              <w:ind w:left="400"/>
              <w:spacing w:after="0" w:line="202" w:lineRule="exact"/>
              <w:rPr>
                <w:sz w:val="20"/>
                <w:szCs w:val="20"/>
                <w:color w:val="auto"/>
              </w:rPr>
            </w:pPr>
            <w:r>
              <w:rPr>
                <w:rFonts w:ascii="Arial" w:cs="Arial" w:eastAsia="Arial" w:hAnsi="Arial"/>
                <w:sz w:val="18"/>
                <w:szCs w:val="18"/>
                <w:color w:val="auto"/>
              </w:rPr>
              <w:t>underwriting discounts and commissions and estimated offering</w:t>
            </w:r>
          </w:p>
        </w:tc>
      </w:tr>
      <w:tr>
        <w:trPr>
          <w:trHeight w:val="243"/>
        </w:trPr>
        <w:tc>
          <w:tcPr>
            <w:tcW w:w="5300" w:type="dxa"/>
            <w:vAlign w:val="bottom"/>
          </w:tcPr>
          <w:p>
            <w:pPr>
              <w:spacing w:after="0"/>
              <w:rPr>
                <w:sz w:val="21"/>
                <w:szCs w:val="21"/>
                <w:color w:val="auto"/>
              </w:rPr>
            </w:pPr>
          </w:p>
        </w:tc>
        <w:tc>
          <w:tcPr>
            <w:tcW w:w="3200" w:type="dxa"/>
            <w:vAlign w:val="bottom"/>
            <w:gridSpan w:val="2"/>
          </w:tcPr>
          <w:p>
            <w:pPr>
              <w:ind w:left="400"/>
              <w:spacing w:after="0"/>
              <w:rPr>
                <w:sz w:val="20"/>
                <w:szCs w:val="20"/>
                <w:color w:val="auto"/>
              </w:rPr>
            </w:pPr>
            <w:r>
              <w:rPr>
                <w:rFonts w:ascii="Arial" w:cs="Arial" w:eastAsia="Arial" w:hAnsi="Arial"/>
                <w:sz w:val="18"/>
                <w:szCs w:val="18"/>
                <w:color w:val="auto"/>
              </w:rPr>
              <w:t>expenses payable by us.</w:t>
            </w:r>
          </w:p>
        </w:tc>
        <w:tc>
          <w:tcPr>
            <w:tcW w:w="2520" w:type="dxa"/>
            <w:vAlign w:val="bottom"/>
          </w:tcPr>
          <w:p>
            <w:pPr>
              <w:spacing w:after="0"/>
              <w:rPr>
                <w:sz w:val="21"/>
                <w:szCs w:val="21"/>
                <w:color w:val="auto"/>
              </w:rPr>
            </w:pPr>
          </w:p>
        </w:tc>
      </w:tr>
      <w:tr>
        <w:trPr>
          <w:trHeight w:val="243"/>
        </w:trPr>
        <w:tc>
          <w:tcPr>
            <w:tcW w:w="5300" w:type="dxa"/>
            <w:vAlign w:val="bottom"/>
          </w:tcPr>
          <w:p>
            <w:pPr>
              <w:spacing w:after="0"/>
              <w:rPr>
                <w:sz w:val="21"/>
                <w:szCs w:val="21"/>
                <w:color w:val="auto"/>
              </w:rPr>
            </w:pPr>
          </w:p>
        </w:tc>
        <w:tc>
          <w:tcPr>
            <w:tcW w:w="5720" w:type="dxa"/>
            <w:vAlign w:val="bottom"/>
            <w:gridSpan w:val="3"/>
          </w:tcPr>
          <w:p>
            <w:pPr>
              <w:ind w:left="400"/>
              <w:spacing w:after="0"/>
              <w:rPr>
                <w:sz w:val="20"/>
                <w:szCs w:val="20"/>
                <w:color w:val="auto"/>
              </w:rPr>
            </w:pPr>
            <w:r>
              <w:rPr>
                <w:rFonts w:ascii="Arial" w:cs="Arial" w:eastAsia="Arial" w:hAnsi="Arial"/>
                <w:sz w:val="18"/>
                <w:szCs w:val="18"/>
                <w:color w:val="auto"/>
              </w:rPr>
              <w:t>We currently anticipate that we will use the net proceeds from</w:t>
            </w:r>
          </w:p>
        </w:tc>
      </w:tr>
      <w:tr>
        <w:trPr>
          <w:trHeight w:val="203"/>
        </w:trPr>
        <w:tc>
          <w:tcPr>
            <w:tcW w:w="5300" w:type="dxa"/>
            <w:vAlign w:val="bottom"/>
          </w:tcPr>
          <w:p>
            <w:pPr>
              <w:spacing w:after="0"/>
              <w:rPr>
                <w:sz w:val="17"/>
                <w:szCs w:val="17"/>
                <w:color w:val="auto"/>
              </w:rPr>
            </w:pPr>
          </w:p>
        </w:tc>
        <w:tc>
          <w:tcPr>
            <w:tcW w:w="5720" w:type="dxa"/>
            <w:vAlign w:val="bottom"/>
            <w:gridSpan w:val="3"/>
          </w:tcPr>
          <w:p>
            <w:pPr>
              <w:ind w:left="400"/>
              <w:spacing w:after="0" w:line="202" w:lineRule="exact"/>
              <w:rPr>
                <w:sz w:val="20"/>
                <w:szCs w:val="20"/>
                <w:color w:val="auto"/>
              </w:rPr>
            </w:pPr>
            <w:r>
              <w:rPr>
                <w:rFonts w:ascii="Arial" w:cs="Arial" w:eastAsia="Arial" w:hAnsi="Arial"/>
                <w:sz w:val="18"/>
                <w:szCs w:val="18"/>
                <w:color w:val="auto"/>
              </w:rPr>
              <w:t>this offering, together with our existing cash, cash equivalents</w:t>
            </w:r>
          </w:p>
        </w:tc>
      </w:tr>
      <w:tr>
        <w:trPr>
          <w:trHeight w:val="203"/>
        </w:trPr>
        <w:tc>
          <w:tcPr>
            <w:tcW w:w="5300" w:type="dxa"/>
            <w:vAlign w:val="bottom"/>
          </w:tcPr>
          <w:p>
            <w:pPr>
              <w:spacing w:after="0"/>
              <w:rPr>
                <w:sz w:val="17"/>
                <w:szCs w:val="17"/>
                <w:color w:val="auto"/>
              </w:rPr>
            </w:pPr>
          </w:p>
        </w:tc>
        <w:tc>
          <w:tcPr>
            <w:tcW w:w="5720" w:type="dxa"/>
            <w:vAlign w:val="bottom"/>
            <w:gridSpan w:val="3"/>
          </w:tcPr>
          <w:p>
            <w:pPr>
              <w:ind w:left="400"/>
              <w:spacing w:after="0" w:line="202" w:lineRule="exact"/>
              <w:rPr>
                <w:sz w:val="20"/>
                <w:szCs w:val="20"/>
                <w:color w:val="auto"/>
              </w:rPr>
            </w:pPr>
            <w:r>
              <w:rPr>
                <w:rFonts w:ascii="Arial" w:cs="Arial" w:eastAsia="Arial" w:hAnsi="Arial"/>
                <w:sz w:val="18"/>
                <w:szCs w:val="18"/>
                <w:color w:val="auto"/>
              </w:rPr>
              <w:t>and short-term marketable securities, as follows: (1) to fund the</w:t>
            </w:r>
          </w:p>
        </w:tc>
      </w:tr>
      <w:tr>
        <w:trPr>
          <w:trHeight w:val="203"/>
        </w:trPr>
        <w:tc>
          <w:tcPr>
            <w:tcW w:w="5300" w:type="dxa"/>
            <w:vAlign w:val="bottom"/>
          </w:tcPr>
          <w:p>
            <w:pPr>
              <w:spacing w:after="0"/>
              <w:rPr>
                <w:sz w:val="17"/>
                <w:szCs w:val="17"/>
                <w:color w:val="auto"/>
              </w:rPr>
            </w:pPr>
          </w:p>
        </w:tc>
        <w:tc>
          <w:tcPr>
            <w:tcW w:w="5720" w:type="dxa"/>
            <w:vAlign w:val="bottom"/>
            <w:gridSpan w:val="3"/>
          </w:tcPr>
          <w:p>
            <w:pPr>
              <w:ind w:left="400"/>
              <w:spacing w:after="0" w:line="202" w:lineRule="exact"/>
              <w:rPr>
                <w:sz w:val="20"/>
                <w:szCs w:val="20"/>
                <w:color w:val="auto"/>
              </w:rPr>
            </w:pPr>
            <w:r>
              <w:rPr>
                <w:rFonts w:ascii="Arial" w:cs="Arial" w:eastAsia="Arial" w:hAnsi="Arial"/>
                <w:sz w:val="18"/>
                <w:szCs w:val="18"/>
                <w:color w:val="auto"/>
              </w:rPr>
              <w:t>Phase 1/2 development of PC14586; (2) to support the</w:t>
            </w:r>
          </w:p>
        </w:tc>
      </w:tr>
      <w:tr>
        <w:trPr>
          <w:trHeight w:val="203"/>
        </w:trPr>
        <w:tc>
          <w:tcPr>
            <w:tcW w:w="5300" w:type="dxa"/>
            <w:vAlign w:val="bottom"/>
          </w:tcPr>
          <w:p>
            <w:pPr>
              <w:spacing w:after="0"/>
              <w:rPr>
                <w:sz w:val="17"/>
                <w:szCs w:val="17"/>
                <w:color w:val="auto"/>
              </w:rPr>
            </w:pPr>
          </w:p>
        </w:tc>
        <w:tc>
          <w:tcPr>
            <w:tcW w:w="5720" w:type="dxa"/>
            <w:vAlign w:val="bottom"/>
            <w:gridSpan w:val="3"/>
          </w:tcPr>
          <w:p>
            <w:pPr>
              <w:ind w:left="400"/>
              <w:spacing w:after="0" w:line="202" w:lineRule="exact"/>
              <w:rPr>
                <w:sz w:val="20"/>
                <w:szCs w:val="20"/>
                <w:color w:val="auto"/>
              </w:rPr>
            </w:pPr>
            <w:r>
              <w:rPr>
                <w:rFonts w:ascii="Arial" w:cs="Arial" w:eastAsia="Arial" w:hAnsi="Arial"/>
                <w:sz w:val="18"/>
                <w:szCs w:val="18"/>
                <w:color w:val="auto"/>
              </w:rPr>
              <w:t>development of our next p53 hotspot mutation product</w:t>
            </w:r>
          </w:p>
        </w:tc>
      </w:tr>
      <w:tr>
        <w:trPr>
          <w:trHeight w:val="203"/>
        </w:trPr>
        <w:tc>
          <w:tcPr>
            <w:tcW w:w="5300" w:type="dxa"/>
            <w:vAlign w:val="bottom"/>
          </w:tcPr>
          <w:p>
            <w:pPr>
              <w:spacing w:after="0"/>
              <w:rPr>
                <w:sz w:val="17"/>
                <w:szCs w:val="17"/>
                <w:color w:val="auto"/>
              </w:rPr>
            </w:pPr>
          </w:p>
        </w:tc>
        <w:tc>
          <w:tcPr>
            <w:tcW w:w="5720" w:type="dxa"/>
            <w:vAlign w:val="bottom"/>
            <w:gridSpan w:val="3"/>
          </w:tcPr>
          <w:p>
            <w:pPr>
              <w:ind w:left="400"/>
              <w:spacing w:after="0" w:line="202" w:lineRule="exact"/>
              <w:rPr>
                <w:sz w:val="20"/>
                <w:szCs w:val="20"/>
                <w:color w:val="auto"/>
              </w:rPr>
            </w:pPr>
            <w:r>
              <w:rPr>
                <w:rFonts w:ascii="Arial" w:cs="Arial" w:eastAsia="Arial" w:hAnsi="Arial"/>
                <w:sz w:val="18"/>
                <w:szCs w:val="18"/>
                <w:color w:val="auto"/>
              </w:rPr>
              <w:t>candidate, including IND-enabling studies; (3) for the</w:t>
            </w:r>
          </w:p>
        </w:tc>
      </w:tr>
      <w:tr>
        <w:trPr>
          <w:trHeight w:val="203"/>
        </w:trPr>
        <w:tc>
          <w:tcPr>
            <w:tcW w:w="5300" w:type="dxa"/>
            <w:vAlign w:val="bottom"/>
          </w:tcPr>
          <w:p>
            <w:pPr>
              <w:spacing w:after="0"/>
              <w:rPr>
                <w:sz w:val="17"/>
                <w:szCs w:val="17"/>
                <w:color w:val="auto"/>
              </w:rPr>
            </w:pPr>
          </w:p>
        </w:tc>
        <w:tc>
          <w:tcPr>
            <w:tcW w:w="5720" w:type="dxa"/>
            <w:vAlign w:val="bottom"/>
            <w:gridSpan w:val="3"/>
          </w:tcPr>
          <w:p>
            <w:pPr>
              <w:ind w:left="400"/>
              <w:spacing w:after="0" w:line="202" w:lineRule="exact"/>
              <w:rPr>
                <w:sz w:val="20"/>
                <w:szCs w:val="20"/>
                <w:color w:val="auto"/>
              </w:rPr>
            </w:pPr>
            <w:r>
              <w:rPr>
                <w:rFonts w:ascii="Arial" w:cs="Arial" w:eastAsia="Arial" w:hAnsi="Arial"/>
                <w:sz w:val="18"/>
                <w:szCs w:val="18"/>
                <w:color w:val="auto"/>
              </w:rPr>
              <w:t>development of our pipeline discovery programs; and (4) for</w:t>
            </w:r>
          </w:p>
        </w:tc>
      </w:tr>
      <w:tr>
        <w:trPr>
          <w:trHeight w:val="202"/>
        </w:trPr>
        <w:tc>
          <w:tcPr>
            <w:tcW w:w="5300" w:type="dxa"/>
            <w:vAlign w:val="bottom"/>
          </w:tcPr>
          <w:p>
            <w:pPr>
              <w:spacing w:after="0"/>
              <w:rPr>
                <w:sz w:val="17"/>
                <w:szCs w:val="17"/>
                <w:color w:val="auto"/>
              </w:rPr>
            </w:pPr>
          </w:p>
        </w:tc>
        <w:tc>
          <w:tcPr>
            <w:tcW w:w="5720" w:type="dxa"/>
            <w:vAlign w:val="bottom"/>
            <w:gridSpan w:val="3"/>
          </w:tcPr>
          <w:p>
            <w:pPr>
              <w:ind w:left="400"/>
              <w:spacing w:after="0" w:line="202" w:lineRule="exact"/>
              <w:rPr>
                <w:sz w:val="20"/>
                <w:szCs w:val="20"/>
                <w:color w:val="auto"/>
              </w:rPr>
            </w:pPr>
            <w:r>
              <w:rPr>
                <w:rFonts w:ascii="Arial" w:cs="Arial" w:eastAsia="Arial" w:hAnsi="Arial"/>
                <w:sz w:val="18"/>
                <w:szCs w:val="18"/>
                <w:color w:val="auto"/>
              </w:rPr>
              <w:t>other research and development opportunities, working capital</w:t>
            </w:r>
          </w:p>
        </w:tc>
      </w:tr>
      <w:tr>
        <w:trPr>
          <w:trHeight w:val="243"/>
        </w:trPr>
        <w:tc>
          <w:tcPr>
            <w:tcW w:w="5300" w:type="dxa"/>
            <w:vAlign w:val="bottom"/>
          </w:tcPr>
          <w:p>
            <w:pPr>
              <w:spacing w:after="0"/>
              <w:rPr>
                <w:sz w:val="21"/>
                <w:szCs w:val="21"/>
                <w:color w:val="auto"/>
              </w:rPr>
            </w:pPr>
          </w:p>
        </w:tc>
        <w:tc>
          <w:tcPr>
            <w:tcW w:w="3200" w:type="dxa"/>
            <w:vAlign w:val="bottom"/>
            <w:gridSpan w:val="2"/>
          </w:tcPr>
          <w:p>
            <w:pPr>
              <w:ind w:left="400"/>
              <w:spacing w:after="0"/>
              <w:rPr>
                <w:sz w:val="20"/>
                <w:szCs w:val="20"/>
                <w:color w:val="auto"/>
              </w:rPr>
            </w:pPr>
            <w:r>
              <w:rPr>
                <w:rFonts w:ascii="Arial" w:cs="Arial" w:eastAsia="Arial" w:hAnsi="Arial"/>
                <w:sz w:val="18"/>
                <w:szCs w:val="18"/>
                <w:color w:val="auto"/>
              </w:rPr>
              <w:t>and general corporate purposes.</w:t>
            </w:r>
          </w:p>
        </w:tc>
        <w:tc>
          <w:tcPr>
            <w:tcW w:w="2520" w:type="dxa"/>
            <w:vAlign w:val="bottom"/>
          </w:tcPr>
          <w:p>
            <w:pPr>
              <w:spacing w:after="0"/>
              <w:rPr>
                <w:sz w:val="21"/>
                <w:szCs w:val="21"/>
                <w:color w:val="auto"/>
              </w:rPr>
            </w:pPr>
          </w:p>
        </w:tc>
      </w:tr>
      <w:tr>
        <w:trPr>
          <w:trHeight w:val="283"/>
        </w:trPr>
        <w:tc>
          <w:tcPr>
            <w:tcW w:w="5300" w:type="dxa"/>
            <w:vAlign w:val="bottom"/>
          </w:tcPr>
          <w:p>
            <w:pPr>
              <w:spacing w:after="0"/>
              <w:rPr>
                <w:sz w:val="24"/>
                <w:szCs w:val="24"/>
                <w:color w:val="auto"/>
              </w:rPr>
            </w:pPr>
          </w:p>
        </w:tc>
        <w:tc>
          <w:tcPr>
            <w:tcW w:w="5720" w:type="dxa"/>
            <w:vAlign w:val="bottom"/>
            <w:gridSpan w:val="3"/>
          </w:tcPr>
          <w:p>
            <w:pPr>
              <w:ind w:left="400"/>
              <w:spacing w:after="0"/>
              <w:rPr>
                <w:sz w:val="20"/>
                <w:szCs w:val="20"/>
                <w:color w:val="auto"/>
              </w:rPr>
            </w:pPr>
            <w:r>
              <w:rPr>
                <w:rFonts w:ascii="Arial" w:cs="Arial" w:eastAsia="Arial" w:hAnsi="Arial"/>
                <w:sz w:val="18"/>
                <w:szCs w:val="18"/>
                <w:color w:val="auto"/>
              </w:rPr>
              <w:t>See the section titled “Use of Proceeds” for more information.</w:t>
            </w: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5720" w:type="dxa"/>
            <w:vAlign w:val="bottom"/>
            <w:gridSpan w:val="3"/>
          </w:tcPr>
          <w:p>
            <w:pPr>
              <w:ind w:left="400"/>
              <w:spacing w:after="0"/>
              <w:rPr>
                <w:sz w:val="20"/>
                <w:szCs w:val="20"/>
                <w:color w:val="auto"/>
              </w:rPr>
            </w:pPr>
            <w:r>
              <w:rPr>
                <w:rFonts w:ascii="Arial" w:cs="Arial" w:eastAsia="Arial" w:hAnsi="Arial"/>
                <w:sz w:val="18"/>
                <w:szCs w:val="18"/>
                <w:color w:val="auto"/>
              </w:rPr>
              <w:t>See the section of this prospectus titled “Risk Factors”</w:t>
            </w:r>
          </w:p>
        </w:tc>
      </w:tr>
      <w:tr>
        <w:trPr>
          <w:trHeight w:val="203"/>
        </w:trPr>
        <w:tc>
          <w:tcPr>
            <w:tcW w:w="5300" w:type="dxa"/>
            <w:vAlign w:val="bottom"/>
          </w:tcPr>
          <w:p>
            <w:pPr>
              <w:spacing w:after="0"/>
              <w:rPr>
                <w:sz w:val="17"/>
                <w:szCs w:val="17"/>
                <w:color w:val="auto"/>
              </w:rPr>
            </w:pPr>
          </w:p>
        </w:tc>
        <w:tc>
          <w:tcPr>
            <w:tcW w:w="5720" w:type="dxa"/>
            <w:vAlign w:val="bottom"/>
            <w:gridSpan w:val="3"/>
          </w:tcPr>
          <w:p>
            <w:pPr>
              <w:ind w:left="400"/>
              <w:spacing w:after="0" w:line="202" w:lineRule="exact"/>
              <w:rPr>
                <w:sz w:val="20"/>
                <w:szCs w:val="20"/>
                <w:color w:val="auto"/>
              </w:rPr>
            </w:pPr>
            <w:r>
              <w:rPr>
                <w:rFonts w:ascii="Arial" w:cs="Arial" w:eastAsia="Arial" w:hAnsi="Arial"/>
                <w:sz w:val="18"/>
                <w:szCs w:val="18"/>
                <w:color w:val="auto"/>
              </w:rPr>
              <w:t>beginning on page 15 and other information included in this</w:t>
            </w:r>
          </w:p>
        </w:tc>
      </w:tr>
      <w:tr>
        <w:trPr>
          <w:trHeight w:val="203"/>
        </w:trPr>
        <w:tc>
          <w:tcPr>
            <w:tcW w:w="5300" w:type="dxa"/>
            <w:vAlign w:val="bottom"/>
          </w:tcPr>
          <w:p>
            <w:pPr>
              <w:spacing w:after="0"/>
              <w:rPr>
                <w:sz w:val="17"/>
                <w:szCs w:val="17"/>
                <w:color w:val="auto"/>
              </w:rPr>
            </w:pPr>
          </w:p>
        </w:tc>
        <w:tc>
          <w:tcPr>
            <w:tcW w:w="5720" w:type="dxa"/>
            <w:vAlign w:val="bottom"/>
            <w:gridSpan w:val="3"/>
          </w:tcPr>
          <w:p>
            <w:pPr>
              <w:ind w:left="400"/>
              <w:spacing w:after="0" w:line="202" w:lineRule="exact"/>
              <w:rPr>
                <w:sz w:val="20"/>
                <w:szCs w:val="20"/>
                <w:color w:val="auto"/>
              </w:rPr>
            </w:pPr>
            <w:r>
              <w:rPr>
                <w:rFonts w:ascii="Arial" w:cs="Arial" w:eastAsia="Arial" w:hAnsi="Arial"/>
                <w:sz w:val="18"/>
                <w:szCs w:val="18"/>
                <w:color w:val="auto"/>
              </w:rPr>
              <w:t>prospectus for a discussion of factors you should carefully</w:t>
            </w:r>
          </w:p>
        </w:tc>
      </w:tr>
      <w:tr>
        <w:trPr>
          <w:trHeight w:val="203"/>
        </w:trPr>
        <w:tc>
          <w:tcPr>
            <w:tcW w:w="5300" w:type="dxa"/>
            <w:vAlign w:val="bottom"/>
          </w:tcPr>
          <w:p>
            <w:pPr>
              <w:spacing w:after="0"/>
              <w:rPr>
                <w:sz w:val="17"/>
                <w:szCs w:val="17"/>
                <w:color w:val="auto"/>
              </w:rPr>
            </w:pPr>
          </w:p>
        </w:tc>
        <w:tc>
          <w:tcPr>
            <w:tcW w:w="5720" w:type="dxa"/>
            <w:vAlign w:val="bottom"/>
            <w:gridSpan w:val="3"/>
          </w:tcPr>
          <w:p>
            <w:pPr>
              <w:ind w:left="400"/>
              <w:spacing w:after="0" w:line="202" w:lineRule="exact"/>
              <w:rPr>
                <w:sz w:val="20"/>
                <w:szCs w:val="20"/>
                <w:color w:val="auto"/>
              </w:rPr>
            </w:pPr>
            <w:r>
              <w:rPr>
                <w:rFonts w:ascii="Arial" w:cs="Arial" w:eastAsia="Arial" w:hAnsi="Arial"/>
                <w:sz w:val="18"/>
                <w:szCs w:val="18"/>
                <w:color w:val="auto"/>
              </w:rPr>
              <w:t>consider before deciding to invest in shares of our common</w:t>
            </w:r>
          </w:p>
        </w:tc>
      </w:tr>
      <w:tr>
        <w:trPr>
          <w:trHeight w:val="243"/>
        </w:trPr>
        <w:tc>
          <w:tcPr>
            <w:tcW w:w="5300" w:type="dxa"/>
            <w:vAlign w:val="bottom"/>
          </w:tcPr>
          <w:p>
            <w:pPr>
              <w:spacing w:after="0"/>
              <w:rPr>
                <w:sz w:val="21"/>
                <w:szCs w:val="21"/>
                <w:color w:val="auto"/>
              </w:rPr>
            </w:pPr>
          </w:p>
        </w:tc>
        <w:tc>
          <w:tcPr>
            <w:tcW w:w="2060" w:type="dxa"/>
            <w:vAlign w:val="bottom"/>
          </w:tcPr>
          <w:p>
            <w:pPr>
              <w:ind w:left="400"/>
              <w:spacing w:after="0"/>
              <w:rPr>
                <w:sz w:val="20"/>
                <w:szCs w:val="20"/>
                <w:color w:val="auto"/>
              </w:rPr>
            </w:pPr>
            <w:r>
              <w:rPr>
                <w:rFonts w:ascii="Arial" w:cs="Arial" w:eastAsia="Arial" w:hAnsi="Arial"/>
                <w:sz w:val="18"/>
                <w:szCs w:val="18"/>
                <w:color w:val="auto"/>
              </w:rPr>
              <w:t>stock.</w:t>
            </w:r>
          </w:p>
        </w:tc>
        <w:tc>
          <w:tcPr>
            <w:tcW w:w="114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83"/>
        </w:trPr>
        <w:tc>
          <w:tcPr>
            <w:tcW w:w="5300" w:type="dxa"/>
            <w:vAlign w:val="bottom"/>
          </w:tcPr>
          <w:p>
            <w:pPr>
              <w:ind w:left="180"/>
              <w:spacing w:after="0"/>
              <w:rPr>
                <w:sz w:val="20"/>
                <w:szCs w:val="20"/>
                <w:color w:val="auto"/>
              </w:rPr>
            </w:pPr>
            <w:r>
              <w:rPr>
                <w:rFonts w:ascii="Arial" w:cs="Arial" w:eastAsia="Arial" w:hAnsi="Arial"/>
                <w:sz w:val="18"/>
                <w:szCs w:val="18"/>
                <w:color w:val="auto"/>
              </w:rPr>
              <w:t>Proposed Nasdaq Global Market trading symbol</w:t>
            </w:r>
          </w:p>
        </w:tc>
        <w:tc>
          <w:tcPr>
            <w:tcW w:w="2060" w:type="dxa"/>
            <w:vAlign w:val="bottom"/>
          </w:tcPr>
          <w:p>
            <w:pPr>
              <w:ind w:left="400"/>
              <w:spacing w:after="0"/>
              <w:rPr>
                <w:sz w:val="20"/>
                <w:szCs w:val="20"/>
                <w:color w:val="auto"/>
              </w:rPr>
            </w:pPr>
            <w:r>
              <w:rPr>
                <w:rFonts w:ascii="Arial" w:cs="Arial" w:eastAsia="Arial" w:hAnsi="Arial"/>
                <w:sz w:val="18"/>
                <w:szCs w:val="18"/>
                <w:color w:val="auto"/>
              </w:rPr>
              <w:t>“PMVP”</w:t>
            </w:r>
          </w:p>
        </w:tc>
        <w:tc>
          <w:tcPr>
            <w:tcW w:w="11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36"/>
        </w:trPr>
        <w:tc>
          <w:tcPr>
            <w:tcW w:w="53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r>
      <w:tr>
        <w:trPr>
          <w:trHeight w:val="608"/>
        </w:trPr>
        <w:tc>
          <w:tcPr>
            <w:tcW w:w="5300" w:type="dxa"/>
            <w:vAlign w:val="bottom"/>
          </w:tcPr>
          <w:p>
            <w:pPr>
              <w:spacing w:after="0"/>
              <w:rPr>
                <w:sz w:val="24"/>
                <w:szCs w:val="24"/>
                <w:color w:val="auto"/>
              </w:rPr>
            </w:pPr>
          </w:p>
        </w:tc>
        <w:tc>
          <w:tcPr>
            <w:tcW w:w="2060" w:type="dxa"/>
            <w:vAlign w:val="bottom"/>
          </w:tcPr>
          <w:p>
            <w:pPr>
              <w:ind w:left="120"/>
              <w:spacing w:after="0"/>
              <w:rPr>
                <w:sz w:val="20"/>
                <w:szCs w:val="20"/>
                <w:color w:val="auto"/>
              </w:rPr>
            </w:pPr>
            <w:r>
              <w:rPr>
                <w:rFonts w:ascii="Arial" w:cs="Arial" w:eastAsia="Arial" w:hAnsi="Arial"/>
                <w:sz w:val="18"/>
                <w:szCs w:val="18"/>
                <w:color w:val="auto"/>
              </w:rPr>
              <w:t>11</w:t>
            </w:r>
          </w:p>
        </w:tc>
        <w:tc>
          <w:tcPr>
            <w:tcW w:w="114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5389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45389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120" w:firstLine="532"/>
        <w:spacing w:after="0" w:line="255" w:lineRule="auto"/>
        <w:rPr>
          <w:sz w:val="20"/>
          <w:szCs w:val="20"/>
          <w:color w:val="auto"/>
        </w:rPr>
      </w:pPr>
      <w:r>
        <w:rPr>
          <w:rFonts w:ascii="Arial" w:cs="Arial" w:eastAsia="Arial" w:hAnsi="Arial"/>
          <w:sz w:val="18"/>
          <w:szCs w:val="18"/>
          <w:color w:val="auto"/>
        </w:rPr>
        <w:t>The number of shares of our common stock to be outstanding after this offering is based on shares of our common stock outstanding as of June 30, 2020 (including an aggregate of shares of common stock issuable upon conversion of our outstanding convertible preferred stock as of June 30, 2020), and excludes the following:</w:t>
      </w:r>
    </w:p>
    <w:p>
      <w:pPr>
        <w:spacing w:after="0" w:line="69" w:lineRule="exact"/>
        <w:rPr>
          <w:sz w:val="20"/>
          <w:szCs w:val="20"/>
          <w:color w:val="auto"/>
        </w:rPr>
      </w:pPr>
    </w:p>
    <w:p>
      <w:pPr>
        <w:ind w:left="1620" w:hanging="795"/>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of common stock issuable upon exercise of options to purchase shares of our common stock outstanding as</w:t>
      </w:r>
    </w:p>
    <w:p>
      <w:pPr>
        <w:spacing w:after="0" w:line="18" w:lineRule="exact"/>
        <w:rPr>
          <w:sz w:val="20"/>
          <w:szCs w:val="20"/>
          <w:color w:val="auto"/>
        </w:rPr>
      </w:pPr>
    </w:p>
    <w:p>
      <w:pPr>
        <w:ind w:left="1020"/>
        <w:spacing w:after="0"/>
        <w:tabs>
          <w:tab w:leader="none" w:pos="6700" w:val="left"/>
        </w:tabs>
        <w:rPr>
          <w:sz w:val="20"/>
          <w:szCs w:val="20"/>
          <w:color w:val="auto"/>
        </w:rPr>
      </w:pPr>
      <w:r>
        <w:rPr>
          <w:rFonts w:ascii="Arial" w:cs="Arial" w:eastAsia="Arial" w:hAnsi="Arial"/>
          <w:sz w:val="18"/>
          <w:szCs w:val="18"/>
          <w:color w:val="auto"/>
        </w:rPr>
        <w:t>of June 30, 2020, with a weighted-average exercise price of $</w:t>
      </w:r>
      <w:r>
        <w:rPr>
          <w:sz w:val="20"/>
          <w:szCs w:val="20"/>
          <w:color w:val="auto"/>
        </w:rPr>
        <w:tab/>
      </w:r>
      <w:r>
        <w:rPr>
          <w:rFonts w:ascii="Arial" w:cs="Arial" w:eastAsia="Arial" w:hAnsi="Arial"/>
          <w:sz w:val="17"/>
          <w:szCs w:val="17"/>
          <w:color w:val="auto"/>
        </w:rPr>
        <w:t>per share;</w:t>
      </w:r>
    </w:p>
    <w:p>
      <w:pPr>
        <w:spacing w:after="0" w:line="95" w:lineRule="exact"/>
        <w:rPr>
          <w:sz w:val="20"/>
          <w:szCs w:val="20"/>
          <w:color w:val="auto"/>
        </w:rPr>
      </w:pPr>
    </w:p>
    <w:p>
      <w:pPr>
        <w:ind w:left="1620" w:hanging="795"/>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of common stock issuable upon exercise of options to purchase shares of our common stock that we granted</w:t>
      </w:r>
    </w:p>
    <w:p>
      <w:pPr>
        <w:spacing w:after="0" w:line="18" w:lineRule="exact"/>
        <w:rPr>
          <w:sz w:val="20"/>
          <w:szCs w:val="20"/>
          <w:color w:val="auto"/>
        </w:rPr>
      </w:pPr>
    </w:p>
    <w:p>
      <w:pPr>
        <w:ind w:left="1020"/>
        <w:spacing w:after="0"/>
        <w:tabs>
          <w:tab w:leader="none" w:pos="6900" w:val="left"/>
        </w:tabs>
        <w:rPr>
          <w:sz w:val="20"/>
          <w:szCs w:val="20"/>
          <w:color w:val="auto"/>
        </w:rPr>
      </w:pPr>
      <w:r>
        <w:rPr>
          <w:rFonts w:ascii="Arial" w:cs="Arial" w:eastAsia="Arial" w:hAnsi="Arial"/>
          <w:sz w:val="18"/>
          <w:szCs w:val="18"/>
          <w:color w:val="auto"/>
        </w:rPr>
        <w:t>after June 30, 2020, with a weighted-average exercise price of $</w:t>
      </w:r>
      <w:r>
        <w:rPr>
          <w:sz w:val="20"/>
          <w:szCs w:val="20"/>
          <w:color w:val="auto"/>
        </w:rPr>
        <w:tab/>
      </w:r>
      <w:r>
        <w:rPr>
          <w:rFonts w:ascii="Arial" w:cs="Arial" w:eastAsia="Arial" w:hAnsi="Arial"/>
          <w:sz w:val="18"/>
          <w:szCs w:val="18"/>
          <w:color w:val="auto"/>
        </w:rPr>
        <w:t>per share;</w:t>
      </w:r>
    </w:p>
    <w:p>
      <w:pPr>
        <w:spacing w:after="0" w:line="95" w:lineRule="exact"/>
        <w:rPr>
          <w:sz w:val="20"/>
          <w:szCs w:val="20"/>
          <w:color w:val="auto"/>
        </w:rPr>
      </w:pPr>
    </w:p>
    <w:p>
      <w:pPr>
        <w:ind w:left="1020" w:right="80" w:hanging="195"/>
        <w:spacing w:after="0" w:line="255"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2013 Equity Incentive Plan, as amended, or 2013 Plan, which shares will be added to the shares to be reserved under our 2020 Equity Incentive Plan, or 2020 Plan, upon its effectiveness;</w:t>
      </w:r>
    </w:p>
    <w:p>
      <w:pPr>
        <w:spacing w:after="0" w:line="69" w:lineRule="exact"/>
        <w:rPr>
          <w:rFonts w:ascii="Arial" w:cs="Arial" w:eastAsia="Arial" w:hAnsi="Arial"/>
          <w:sz w:val="18"/>
          <w:szCs w:val="18"/>
          <w:color w:val="auto"/>
        </w:rPr>
      </w:pPr>
    </w:p>
    <w:p>
      <w:pPr>
        <w:ind w:left="1020" w:right="20" w:hanging="195"/>
        <w:spacing w:after="0" w:line="255"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warrant to purchase an aggregate of 56,866 shares of our convertible preferred stock outstanding as of June 30, 2020 that will be converted into a warrant to purchase an aggregate of 56,866 shares of our common stock, with an exercise price of $0.3517 per share, upon the completion of this offering; and</w:t>
      </w:r>
    </w:p>
    <w:p>
      <w:pPr>
        <w:spacing w:after="0" w:line="69" w:lineRule="exact"/>
        <w:rPr>
          <w:rFonts w:ascii="Arial" w:cs="Arial" w:eastAsia="Arial" w:hAnsi="Arial"/>
          <w:sz w:val="18"/>
          <w:szCs w:val="18"/>
          <w:color w:val="auto"/>
        </w:rPr>
      </w:pPr>
    </w:p>
    <w:p>
      <w:pPr>
        <w:ind w:left="1020" w:right="240" w:hanging="195"/>
        <w:spacing w:after="0" w:line="248" w:lineRule="auto"/>
        <w:tabs>
          <w:tab w:leader="none" w:pos="16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2020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117" w:lineRule="exact"/>
        <w:rPr>
          <w:sz w:val="20"/>
          <w:szCs w:val="20"/>
          <w:color w:val="auto"/>
        </w:rPr>
      </w:pPr>
    </w:p>
    <w:p>
      <w:pPr>
        <w:ind w:left="1020" w:hanging="19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of the outstanding options or warrant;</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common stock from us in this offering;</w:t>
      </w:r>
    </w:p>
    <w:p>
      <w:pPr>
        <w:spacing w:after="0" w:line="117" w:lineRule="exact"/>
        <w:rPr>
          <w:rFonts w:ascii="Arial" w:cs="Arial" w:eastAsia="Arial" w:hAnsi="Arial"/>
          <w:sz w:val="18"/>
          <w:szCs w:val="18"/>
          <w:color w:val="auto"/>
        </w:rPr>
      </w:pPr>
    </w:p>
    <w:p>
      <w:pPr>
        <w:ind w:left="1020" w:right="60" w:hanging="195"/>
        <w:spacing w:after="0" w:line="27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conversion of all outstanding shares of our convertible preferred stock into shares of our common stock, which will occur immediately prior to the completion of this offering;</w:t>
      </w:r>
    </w:p>
    <w:p>
      <w:pPr>
        <w:spacing w:after="0" w:line="50" w:lineRule="exact"/>
        <w:rPr>
          <w:rFonts w:ascii="Arial" w:cs="Arial" w:eastAsia="Arial" w:hAnsi="Arial"/>
          <w:sz w:val="18"/>
          <w:szCs w:val="18"/>
          <w:color w:val="auto"/>
        </w:rPr>
      </w:pPr>
    </w:p>
    <w:p>
      <w:pPr>
        <w:ind w:left="1020" w:hanging="195"/>
        <w:spacing w:after="0" w:line="306"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conversion of an outstanding warrant exercisable for shares of our convertible preferred stock into a warrant exercisable for 56,866 shares of our common stock, with an exercise price of $0.3517 per share upon the completion of this offering; and</w:t>
      </w:r>
    </w:p>
    <w:p>
      <w:pPr>
        <w:spacing w:after="0" w:line="28" w:lineRule="exact"/>
        <w:rPr>
          <w:rFonts w:ascii="Arial" w:cs="Arial" w:eastAsia="Arial" w:hAnsi="Arial"/>
          <w:sz w:val="17"/>
          <w:szCs w:val="17"/>
          <w:color w:val="auto"/>
        </w:rPr>
      </w:pPr>
    </w:p>
    <w:p>
      <w:pPr>
        <w:ind w:left="1020" w:right="260" w:hanging="195"/>
        <w:spacing w:after="0" w:line="27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effectiveness of our amended and restated bylaws, which will occur immediately prior to the completion of this offering.</w:t>
      </w:r>
    </w:p>
    <w:p>
      <w:pPr>
        <w:spacing w:after="0" w:line="200" w:lineRule="exact"/>
        <w:rPr>
          <w:sz w:val="20"/>
          <w:szCs w:val="20"/>
          <w:color w:val="auto"/>
        </w:rPr>
      </w:pPr>
    </w:p>
    <w:p>
      <w:pPr>
        <w:spacing w:after="0" w:line="3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320" w:top="455" w:right="6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1301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513016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FINANCIAL DATA</w:t>
      </w:r>
    </w:p>
    <w:p>
      <w:pPr>
        <w:spacing w:after="0" w:line="214" w:lineRule="exact"/>
        <w:rPr>
          <w:sz w:val="20"/>
          <w:szCs w:val="20"/>
          <w:color w:val="auto"/>
        </w:rPr>
      </w:pPr>
    </w:p>
    <w:p>
      <w:pPr>
        <w:ind w:left="300" w:right="80" w:firstLine="532"/>
        <w:spacing w:after="0" w:line="241" w:lineRule="auto"/>
        <w:rPr>
          <w:sz w:val="20"/>
          <w:szCs w:val="20"/>
          <w:color w:val="auto"/>
        </w:rPr>
      </w:pPr>
      <w:r>
        <w:rPr>
          <w:rFonts w:ascii="Arial" w:cs="Arial" w:eastAsia="Arial" w:hAnsi="Arial"/>
          <w:sz w:val="18"/>
          <w:szCs w:val="18"/>
          <w:color w:val="auto"/>
        </w:rPr>
        <w:t>The following tables summarize our financial data for the periods and as of the dates indicated. We have derived the summary statements of operations data for the years ended December 31, 2018 and 2019 and the summary balance sheet data as of December 31, 2019 from our audited financial statements and related notes included elsewhere in this prospectus. Our historical results are not necessarily indicative of results that may be expected in the future. You should read the following summary financial data together with our financial statements and the related notes appearing elsewhere in this prospectus and the information in the sections titled “Selected Financial Data” and “Management’s Discussion and Analysis of Financial Condition and Results of Operations.”</w:t>
      </w:r>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177"/>
        </w:trPr>
        <w:tc>
          <w:tcPr>
            <w:tcW w:w="7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7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7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gridSpan w:val="5"/>
          </w:tcPr>
          <w:p>
            <w:pPr>
              <w:jc w:val="center"/>
              <w:ind w:right="11"/>
              <w:spacing w:after="0" w:line="141" w:lineRule="exact"/>
              <w:rPr>
                <w:sz w:val="20"/>
                <w:szCs w:val="20"/>
                <w:color w:val="auto"/>
              </w:rPr>
            </w:pPr>
            <w:r>
              <w:rPr>
                <w:rFonts w:ascii="Arial" w:cs="Arial" w:eastAsia="Arial" w:hAnsi="Arial"/>
                <w:sz w:val="14"/>
                <w:szCs w:val="14"/>
                <w:b w:val="1"/>
                <w:bCs w:val="1"/>
                <w:color w:val="auto"/>
              </w:rPr>
              <w:t>(in thousands except share and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per share amounts)</w:t>
            </w:r>
          </w:p>
        </w:tc>
        <w:tc>
          <w:tcPr>
            <w:tcW w:w="0" w:type="dxa"/>
            <w:vAlign w:val="bottom"/>
          </w:tcPr>
          <w:p>
            <w:pPr>
              <w:spacing w:after="0"/>
              <w:rPr>
                <w:sz w:val="1"/>
                <w:szCs w:val="1"/>
                <w:color w:val="auto"/>
              </w:rPr>
            </w:pP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Statements of Operations Data:</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13,853</w:t>
            </w:r>
          </w:p>
        </w:tc>
        <w:tc>
          <w:tcPr>
            <w:tcW w:w="4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20,759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4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5,039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operating expenses</w:t>
            </w:r>
          </w:p>
        </w:tc>
        <w:tc>
          <w:tcPr>
            <w:tcW w:w="4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18,892</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26,637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4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(18,892)</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1,341</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714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Loss before provision for income taxes</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(17,535)</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(25,344)</w:t>
            </w:r>
          </w:p>
        </w:tc>
        <w:tc>
          <w:tcPr>
            <w:tcW w:w="0" w:type="dxa"/>
            <w:vAlign w:val="bottom"/>
          </w:tcPr>
          <w:p>
            <w:pPr>
              <w:spacing w:after="0"/>
              <w:rPr>
                <w:sz w:val="1"/>
                <w:szCs w:val="1"/>
                <w:color w:val="auto"/>
              </w:rPr>
            </w:pPr>
          </w:p>
        </w:tc>
      </w:tr>
      <w:tr>
        <w:trPr>
          <w:trHeight w:val="209"/>
        </w:trPr>
        <w:tc>
          <w:tcPr>
            <w:tcW w:w="7140" w:type="dxa"/>
            <w:vAlign w:val="bottom"/>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loss</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(17,538)</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(25,352)</w:t>
            </w:r>
          </w:p>
        </w:tc>
        <w:tc>
          <w:tcPr>
            <w:tcW w:w="0" w:type="dxa"/>
            <w:vAlign w:val="bottom"/>
          </w:tcPr>
          <w:p>
            <w:pPr>
              <w:spacing w:after="0"/>
              <w:rPr>
                <w:sz w:val="1"/>
                <w:szCs w:val="1"/>
                <w:color w:val="auto"/>
              </w:rPr>
            </w:pPr>
          </w:p>
        </w:tc>
      </w:tr>
      <w:tr>
        <w:trPr>
          <w:trHeight w:val="20"/>
        </w:trPr>
        <w:tc>
          <w:tcPr>
            <w:tcW w:w="7140" w:type="dxa"/>
            <w:vAlign w:val="bottom"/>
            <w:vMerge w:val="restart"/>
          </w:tcPr>
          <w:p>
            <w:pPr>
              <w:ind w:left="360"/>
              <w:spacing w:after="0"/>
              <w:rPr>
                <w:sz w:val="20"/>
                <w:szCs w:val="20"/>
                <w:color w:val="auto"/>
              </w:rPr>
            </w:pPr>
            <w:r>
              <w:rPr>
                <w:rFonts w:ascii="Arial" w:cs="Arial" w:eastAsia="Arial" w:hAnsi="Arial"/>
                <w:sz w:val="18"/>
                <w:szCs w:val="18"/>
                <w:color w:val="auto"/>
              </w:rPr>
              <w:t>Net loss per share, basic and diluted</w:t>
            </w:r>
            <w:r>
              <w:rPr>
                <w:rFonts w:ascii="Arial" w:cs="Arial" w:eastAsia="Arial" w:hAnsi="Arial"/>
                <w:sz w:val="15"/>
                <w:szCs w:val="15"/>
                <w:color w:val="auto"/>
              </w:rPr>
              <w:t>(1)</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Weighted-average number of common shares outstanding, basic and diluted</w:t>
            </w:r>
            <w:r>
              <w:rPr>
                <w:rFonts w:ascii="Arial" w:cs="Arial" w:eastAsia="Arial" w:hAnsi="Arial"/>
                <w:sz w:val="15"/>
                <w:szCs w:val="15"/>
                <w:color w:val="auto"/>
              </w:rPr>
              <w:t>(1)</w:t>
            </w:r>
          </w:p>
        </w:tc>
        <w:tc>
          <w:tcPr>
            <w:tcW w:w="4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15,860,018</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15,980,859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ind w:left="360"/>
              <w:spacing w:after="0"/>
              <w:rPr>
                <w:sz w:val="20"/>
                <w:szCs w:val="20"/>
                <w:color w:val="auto"/>
              </w:rPr>
            </w:pPr>
            <w:r>
              <w:rPr>
                <w:rFonts w:ascii="Arial" w:cs="Arial" w:eastAsia="Arial" w:hAnsi="Arial"/>
                <w:sz w:val="18"/>
                <w:szCs w:val="18"/>
                <w:color w:val="auto"/>
              </w:rPr>
              <w:t>Pro forma net loss per share attributable to common stockholders, basic and</w:t>
            </w: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140" w:type="dxa"/>
            <w:vAlign w:val="bottom"/>
          </w:tcPr>
          <w:p>
            <w:pPr>
              <w:ind w:left="540"/>
              <w:spacing w:after="0"/>
              <w:rPr>
                <w:sz w:val="20"/>
                <w:szCs w:val="20"/>
                <w:color w:val="auto"/>
              </w:rPr>
            </w:pPr>
            <w:r>
              <w:rPr>
                <w:rFonts w:ascii="Arial" w:cs="Arial" w:eastAsia="Arial" w:hAnsi="Arial"/>
                <w:sz w:val="18"/>
                <w:szCs w:val="18"/>
                <w:color w:val="auto"/>
              </w:rPr>
              <w:t>diluted (unaudited)</w:t>
            </w:r>
            <w:r>
              <w:rPr>
                <w:rFonts w:ascii="Arial" w:cs="Arial" w:eastAsia="Arial" w:hAnsi="Arial"/>
                <w:sz w:val="15"/>
                <w:szCs w:val="15"/>
                <w:color w:val="auto"/>
              </w:rPr>
              <w:t>(1)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140" w:type="dxa"/>
            <w:vAlign w:val="bottom"/>
            <w:shd w:val="clear" w:color="auto" w:fill="CCEEFF"/>
          </w:tcPr>
          <w:p>
            <w:pPr>
              <w:ind w:left="360"/>
              <w:spacing w:after="0" w:line="173" w:lineRule="exact"/>
              <w:rPr>
                <w:sz w:val="20"/>
                <w:szCs w:val="20"/>
                <w:color w:val="auto"/>
              </w:rPr>
            </w:pPr>
            <w:r>
              <w:rPr>
                <w:rFonts w:ascii="Arial" w:cs="Arial" w:eastAsia="Arial" w:hAnsi="Arial"/>
                <w:sz w:val="18"/>
                <w:szCs w:val="18"/>
                <w:color w:val="auto"/>
              </w:rPr>
              <w:t>Pro forma weighted-average number of common shares outstanding, basic and</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diluted (unaudited)</w:t>
            </w:r>
            <w:r>
              <w:rPr>
                <w:rFonts w:ascii="Arial" w:cs="Arial" w:eastAsia="Arial" w:hAnsi="Arial"/>
                <w:sz w:val="15"/>
                <w:szCs w:val="15"/>
                <w:color w:val="auto"/>
              </w:rPr>
              <w:t>(1)</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111,520,898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820" w:right="220" w:hanging="522"/>
        <w:spacing w:after="0" w:line="208" w:lineRule="auto"/>
        <w:tabs>
          <w:tab w:leader="none" w:pos="82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See Note 11 to our audited financial statements included elsewhere in this prospectus for an explanation of the method used to calculate net loss per share, basic and diluted, pro forma net loss per share, basic and diluted, and the weighted-average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5" w:right="6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93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393001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300" w:type="dxa"/>
        <w:tblCellMar>
          <w:top w:w="0" w:type="dxa"/>
          <w:left w:w="0" w:type="dxa"/>
          <w:bottom w:w="0" w:type="dxa"/>
          <w:right w:w="0" w:type="dxa"/>
        </w:tblCellMar>
      </w:tblPr>
      <w:tr>
        <w:trPr>
          <w:trHeight w:val="177"/>
        </w:trPr>
        <w:tc>
          <w:tcPr>
            <w:tcW w:w="5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 December 31, 2019</w:t>
            </w:r>
          </w:p>
        </w:tc>
        <w:tc>
          <w:tcPr>
            <w:tcW w:w="10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5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24"/>
                <w:szCs w:val="24"/>
                <w:b w:val="1"/>
                <w:bCs w:val="1"/>
                <w:color w:val="auto"/>
                <w:vertAlign w:val="superscript"/>
              </w:rPr>
              <w:t>(1)</w:t>
            </w:r>
          </w:p>
        </w:tc>
        <w:tc>
          <w:tcPr>
            <w:tcW w:w="1000" w:type="dxa"/>
            <w:vAlign w:val="bottom"/>
          </w:tcPr>
          <w:p>
            <w:pPr>
              <w:ind w:left="160"/>
              <w:spacing w:after="0" w:line="137"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5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4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60" w:type="dxa"/>
            <w:vAlign w:val="bottom"/>
            <w:gridSpan w:val="2"/>
          </w:tcPr>
          <w:p>
            <w:pPr>
              <w:ind w:left="20"/>
              <w:spacing w:after="0" w:line="181"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40"/>
        </w:trPr>
        <w:tc>
          <w:tcPr>
            <w:tcW w:w="5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0" w:type="dxa"/>
            <w:vAlign w:val="bottom"/>
            <w:tcBorders>
              <w:top w:val="single" w:sz="8" w:color="auto"/>
            </w:tcBorders>
            <w:gridSpan w:val="2"/>
          </w:tcPr>
          <w:p>
            <w:pPr>
              <w:ind w:left="820"/>
              <w:spacing w:after="0" w:line="141"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5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1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Cash, cash equivalents and short-term marketable securities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$101,486</w:t>
            </w:r>
          </w:p>
        </w:tc>
        <w:tc>
          <w:tcPr>
            <w:tcW w:w="160" w:type="dxa"/>
            <w:vAlign w:val="bottom"/>
          </w:tcPr>
          <w:p>
            <w:pPr>
              <w:spacing w:after="0"/>
              <w:rPr>
                <w:sz w:val="18"/>
                <w:szCs w:val="18"/>
                <w:color w:val="auto"/>
              </w:rPr>
            </w:pPr>
          </w:p>
        </w:tc>
        <w:tc>
          <w:tcPr>
            <w:tcW w:w="1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0" w:type="dxa"/>
            <w:vAlign w:val="bottom"/>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19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97,570</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103,033</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4,574</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Convertible preferred stock</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168,933</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9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(75,440)</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940" w:type="dxa"/>
            <w:vAlign w:val="bottom"/>
            <w:gridSpan w:val="3"/>
          </w:tcPr>
          <w:p>
            <w:pPr>
              <w:jc w:val="right"/>
              <w:ind w:right="100"/>
              <w:spacing w:after="0"/>
              <w:rPr>
                <w:sz w:val="20"/>
                <w:szCs w:val="20"/>
                <w:color w:val="auto"/>
              </w:rPr>
            </w:pPr>
            <w:r>
              <w:rPr>
                <w:rFonts w:ascii="Arial" w:cs="Arial" w:eastAsia="Arial" w:hAnsi="Arial"/>
                <w:sz w:val="18"/>
                <w:szCs w:val="18"/>
                <w:color w:val="auto"/>
              </w:rPr>
              <w:t>(70,474)</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820" w:right="20" w:hanging="522"/>
        <w:spacing w:after="0"/>
        <w:tabs>
          <w:tab w:leader="none" w:pos="820" w:val="left"/>
        </w:tabs>
        <w:numPr>
          <w:ilvl w:val="0"/>
          <w:numId w:val="13"/>
        </w:numPr>
        <w:rPr>
          <w:rFonts w:ascii="Arial" w:cs="Arial" w:eastAsia="Arial" w:hAnsi="Arial"/>
          <w:sz w:val="24"/>
          <w:szCs w:val="24"/>
          <w:color w:val="auto"/>
          <w:vertAlign w:val="superscript"/>
        </w:rPr>
      </w:pPr>
      <w:r>
        <w:rPr>
          <w:rFonts w:ascii="Arial" w:cs="Arial" w:eastAsia="Arial" w:hAnsi="Arial"/>
          <w:sz w:val="14"/>
          <w:szCs w:val="14"/>
          <w:color w:val="auto"/>
        </w:rPr>
        <w:t>The pro forma balance sheet data above reflects (i) the conversion of all outstanding shares of our convertible preferred stock into an aggregate of 120,393,150 shares of common stock, which will occur immediately prior to the completion of this offering, and the resulting reclassification of the convertible preferred stock and (ii) the filing and effectiveness of our amended and restated certificate of incorporation, which will occur immediately prior to the completion of this offering.</w:t>
      </w:r>
    </w:p>
    <w:p>
      <w:pPr>
        <w:spacing w:after="0" w:line="68" w:lineRule="exact"/>
        <w:rPr>
          <w:rFonts w:ascii="Arial" w:cs="Arial" w:eastAsia="Arial" w:hAnsi="Arial"/>
          <w:sz w:val="24"/>
          <w:szCs w:val="24"/>
          <w:color w:val="auto"/>
          <w:vertAlign w:val="superscript"/>
        </w:rPr>
      </w:pPr>
    </w:p>
    <w:p>
      <w:pPr>
        <w:ind w:left="820" w:hanging="522"/>
        <w:spacing w:after="0" w:line="187" w:lineRule="auto"/>
        <w:tabs>
          <w:tab w:leader="none" w:pos="820" w:val="left"/>
        </w:tabs>
        <w:numPr>
          <w:ilvl w:val="0"/>
          <w:numId w:val="13"/>
        </w:numPr>
        <w:rPr>
          <w:rFonts w:ascii="Arial" w:cs="Arial" w:eastAsia="Arial" w:hAnsi="Arial"/>
          <w:sz w:val="18"/>
          <w:szCs w:val="18"/>
          <w:color w:val="auto"/>
          <w:vertAlign w:val="superscript"/>
        </w:rPr>
      </w:pPr>
      <w:r>
        <w:rPr>
          <w:rFonts w:ascii="Arial" w:cs="Arial" w:eastAsia="Arial" w:hAnsi="Arial"/>
          <w:sz w:val="11"/>
          <w:szCs w:val="11"/>
          <w:color w:val="auto"/>
        </w:rPr>
        <w:t>The pro forma as adjusted balance sheet data gives effect to (i) the pro forma adjustments set forth in footnote (1) above and (ii) the issuance and sale of</w:t>
      </w:r>
    </w:p>
    <w:p>
      <w:pPr>
        <w:spacing w:after="0" w:line="1" w:lineRule="exact"/>
        <w:rPr>
          <w:sz w:val="20"/>
          <w:szCs w:val="20"/>
          <w:color w:val="auto"/>
        </w:rPr>
      </w:pPr>
    </w:p>
    <w:p>
      <w:pPr>
        <w:ind w:left="820" w:right="40" w:firstLine="480"/>
        <w:spacing w:after="0" w:line="241" w:lineRule="auto"/>
        <w:rPr>
          <w:sz w:val="20"/>
          <w:szCs w:val="20"/>
          <w:color w:val="auto"/>
        </w:rPr>
      </w:pPr>
      <w:r>
        <w:rPr>
          <w:rFonts w:ascii="Arial" w:cs="Arial" w:eastAsia="Arial" w:hAnsi="Arial"/>
          <w:sz w:val="14"/>
          <w:szCs w:val="14"/>
          <w:color w:val="auto"/>
        </w:rPr>
        <w:t>shares of common stock in this offering at the assumed initial public offering price of $ per share, which is the midpoint of the estimated offering price range set forth on the cover page of this prospectus, after deducting estimated underwriting discounts and commissions and estimated offering expenses payable by us. The pro forma as adjusted balance sheet data is illustrative only and will depend on the actual initial public offering price and other terms of this</w:t>
      </w:r>
    </w:p>
    <w:p>
      <w:pPr>
        <w:spacing w:after="0" w:line="1" w:lineRule="exact"/>
        <w:rPr>
          <w:sz w:val="20"/>
          <w:szCs w:val="20"/>
          <w:color w:val="auto"/>
        </w:rPr>
      </w:pPr>
    </w:p>
    <w:p>
      <w:pPr>
        <w:ind w:left="820" w:right="80"/>
        <w:spacing w:after="0" w:line="241" w:lineRule="auto"/>
        <w:rPr>
          <w:sz w:val="20"/>
          <w:szCs w:val="20"/>
          <w:color w:val="auto"/>
        </w:rPr>
      </w:pPr>
      <w:r>
        <w:rPr>
          <w:rFonts w:ascii="Arial" w:cs="Arial" w:eastAsia="Arial" w:hAnsi="Arial"/>
          <w:sz w:val="14"/>
          <w:szCs w:val="14"/>
          <w:color w:val="auto"/>
        </w:rPr>
        <w:t>offering determined at pricing. Each $1.00 increase or decrease in the assumed initial public offering price of $ per share, which is the midpoint of the estimated offering price range set forth on the cover page of this prospectus, would increase or decrease, as applicable, our pro forma as adjusted cash, cash</w:t>
      </w:r>
    </w:p>
    <w:p>
      <w:pPr>
        <w:spacing w:after="0" w:line="1" w:lineRule="exact"/>
        <w:rPr>
          <w:sz w:val="20"/>
          <w:szCs w:val="20"/>
          <w:color w:val="auto"/>
        </w:rPr>
      </w:pPr>
    </w:p>
    <w:p>
      <w:pPr>
        <w:ind w:left="820" w:right="420"/>
        <w:spacing w:after="0" w:line="606" w:lineRule="auto"/>
        <w:rPr>
          <w:sz w:val="20"/>
          <w:szCs w:val="20"/>
          <w:color w:val="auto"/>
        </w:rPr>
      </w:pPr>
      <w:r>
        <w:rPr>
          <w:rFonts w:ascii="Arial" w:cs="Arial" w:eastAsia="Arial" w:hAnsi="Arial"/>
          <w:sz w:val="14"/>
          <w:szCs w:val="14"/>
          <w:color w:val="auto"/>
        </w:rPr>
        <w:t>equivalents and short-term marketable securities, working capital, total assets and total stockholders’ equity (deficit) by approximately $ million, assuming the number of shares of common stock offered by us, as set forth on the cover page of this prospectus, remains the same, and after deducting estimated underwriting discounts and commissions and estimated offering expenses payable by us. Each increase or decrease of 1.0 million shares of common stock offered by us would increase or decrease, as applicable, our pro forma as adjusted cash, cash equivalents and short-term marketable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20" w:right="180"/>
        <w:spacing w:after="0" w:line="254" w:lineRule="auto"/>
        <w:rPr>
          <w:sz w:val="20"/>
          <w:szCs w:val="20"/>
          <w:color w:val="auto"/>
        </w:rPr>
      </w:pPr>
      <w:r>
        <w:rPr>
          <w:rFonts w:ascii="Arial" w:cs="Arial" w:eastAsia="Arial" w:hAnsi="Arial"/>
          <w:sz w:val="14"/>
          <w:szCs w:val="14"/>
          <w:color w:val="auto"/>
        </w:rPr>
        <w:t>securities, working capital, total assets and total stockholders’ equity (deficit) by approximately $ million, assuming the assumed initial public offering price of $ per share, which is the midpoint of the estimated offering price range set forth on the cover page of this prospectus, remains the same, and</w:t>
      </w:r>
    </w:p>
    <w:p>
      <w:pPr>
        <w:ind w:left="820"/>
        <w:spacing w:after="0" w:line="232" w:lineRule="auto"/>
        <w:rPr>
          <w:sz w:val="20"/>
          <w:szCs w:val="20"/>
          <w:color w:val="auto"/>
        </w:rPr>
      </w:pPr>
      <w:r>
        <w:rPr>
          <w:rFonts w:ascii="Arial" w:cs="Arial" w:eastAsia="Arial" w:hAnsi="Arial"/>
          <w:sz w:val="14"/>
          <w:szCs w:val="14"/>
          <w:color w:val="auto"/>
        </w:rPr>
        <w:t>after deducting estimated underwriting discounts and commissions and estimated offering expenses payable by us.</w:t>
      </w:r>
    </w:p>
    <w:p>
      <w:pPr>
        <w:ind w:left="820" w:right="380" w:hanging="522"/>
        <w:spacing w:after="0" w:line="189" w:lineRule="auto"/>
        <w:tabs>
          <w:tab w:leader="none" w:pos="820" w:val="left"/>
        </w:tabs>
        <w:numPr>
          <w:ilvl w:val="0"/>
          <w:numId w:val="14"/>
        </w:numPr>
        <w:rPr>
          <w:rFonts w:ascii="Arial" w:cs="Arial" w:eastAsia="Arial" w:hAnsi="Arial"/>
          <w:sz w:val="24"/>
          <w:szCs w:val="24"/>
          <w:color w:val="auto"/>
          <w:vertAlign w:val="superscript"/>
        </w:rPr>
      </w:pPr>
      <w:r>
        <w:rPr>
          <w:rFonts w:ascii="Arial" w:cs="Arial" w:eastAsia="Arial" w:hAnsi="Arial"/>
          <w:sz w:val="14"/>
          <w:szCs w:val="14"/>
          <w:color w:val="auto"/>
        </w:rPr>
        <w:t>We define working capital as current assets less current liabilities. See our audited financial statements included elsewhere in this prospectus and related notes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5" w:right="6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prospectus, including our financial statements and the related notes and “Management’s Discussion and Analysis of Financial Condition and Results of Operations,” before deciding whether to invest in our common stock. The occurrence of any of the events or developments described below could materially adversely affect our business, financial condition, results of operations and growth prospects. In such an event, the market price of our common stock could decline and you may lose all or part of your investment. Many of the following risks and uncertainties are, and will be, exacerbated by the coronavirus disease 2019, or COVID-19, pandemic and any worsening of the global business and economic environment as a result. Additional risks and uncertainties not presently known to us or that we currently deem immaterial also may impair our business operations.</w:t>
      </w: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Our Limited Operating History, Business, Financial Condition, Results of</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Operations and Need for Additional Capital</w:t>
      </w:r>
    </w:p>
    <w:p>
      <w:pPr>
        <w:spacing w:after="0" w:line="190" w:lineRule="exact"/>
        <w:rPr>
          <w:sz w:val="20"/>
          <w:szCs w:val="20"/>
          <w:color w:val="auto"/>
        </w:rPr>
      </w:pPr>
    </w:p>
    <w:p>
      <w:pPr>
        <w:ind w:left="120" w:right="380"/>
        <w:spacing w:after="0" w:line="314" w:lineRule="auto"/>
        <w:rPr>
          <w:sz w:val="20"/>
          <w:szCs w:val="20"/>
          <w:color w:val="auto"/>
        </w:rPr>
      </w:pPr>
      <w:r>
        <w:rPr>
          <w:rFonts w:ascii="Arial" w:cs="Arial" w:eastAsia="Arial" w:hAnsi="Arial"/>
          <w:sz w:val="17"/>
          <w:szCs w:val="17"/>
          <w:b w:val="1"/>
          <w:bCs w:val="1"/>
          <w:i w:val="1"/>
          <w:iCs w:val="1"/>
          <w:color w:val="auto"/>
        </w:rPr>
        <w:t>We have a limited operating history, have not initiated or completed any clinical trials, and have no products approved for commercial sale, which may make it difficult for you to evaluate our current business and likelihood of success and viability.</w:t>
      </w:r>
    </w:p>
    <w:p>
      <w:pPr>
        <w:spacing w:after="0" w:line="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are a preclinical stage biotechnology company with a limited operating history. We commenced operations in March 2013, and our operations to date have been primarily limited to organizing and staffing our company, business planning, raising capital, conducting discovery and research activities, filing patent applications, identifying potential product candidates, undertaking preclinical studies and establishing arrangements with third parties for the manufacture of initial quantities of product candidates. Our lead product candidate, PC14586, is still in preclinical development, and we haven’t yet submitted an investigational new drug application, or IND, with the U.S. Food and Drug Administration, or FDA. We have not demonstrated an ability to successfully initiate, conduct or complete any clinical trials, obtain marketing approvals, manufacture a commercial-scale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176"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In addition, as a company with a limited operating history,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6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72"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We have incurred significant losses since inception, and we expect to incur significant losses for the foreseeable future and may not be able to achieve or sustain revenue or profitability in the future.</w:t>
      </w:r>
    </w:p>
    <w:p>
      <w:pPr>
        <w:spacing w:after="0" w:line="21" w:lineRule="exact"/>
        <w:rPr>
          <w:sz w:val="20"/>
          <w:szCs w:val="20"/>
          <w:color w:val="auto"/>
        </w:rPr>
      </w:pPr>
    </w:p>
    <w:p>
      <w:pPr>
        <w:jc w:val="both"/>
        <w:ind w:left="120" w:right="360" w:firstLine="551"/>
        <w:spacing w:after="0" w:line="255" w:lineRule="auto"/>
        <w:rPr>
          <w:sz w:val="20"/>
          <w:szCs w:val="20"/>
          <w:color w:val="auto"/>
        </w:rPr>
      </w:pPr>
      <w:r>
        <w:rPr>
          <w:rFonts w:ascii="Arial" w:cs="Arial" w:eastAsia="Arial" w:hAnsi="Arial"/>
          <w:sz w:val="18"/>
          <w:szCs w:val="18"/>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5" w:right="4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48" w:lineRule="auto"/>
        <w:rPr>
          <w:sz w:val="20"/>
          <w:szCs w:val="20"/>
          <w:color w:val="auto"/>
        </w:rPr>
      </w:pPr>
      <w:r>
        <w:rPr>
          <w:rFonts w:ascii="Arial" w:cs="Arial" w:eastAsia="Arial" w:hAnsi="Arial"/>
          <w:sz w:val="18"/>
          <w:szCs w:val="18"/>
          <w:color w:val="auto"/>
        </w:rPr>
        <w:t>become commercially viable. We are still in the early stages of development of our product candidates and have not yet initiated our first clinical trial. We have no products approved for commercial sale and have not generated any revenue from product sales to date, and we continue to incur significant research and development and other expenses related to our ongoing operations. We have financed our operations primarily through private placements of our preferred stock.</w:t>
      </w:r>
    </w:p>
    <w:p>
      <w:pPr>
        <w:spacing w:after="0" w:line="170"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We have incurred significant net losses in each period since we commenced operations in March 2013. For the years ended December 31, 2018 and 2019, we reported net losses of $ 17.5 million and $25.4 million, respectively. As of December 31, 2019, we had an accumulated deficit of $ 75.4 million. Substantially all of our losses have resulted from expenses incurred in connection with our research and development programs and from general and administrative costs associated with our operations. We expect to continue to incur significant losses for the foreseeable future, and we expect these losses to increase substantially if and as we:</w:t>
      </w:r>
    </w:p>
    <w:p>
      <w:pPr>
        <w:spacing w:after="0" w:line="78" w:lineRule="exact"/>
        <w:rPr>
          <w:sz w:val="20"/>
          <w:szCs w:val="20"/>
          <w:color w:val="auto"/>
        </w:rPr>
      </w:pPr>
    </w:p>
    <w:p>
      <w:pPr>
        <w:ind w:left="880" w:right="900" w:hanging="224"/>
        <w:spacing w:after="0" w:line="27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our research and development efforts and submit INDs for our lead product candidate and any other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preclinical studies and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17"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50"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scale-up manufacturing capabilities, whether alone or with third parties, to commercialize any product candidates for which we may obtain regulatory approval, if any;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expand, maintain, enforce and protect our intellectual property portfolio;</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additional clinical, regulatory and scientific personnel;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12"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Because of the numerous risks and uncertainties associated with biopharmaceutical product development, we are unable to accurately predict the timing or amount of increased expenses we will incur or when, if ever, we will be able to achieve profitability. Even if we succeed in commercializing one or more of our product candidates, we will continue to incur substantial research and development and other expenditures to develop, seek regulatory approval for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287"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generate revenue or be profitable. Our ability to generate revenue and achieve profitability depends significantly on our ability to achieve several objectives relating to the discovery, development and commercialization of our product candidates.</w:t>
      </w:r>
    </w:p>
    <w:p>
      <w:pPr>
        <w:spacing w:after="0" w:line="43"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Our ability to become profitable depends upon our ability to generate revenue. We have not received marketing approval for any product candidate, and we have not generated any revenue from any product sales. We do not expect to generate revenue unless or until we successfully complete preclinical and clinical development and obtain regulatory approval of, and then successfully commercialize, at least one product candidate. We have not evaluated any product candidate in humans, including PC14586, our lead product candidate. As such, we face significant translational</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0"/>
        <w:spacing w:after="0" w:line="248" w:lineRule="auto"/>
        <w:rPr>
          <w:sz w:val="20"/>
          <w:szCs w:val="20"/>
          <w:color w:val="auto"/>
        </w:rPr>
      </w:pPr>
      <w:r>
        <w:rPr>
          <w:rFonts w:ascii="Arial" w:cs="Arial" w:eastAsia="Arial" w:hAnsi="Arial"/>
          <w:sz w:val="18"/>
          <w:szCs w:val="18"/>
          <w:color w:val="auto"/>
        </w:rPr>
        <w:t>risk as our product candidates advance to the clinical stage, and promising results in preclinical studies may not be replicated in clinical trials. All of our current and future product candidates will require preclinical and clinical development, regulatory review and approval, substantial investment, access to sufficient commercial manufacturing capacity and significant marketing efforts before we can generate any revenue from product sales. Our ability to generate revenue depends on a number of factors, including, but not limited to:</w:t>
      </w:r>
    </w:p>
    <w:p>
      <w:pPr>
        <w:spacing w:after="0" w:line="76" w:lineRule="exact"/>
        <w:rPr>
          <w:sz w:val="20"/>
          <w:szCs w:val="20"/>
          <w:color w:val="auto"/>
        </w:rPr>
      </w:pPr>
    </w:p>
    <w:p>
      <w:pPr>
        <w:ind w:left="880" w:right="440" w:hanging="224"/>
        <w:spacing w:after="0" w:line="255"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timely initiation and completion of our preclinical studies and clinical trials for our lead product candidate, PC14586, and our future product candidates, which may be significantly slower or cost more than we currently anticipate and will depend substantially upon the performance of third-party contractors;</w:t>
      </w:r>
    </w:p>
    <w:p>
      <w:pPr>
        <w:spacing w:after="0" w:line="69" w:lineRule="exact"/>
        <w:rPr>
          <w:rFonts w:ascii="Arial" w:cs="Arial" w:eastAsia="Arial" w:hAnsi="Arial"/>
          <w:sz w:val="18"/>
          <w:szCs w:val="18"/>
          <w:color w:val="auto"/>
        </w:rPr>
      </w:pPr>
    </w:p>
    <w:p>
      <w:pPr>
        <w:ind w:left="880" w:right="620" w:hanging="224"/>
        <w:spacing w:after="0" w:line="27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or CROs, and clinical sites for the clinical development of PC14586 and our future product candidates;</w:t>
      </w:r>
    </w:p>
    <w:p>
      <w:pPr>
        <w:spacing w:after="0" w:line="50" w:lineRule="exact"/>
        <w:rPr>
          <w:rFonts w:ascii="Arial" w:cs="Arial" w:eastAsia="Arial" w:hAnsi="Arial"/>
          <w:sz w:val="18"/>
          <w:szCs w:val="18"/>
          <w:color w:val="auto"/>
        </w:rPr>
      </w:pPr>
    </w:p>
    <w:p>
      <w:pPr>
        <w:ind w:left="880" w:right="700" w:hanging="224"/>
        <w:spacing w:after="0" w:line="27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complete IND-enabling studies and successfully submit and receive authorization to proceed under INDs or comparable applications;</w:t>
      </w:r>
    </w:p>
    <w:p>
      <w:pPr>
        <w:spacing w:after="0" w:line="50" w:lineRule="exact"/>
        <w:rPr>
          <w:rFonts w:ascii="Arial" w:cs="Arial" w:eastAsia="Arial" w:hAnsi="Arial"/>
          <w:sz w:val="18"/>
          <w:szCs w:val="18"/>
          <w:color w:val="auto"/>
        </w:rPr>
      </w:pPr>
    </w:p>
    <w:p>
      <w:pPr>
        <w:ind w:left="880" w:right="440" w:hanging="224"/>
        <w:spacing w:after="0" w:line="255"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we are required by the FDA or other comparable foreign regulatory authorities to conduct additional clinical trials or other studies beyond those planned to support the approval and commercialization of our product candidates or any future product candidates;</w:t>
      </w:r>
    </w:p>
    <w:p>
      <w:pPr>
        <w:spacing w:after="0" w:line="69" w:lineRule="exact"/>
        <w:rPr>
          <w:rFonts w:ascii="Arial" w:cs="Arial" w:eastAsia="Arial" w:hAnsi="Arial"/>
          <w:sz w:val="18"/>
          <w:szCs w:val="18"/>
          <w:color w:val="auto"/>
        </w:rPr>
      </w:pPr>
    </w:p>
    <w:p>
      <w:pPr>
        <w:ind w:left="880" w:right="560" w:hanging="224"/>
        <w:spacing w:after="0" w:line="255"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demonstrate to the satisfaction of the FDA and comparable foreign regulatory authorities the safety, efficacy, consistent manufacturing quality and acceptable risk-benefit profile of our small molecule product candidates or any future product candidates, and such regulatory authorities’ acceptance of our tumor-agnostic development strategy;</w:t>
      </w:r>
    </w:p>
    <w:p>
      <w:pPr>
        <w:spacing w:after="0" w:line="69"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product candidates, if any;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comparable foreign regulatory authorities;</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physicians, operators of clinics and patients to utilize or adopt any of our product candidates or future product candidates over alternative or more conventional therapies, such as chemotherapy, to treat solid tumors;</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actual and perceived availability, cost, risk profile and side effects and efficacy of our product candidates, if approved, relative to existing and future alternative cancer therapies and competitive product candidates and technologies;</w:t>
      </w:r>
    </w:p>
    <w:p>
      <w:pPr>
        <w:spacing w:after="0" w:line="50" w:lineRule="exact"/>
        <w:rPr>
          <w:rFonts w:ascii="Arial" w:cs="Arial" w:eastAsia="Arial" w:hAnsi="Arial"/>
          <w:sz w:val="18"/>
          <w:szCs w:val="18"/>
          <w:color w:val="auto"/>
        </w:rPr>
      </w:pPr>
    </w:p>
    <w:p>
      <w:pPr>
        <w:ind w:left="880" w:right="80" w:hanging="224"/>
        <w:spacing w:after="0" w:line="248"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current good manufacturing practices, or cGMP;</w:t>
      </w:r>
    </w:p>
    <w:p>
      <w:pPr>
        <w:spacing w:after="0" w:line="75" w:lineRule="exact"/>
        <w:rPr>
          <w:rFonts w:ascii="Arial" w:cs="Arial" w:eastAsia="Arial" w:hAnsi="Arial"/>
          <w:sz w:val="18"/>
          <w:szCs w:val="18"/>
          <w:color w:val="auto"/>
        </w:rPr>
      </w:pPr>
    </w:p>
    <w:p>
      <w:pPr>
        <w:ind w:left="880" w:right="320" w:hanging="224"/>
        <w:spacing w:after="0" w:line="255"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patient demand for our product candidates and any future product candidates, if approved;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enforce intellectual property rights in and to our product candidates or any future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coverage and adequate reimbursement by third-party payors for our product candidates;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12" w:lineRule="exact"/>
        <w:rPr>
          <w:sz w:val="20"/>
          <w:szCs w:val="20"/>
          <w:color w:val="auto"/>
        </w:rPr>
      </w:pPr>
    </w:p>
    <w:p>
      <w:pPr>
        <w:ind w:left="120" w:right="160" w:firstLine="551"/>
        <w:spacing w:after="0" w:line="268" w:lineRule="auto"/>
        <w:rPr>
          <w:sz w:val="20"/>
          <w:szCs w:val="20"/>
          <w:color w:val="auto"/>
        </w:rPr>
      </w:pPr>
      <w:r>
        <w:rPr>
          <w:rFonts w:ascii="Arial" w:cs="Arial" w:eastAsia="Arial" w:hAnsi="Arial"/>
          <w:sz w:val="17"/>
          <w:szCs w:val="17"/>
          <w:color w:val="auto"/>
        </w:rPr>
        <w:t>Many of the factors listed above are beyond our control and could cause us to experience significant delays or prevent us from obtaining regulatory approvals or commercializing our product candidates.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continued funding.</w:t>
      </w:r>
    </w:p>
    <w:p>
      <w:pPr>
        <w:spacing w:after="0" w:line="261" w:lineRule="exact"/>
        <w:rPr>
          <w:sz w:val="20"/>
          <w:szCs w:val="20"/>
          <w:color w:val="auto"/>
        </w:rPr>
      </w:pPr>
    </w:p>
    <w:p>
      <w:pPr>
        <w:ind w:left="120" w:right="40"/>
        <w:spacing w:after="0" w:line="251"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our product candidates, we must prioritize development of certain product candidates and/or certain indications. We may expend our limited resources to pursue a particular product candidate or indication and fail to capitalize on product candidates or indications that may be more profitable or for which there is a greater likelihood of success.</w:t>
      </w:r>
    </w:p>
    <w:p>
      <w:pPr>
        <w:spacing w:after="0" w:line="52"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We are currently focused on developing orally available small molecule, tumor-agnostic therapies targeting p53 mutants. We seek to maintain a process of prioritization and resource allocation among our programs to maintain a balance between advancing our lead product candidate, PC14586, as well as developing our other and any future product candidates.</w:t>
      </w:r>
    </w:p>
    <w:p>
      <w:pPr>
        <w:spacing w:after="0" w:line="16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In addition, if we make incorrect determinations regarding the viability or market potential of any of our programs or product candidates or misread trends in the cancer or pharmaceutical, biopharmaceutical or biotechnology industry, our business, financial condition and results of operations could be materially adversely affected.</w:t>
      </w:r>
    </w:p>
    <w:p>
      <w:pPr>
        <w:spacing w:after="0" w:line="288"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product development programs or future commercialization efforts.</w:t>
      </w:r>
    </w:p>
    <w:p>
      <w:pPr>
        <w:spacing w:after="0" w:line="4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PC14586, and advance our future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or other regulatory agencies to perform preclinical studies or clinical trials in addition to those that we currently anticipate. Other unanticipated costs may also arise. Because the design and outcome of our planned and</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5" w:right="4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8" w:lineRule="auto"/>
        <w:rPr>
          <w:sz w:val="20"/>
          <w:szCs w:val="20"/>
          <w:color w:val="auto"/>
        </w:rPr>
      </w:pPr>
      <w:r>
        <w:rPr>
          <w:rFonts w:ascii="Arial" w:cs="Arial" w:eastAsia="Arial" w:hAnsi="Arial"/>
          <w:sz w:val="18"/>
          <w:szCs w:val="18"/>
          <w:color w:val="auto"/>
        </w:rPr>
        <w:t>anticipated clinical trials are highly uncertain, we cannot reasonably estimate the actual amount of resources and funding that will be necessary to successfully complete the development and commercialization of any product candidate we develop. Following this offering, we also expect to incur additional costs associated with operating as a public company. Accordingly, we will need to obtain substantial additional funding in order to continue our operations.</w:t>
      </w:r>
    </w:p>
    <w:p>
      <w:pPr>
        <w:spacing w:after="0" w:line="170" w:lineRule="exact"/>
        <w:rPr>
          <w:sz w:val="20"/>
          <w:szCs w:val="20"/>
          <w:color w:val="auto"/>
        </w:rPr>
      </w:pPr>
    </w:p>
    <w:p>
      <w:pPr>
        <w:ind w:left="120" w:right="280" w:firstLine="551"/>
        <w:spacing w:after="0" w:line="262" w:lineRule="auto"/>
        <w:rPr>
          <w:sz w:val="20"/>
          <w:szCs w:val="20"/>
          <w:color w:val="auto"/>
        </w:rPr>
      </w:pPr>
      <w:r>
        <w:rPr>
          <w:rFonts w:ascii="Arial" w:cs="Arial" w:eastAsia="Arial" w:hAnsi="Arial"/>
          <w:sz w:val="17"/>
          <w:szCs w:val="17"/>
          <w:color w:val="auto"/>
        </w:rPr>
        <w:t>As of December 31, 2019, we had $101.5 million in cash, cash equivalents and short-term marketable securities. Based on our current operating plan, we believe that the proceeds from this offering, together with our existing cash, cash equivalents and short-term</w:t>
      </w:r>
    </w:p>
    <w:p>
      <w:pPr>
        <w:ind w:left="120"/>
        <w:spacing w:after="0" w:line="236" w:lineRule="auto"/>
        <w:rPr>
          <w:sz w:val="20"/>
          <w:szCs w:val="20"/>
          <w:color w:val="auto"/>
        </w:rPr>
      </w:pPr>
      <w:r>
        <w:rPr>
          <w:rFonts w:ascii="Arial" w:cs="Arial" w:eastAsia="Arial" w:hAnsi="Arial"/>
          <w:sz w:val="18"/>
          <w:szCs w:val="18"/>
          <w:color w:val="auto"/>
        </w:rPr>
        <w:t>marketable securities, will be sufficient to fund our operations through . Our estimate as to how long we expect the net proceeds from this offering, together with our existing cash, cash equivalents and short-term marketable securities,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 through public or private equity offerings, debt financings, collaborations and licensing arrangements or other sources. Such financing may dilute our stockholders or restrict our operating activities.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future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880" w:right="480" w:hanging="224"/>
        <w:spacing w:after="0" w:line="255"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current product candidates or any future product candidates we choose to pursue, and conducting preclinical studies and clinical trials, including our planned clinical trials of PC14586;</w:t>
      </w:r>
    </w:p>
    <w:p>
      <w:pPr>
        <w:spacing w:after="0" w:line="69" w:lineRule="exact"/>
        <w:rPr>
          <w:rFonts w:ascii="Arial" w:cs="Arial" w:eastAsia="Arial" w:hAnsi="Arial"/>
          <w:sz w:val="18"/>
          <w:szCs w:val="18"/>
          <w:color w:val="auto"/>
        </w:rPr>
      </w:pPr>
    </w:p>
    <w:p>
      <w:pPr>
        <w:ind w:left="880" w:right="840" w:hanging="224"/>
        <w:spacing w:after="0" w:line="27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 or any future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characteristics of any additional product candidates we develop or acquire;</w:t>
      </w:r>
    </w:p>
    <w:p>
      <w:pPr>
        <w:spacing w:after="0" w:line="117" w:lineRule="exact"/>
        <w:rPr>
          <w:rFonts w:ascii="Arial" w:cs="Arial" w:eastAsia="Arial" w:hAnsi="Arial"/>
          <w:sz w:val="18"/>
          <w:szCs w:val="18"/>
          <w:color w:val="auto"/>
        </w:rPr>
      </w:pPr>
    </w:p>
    <w:p>
      <w:pPr>
        <w:ind w:left="880" w:right="20" w:hanging="224"/>
        <w:spacing w:after="0" w:line="27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amount of any milestone, royalty and/or other payments we are required to make pursuant to any future license or collaboration agreements;</w:t>
      </w:r>
    </w:p>
    <w:p>
      <w:pPr>
        <w:spacing w:after="0" w:line="50" w:lineRule="exact"/>
        <w:rPr>
          <w:rFonts w:ascii="Arial" w:cs="Arial" w:eastAsia="Arial" w:hAnsi="Arial"/>
          <w:sz w:val="18"/>
          <w:szCs w:val="18"/>
          <w:color w:val="auto"/>
        </w:rPr>
      </w:pPr>
    </w:p>
    <w:p>
      <w:pPr>
        <w:ind w:left="880" w:right="980" w:hanging="224"/>
        <w:spacing w:after="0" w:line="27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manufacturing our product candidates or any future product candidates and any products we successfully commercialize;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building a sales force in anticipation of product commercialization;</w:t>
      </w:r>
    </w:p>
    <w:p>
      <w:pPr>
        <w:spacing w:after="0" w:line="117"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commercialization activities of our product candidates, if approved for sale, including marketing, sales and distribution costs;</w:t>
      </w:r>
    </w:p>
    <w:p>
      <w:pPr>
        <w:spacing w:after="0" w:line="50" w:lineRule="exact"/>
        <w:rPr>
          <w:rFonts w:ascii="Arial" w:cs="Arial" w:eastAsia="Arial" w:hAnsi="Arial"/>
          <w:sz w:val="18"/>
          <w:szCs w:val="18"/>
          <w:color w:val="auto"/>
        </w:rPr>
      </w:pPr>
    </w:p>
    <w:p>
      <w:pPr>
        <w:ind w:left="880" w:right="340" w:hanging="224"/>
        <w:spacing w:after="0" w:line="306" w:lineRule="auto"/>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establish future collaborations, licensing or other arrangements and the financial terms of any such agreements, including the timing and amount of any future milestone, royalty or other payments due under any such agreement;</w:t>
      </w:r>
    </w:p>
    <w:p>
      <w:pPr>
        <w:spacing w:after="0" w:line="28" w:lineRule="exact"/>
        <w:rPr>
          <w:rFonts w:ascii="Arial" w:cs="Arial" w:eastAsia="Arial" w:hAnsi="Arial"/>
          <w:sz w:val="17"/>
          <w:szCs w:val="17"/>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expenses needed to attract, hire and retain skilled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our intellectual property portfolio;</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receipt and amount of sales of any future approved products;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the COVID-19 pandemic, which may exacerbate the magnitude of the factors discussed above.</w:t>
      </w:r>
    </w:p>
    <w:p>
      <w:pPr>
        <w:spacing w:after="0" w:line="212"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We do not have any committed external source of funds and adequate additional financing may not be available to us on acceptable terms, or at all. In addition, our ability to raise additional capital may be adversely impacted by potential worsening global economic conditions and the recent disruptions to and volatility in the credit and financial markets in the United States and worldwide resulting from the ongoing COVID-19 pandemic.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Product Development</w:t>
      </w:r>
    </w:p>
    <w:p>
      <w:pPr>
        <w:spacing w:after="0" w:line="214" w:lineRule="exact"/>
        <w:rPr>
          <w:sz w:val="20"/>
          <w:szCs w:val="20"/>
          <w:color w:val="auto"/>
        </w:rPr>
      </w:pPr>
    </w:p>
    <w:p>
      <w:pPr>
        <w:ind w:left="120" w:right="120"/>
        <w:spacing w:after="0" w:line="251" w:lineRule="auto"/>
        <w:rPr>
          <w:sz w:val="20"/>
          <w:szCs w:val="20"/>
          <w:color w:val="auto"/>
        </w:rPr>
      </w:pPr>
      <w:r>
        <w:rPr>
          <w:rFonts w:ascii="Arial" w:cs="Arial" w:eastAsia="Arial" w:hAnsi="Arial"/>
          <w:sz w:val="18"/>
          <w:szCs w:val="18"/>
          <w:b w:val="1"/>
          <w:bCs w:val="1"/>
          <w:i w:val="1"/>
          <w:iCs w:val="1"/>
          <w:color w:val="auto"/>
        </w:rPr>
        <w:t>Our discovery and preclinical development is focused on the development of precision medicines for patients with genetically defined cancers, which is a rapidly evolving area of science, and the approach we are taking to discover and develop drugs targeting p53 hotspot mutations is novel, may never lead to marketable products and may not ultimately represent a significant market.</w:t>
      </w:r>
    </w:p>
    <w:p>
      <w:pPr>
        <w:spacing w:after="0" w:line="52"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The discovery and development of precision medicines for patients with genetically defined cancers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Further, despite decades of research on p53 as a target for precision medicines, prior product development efforts have been unsuccessful. Although we believe, based on our preclinical work and p53 research generally, that the top ten most frequent, or hotspot, p53 mutations have potential as precision oncology targets, clinical results may not confirm this hypothesis or may only confirm it for certain mutations or certain tumor types.</w:t>
      </w:r>
    </w:p>
    <w:p>
      <w:pPr>
        <w:spacing w:after="0" w:line="179"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Further, even if our approach is successful in showing clinical benefit for tumors harboring the p53 mutation targeted by our lead product candidate, PC14586, we may never successfully identify additional product candidates for targeting other p53 mutants through our platform. Therefore, we do not know if our approach of treating patients with genetically defined cancers will be successful, and if our approach is unsuccessful, our business will be materially adversely affected.</w:t>
      </w:r>
    </w:p>
    <w:p>
      <w:pPr>
        <w:spacing w:after="0" w:line="170"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In addition, because our approach targets genetically defined cancer patients and not specific tumors based on tumor or cancer types, we are initially pursuing a tumor-agnostic development strategy (</w:t>
      </w:r>
      <w:r>
        <w:rPr>
          <w:rFonts w:ascii="Arial" w:cs="Arial" w:eastAsia="Arial" w:hAnsi="Arial"/>
          <w:sz w:val="18"/>
          <w:szCs w:val="18"/>
          <w:i w:val="1"/>
          <w:iCs w:val="1"/>
          <w:color w:val="auto"/>
        </w:rPr>
        <w:t>i.e.</w:t>
      </w:r>
      <w:r>
        <w:rPr>
          <w:rFonts w:ascii="Arial" w:cs="Arial" w:eastAsia="Arial" w:hAnsi="Arial"/>
          <w:sz w:val="18"/>
          <w:szCs w:val="18"/>
          <w:color w:val="auto"/>
        </w:rPr>
        <w:t>, pursuing approval for a potential indication based on a specific genetic mutation rather than a specific type of tissue). There is currently a limited number of approved tumor-agnostic therapies and we may not receive approval for a broad tumor-agnostic indication or may be delayed in receiving broad tumor-agnostic approval. If our planned Phase 1/2 trial for PC14586 does not support a tumor-agnostic indication, but we observe clinical benefit in certain tumor or cancer types, we may decide to pursue a tumor- or cancer-specific indication which may require additional clinical trials.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51" w:lineRule="auto"/>
        <w:rPr>
          <w:sz w:val="20"/>
          <w:szCs w:val="20"/>
          <w:color w:val="auto"/>
        </w:rPr>
      </w:pPr>
      <w:r>
        <w:rPr>
          <w:rFonts w:ascii="Arial" w:cs="Arial" w:eastAsia="Arial" w:hAnsi="Arial"/>
          <w:sz w:val="18"/>
          <w:szCs w:val="18"/>
          <w:b w:val="1"/>
          <w:bCs w:val="1"/>
          <w:i w:val="1"/>
          <w:iCs w:val="1"/>
          <w:color w:val="auto"/>
        </w:rPr>
        <w:t>We are very early in our development efforts and are substantially dependent on our lead product candidate, PC14586. If we are unable to advance PC14586 or any of our future product candidates through clinical development, obtain regulatory approval and ultimately commercialize PC14586 or any of our future product candidates, or experience significant delays in doing so, our business, financial condition and results of operations will be materially adversely affected.</w:t>
      </w:r>
    </w:p>
    <w:p>
      <w:pPr>
        <w:spacing w:after="0" w:line="52"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We are very early in our development efforts. All of our product candidates are still in preclinical development and have never been tested in human subjects. Our ability to generate product revenue, which we do not expect will occur for many years, if ever, will depend heavily on the successful clinical development and eventual commercialization of PC14586 and one or more of our future product candidates. In addition, our product development programs contemplate the development with third party collaborators of companion diagnostics, which are assays or tests used to identify an appropriate patient population for our product candidates. Companion diagnostics are subject to regulation as medical devices and must themselves be approved for marketing by the FDA and comparable foreign regulatory agencies before we may commercialize such companion diagnostics with our product candidates. The success of our product candidates will depend on several factors, including the following:</w:t>
      </w:r>
    </w:p>
    <w:p>
      <w:pPr>
        <w:spacing w:after="0" w:line="86" w:lineRule="exact"/>
        <w:rPr>
          <w:sz w:val="20"/>
          <w:szCs w:val="20"/>
          <w:color w:val="auto"/>
        </w:rPr>
      </w:pPr>
    </w:p>
    <w:p>
      <w:pPr>
        <w:ind w:left="880" w:right="200" w:hanging="224"/>
        <w:spacing w:after="0" w:line="248"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continue our business operations and product candidate research and development, and adapt to any changes in the regulatory approval process, manufacturing supply or clinical trial requirements and timing due to the ongoing COVID-19 pandemic and otherwise, including complying with new regulatory guidance or requirements on conducting clinical trials during the COVID-19 pandemic;</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completion of preclinical studies;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receipt of authorization to proceed under INDs for our planned clinical trials or future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FDA acceptance of our tumor-agnostic development strategy;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initiation of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patient enrollment in and completion of clinical trials, which may be impacted by the COVID-19 pandemic;</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development with third party collaborators of companion diagnostics for use with our product candidates;</w:t>
      </w:r>
    </w:p>
    <w:p>
      <w:pPr>
        <w:spacing w:after="0" w:line="117" w:lineRule="exact"/>
        <w:rPr>
          <w:rFonts w:ascii="Arial" w:cs="Arial" w:eastAsia="Arial" w:hAnsi="Arial"/>
          <w:sz w:val="18"/>
          <w:szCs w:val="18"/>
          <w:color w:val="auto"/>
        </w:rPr>
      </w:pPr>
    </w:p>
    <w:p>
      <w:pPr>
        <w:ind w:left="880" w:right="560" w:hanging="224"/>
        <w:spacing w:after="0" w:line="27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safety, tolerability and efficacy profiles for our product candidates that are satisfactory to the FDA or any foreign regulatory authority for marketing approval;</w:t>
      </w:r>
    </w:p>
    <w:p>
      <w:pPr>
        <w:spacing w:after="0" w:line="50"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receipt of marketing approvals for our product candidates and any companion diagnostics from applicable regulatory authorities, which must be approved contemporaneously;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completion of any required post-marketing approval commitments to applicable regulatory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 if any product candidates are approved;</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effectively competing with other cancer therapies;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products following approval.</w:t>
      </w:r>
    </w:p>
    <w:p>
      <w:pPr>
        <w:spacing w:after="0" w:line="212" w:lineRule="exact"/>
        <w:rPr>
          <w:sz w:val="20"/>
          <w:szCs w:val="20"/>
          <w:color w:val="auto"/>
        </w:rPr>
      </w:pPr>
    </w:p>
    <w:p>
      <w:pPr>
        <w:ind w:left="120" w:right="200" w:firstLine="551"/>
        <w:spacing w:after="0" w:line="245" w:lineRule="auto"/>
        <w:rPr>
          <w:sz w:val="20"/>
          <w:szCs w:val="20"/>
          <w:color w:val="auto"/>
        </w:rPr>
      </w:pPr>
      <w:r>
        <w:rPr>
          <w:rFonts w:ascii="Arial" w:cs="Arial" w:eastAsia="Arial" w:hAnsi="Arial"/>
          <w:sz w:val="18"/>
          <w:szCs w:val="18"/>
          <w:color w:val="auto"/>
        </w:rPr>
        <w:t>Many of these factors are beyond our control, and it is possible that we may never obtain regulatory approval for our product candidates even if we expend substantial time and resources seeking their development and approval. If we do not achieve regulatory approval in a timely manner or at all, we could experience significant delays or an inability to commercialize our current or future product candidates, which would materially adversely affect our business. If we do not receive regulatory approvals for our current or future product candidates, we will not be able to continue our operations.</w:t>
      </w:r>
    </w:p>
    <w:p>
      <w:pPr>
        <w:spacing w:after="0" w:line="17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cost-effectiveness to pricing and reimbursement authorities, obtaining sufficient manufacturing supply for both clinical development and commercial production in accordance with cGMP, building of a commercial organization, and substantial investment and significant marketing efforts before we generate any revenue from product sales.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FDA before implementation, which could delay our clinical trials and product candidate development, and could require additional clinical trials, including bridging studies, to demonstrate consistent and continued safety and efficacy.</w:t>
      </w:r>
    </w:p>
    <w:p>
      <w:pPr>
        <w:spacing w:after="0" w:line="183"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have not previously submitted a new drug application, or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for each product candidate, as well as the availability of competitive products, whether there is sufficient third-party reimbursement and adoption by physicians.</w:t>
      </w:r>
    </w:p>
    <w:p>
      <w:pPr>
        <w:spacing w:after="0" w:line="288" w:lineRule="exact"/>
        <w:rPr>
          <w:sz w:val="20"/>
          <w:szCs w:val="20"/>
          <w:color w:val="auto"/>
        </w:rPr>
      </w:pPr>
    </w:p>
    <w:p>
      <w:pPr>
        <w:jc w:val="both"/>
        <w:ind w:left="120" w:right="100"/>
        <w:spacing w:after="0" w:line="260" w:lineRule="auto"/>
        <w:rPr>
          <w:sz w:val="20"/>
          <w:szCs w:val="20"/>
          <w:color w:val="auto"/>
        </w:rPr>
      </w:pPr>
      <w:r>
        <w:rPr>
          <w:rFonts w:ascii="Arial" w:cs="Arial" w:eastAsia="Arial" w:hAnsi="Arial"/>
          <w:sz w:val="18"/>
          <w:szCs w:val="18"/>
          <w:b w:val="1"/>
          <w:bCs w:val="1"/>
          <w:i w:val="1"/>
          <w:iCs w:val="1"/>
          <w:color w:val="auto"/>
        </w:rPr>
        <w:t>The subset of cancer patients that we are targeting are expected to have certain p53 mutants and we may not be able to identify a sufficient number of patients whom we can recruit and retain for our clinical trials to obtain approval for our current or future product candidates.</w:t>
      </w:r>
    </w:p>
    <w:p>
      <w:pPr>
        <w:spacing w:after="0" w:line="43" w:lineRule="exact"/>
        <w:rPr>
          <w:sz w:val="20"/>
          <w:szCs w:val="20"/>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The patient populations for our current product candidates are limited to those with specific p53 mutations, which represents a substantially smaller subset of the generally treated cancer patient</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population. We expect our future product candidates to be similarly limited. We will need to screen and identify patients with these targeted mutations. Further, even if we are successful in identifying patients, we cannot be certain that the resulting patient populations with each p53 hotspot mutation will be large enough to allow us to successfully conduct the requisite clinical trials necessary to obtain marketing approval for each mutation-specific product candidate before we can commercialize our products, if approved, and achieve profitability.</w:t>
      </w:r>
    </w:p>
    <w:p>
      <w:pPr>
        <w:spacing w:after="0" w:line="261" w:lineRule="exact"/>
        <w:rPr>
          <w:sz w:val="20"/>
          <w:szCs w:val="20"/>
          <w:color w:val="auto"/>
        </w:rPr>
      </w:pPr>
    </w:p>
    <w:p>
      <w:pPr>
        <w:ind w:left="120" w:right="80"/>
        <w:spacing w:after="0" w:line="314" w:lineRule="auto"/>
        <w:rPr>
          <w:sz w:val="20"/>
          <w:szCs w:val="20"/>
          <w:color w:val="auto"/>
        </w:rPr>
      </w:pPr>
      <w:r>
        <w:rPr>
          <w:rFonts w:ascii="Arial" w:cs="Arial" w:eastAsia="Arial" w:hAnsi="Arial"/>
          <w:sz w:val="17"/>
          <w:szCs w:val="17"/>
          <w:b w:val="1"/>
          <w:bCs w:val="1"/>
          <w:i w:val="1"/>
          <w:iCs w:val="1"/>
          <w:color w:val="auto"/>
        </w:rPr>
        <w:t>Our novel approach to the discovery and development of our current and future product candidates is unproven, and we may not be successful in our efforts to use and expand our platform to build a pipeline of product candidates with commercial value.</w:t>
      </w:r>
    </w:p>
    <w:p>
      <w:pPr>
        <w:spacing w:after="0" w:line="2"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A key element of our strategy is to use and expand our platform to build a pipeline of product candidates and progress these product candidates through clinical development for the treatment of various cancers. Although our research and development efforts to date have resulted in our discovery and preclinical development of PC14586 and future product candidates, PC14586 and future product candidates may not be safe or effective as a cancer treatment, and we may not be able to further develop PC14586 and develop any future product candidates. Our platform is evolving and may not reach a state at which building a pipeline of product candidates is possible. For example, we may not be successful in identifying additional p53 hotspot mutations for which our platform can develop safe and effective product candidates. There can be no assurance that any development problems we experience in the future related to our platform will not cause significant delays or unanticipated costs or that such development problems can be solved. Even if we are successful in building our pipeline of product candidates, the potential product candidates that we identify may not be suitable for clinical development or generate acceptable clinical data, including as a result of being shown to have unacceptable toxicity or other characteristics that indicate that they are unlikely to be products that will receive marketing approval from the FDA or other regulatory authorities or achieve market acceptance.</w:t>
      </w:r>
    </w:p>
    <w:p>
      <w:pPr>
        <w:spacing w:after="0" w:line="183" w:lineRule="exact"/>
        <w:rPr>
          <w:sz w:val="20"/>
          <w:szCs w:val="20"/>
          <w:color w:val="auto"/>
        </w:rPr>
      </w:pPr>
    </w:p>
    <w:p>
      <w:pPr>
        <w:jc w:val="both"/>
        <w:ind w:left="120" w:right="160" w:firstLine="551"/>
        <w:spacing w:after="0" w:line="248" w:lineRule="auto"/>
        <w:rPr>
          <w:sz w:val="20"/>
          <w:szCs w:val="20"/>
          <w:color w:val="auto"/>
        </w:rPr>
      </w:pPr>
      <w:r>
        <w:rPr>
          <w:rFonts w:ascii="Arial" w:cs="Arial" w:eastAsia="Arial" w:hAnsi="Arial"/>
          <w:sz w:val="18"/>
          <w:szCs w:val="18"/>
          <w:color w:val="auto"/>
        </w:rPr>
        <w:t xml:space="preserve">Furthermore, even if our product candidates are successful in correcting structural deficiencies associated with p53 mutants, such success would not provide a guarantee of the effectiveness of such product candidate in total tumor regression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There can be no assurances that one or more of our future product candidates would succeed in correcting or restoring function of specific p53 mutants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and that such mutation would be the only genetic mutation resulting in a patient’s cancer.</w:t>
      </w:r>
    </w:p>
    <w:p>
      <w:pPr>
        <w:spacing w:after="0" w:line="170" w:lineRule="exact"/>
        <w:rPr>
          <w:sz w:val="20"/>
          <w:szCs w:val="20"/>
          <w:color w:val="auto"/>
        </w:rPr>
      </w:pPr>
    </w:p>
    <w:p>
      <w:pPr>
        <w:ind w:left="120" w:right="340" w:firstLine="551"/>
        <w:spacing w:after="0" w:line="276" w:lineRule="auto"/>
        <w:rPr>
          <w:sz w:val="20"/>
          <w:szCs w:val="20"/>
          <w:color w:val="auto"/>
        </w:rPr>
      </w:pPr>
      <w:r>
        <w:rPr>
          <w:rFonts w:ascii="Arial" w:cs="Arial" w:eastAsia="Arial" w:hAnsi="Arial"/>
          <w:sz w:val="18"/>
          <w:szCs w:val="18"/>
          <w:color w:val="auto"/>
        </w:rPr>
        <w:t>If we do not successfully develop and commercialize product candidates, we will not be able to generate product revenue which materially adversely affect our business, financial condition and results of operations.</w:t>
      </w:r>
    </w:p>
    <w:p>
      <w:pPr>
        <w:spacing w:after="0" w:line="253" w:lineRule="exact"/>
        <w:rPr>
          <w:sz w:val="20"/>
          <w:szCs w:val="20"/>
          <w:color w:val="auto"/>
        </w:rPr>
      </w:pPr>
    </w:p>
    <w:p>
      <w:pPr>
        <w:jc w:val="both"/>
        <w:ind w:left="120" w:right="220"/>
        <w:spacing w:after="0" w:line="260" w:lineRule="auto"/>
        <w:rPr>
          <w:sz w:val="20"/>
          <w:szCs w:val="20"/>
          <w:color w:val="auto"/>
        </w:rPr>
      </w:pPr>
      <w:r>
        <w:rPr>
          <w:rFonts w:ascii="Arial" w:cs="Arial" w:eastAsia="Arial" w:hAnsi="Arial"/>
          <w:sz w:val="18"/>
          <w:szCs w:val="18"/>
          <w:b w:val="1"/>
          <w:bCs w:val="1"/>
          <w:i w:val="1"/>
          <w:iCs w:val="1"/>
          <w:color w:val="auto"/>
        </w:rPr>
        <w:t>Preclinical development is uncertain. Our preclinical programs may experience delays or may never advance to clinical trials, which would adversely affect our clinical development and ability to obtain regulatory approvals or commercialize our product candidates on a timely basis or at all, which could have an adverse effect on our business.</w:t>
      </w:r>
    </w:p>
    <w:p>
      <w:pPr>
        <w:spacing w:after="0" w:line="43"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In order to obtain FDA approval to market a new small molecule product, we must demonstrate the safety and efficacy of our product candidates in humans to the satisfaction of the FDA. To meet these requirements, we will have to conduct adequate and well-controlled clinical trials. Before we can commence clinical trials for a product candidate, we must complete extensive preclinical studies that support our planned INDs in the United States. At present, all of our product candidates, including our lead product candidate, PC14586, are in preclinical development. We cannot be certain of the timely completion or outcome of our preclinical studies and cannot predict if the FDA will accept our proposed clinical programs or if the outcome of our preclinical studies will ultimately support further development of our programs. As a result, we cannot be sure that we will be able to submit INDs or similar applications on the timelines we expect, if at all, and we cannot be sure that submission of INDs or similar applications will result in the FDA or other regulatory authorities allowing clinical trials to begin.</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5"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Conducting preclinical testing is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The commencement and rate of completion of preclinical studies and clinical trials for a product candidate may be delayed by many factors, including, for example:</w:t>
      </w:r>
    </w:p>
    <w:p>
      <w:pPr>
        <w:spacing w:after="0" w:line="78" w:lineRule="exact"/>
        <w:rPr>
          <w:sz w:val="20"/>
          <w:szCs w:val="20"/>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studies;</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completion of preclinical laboratory tests, animal studies and formulation studies in accordance with FDA’s good laboratory practice requirements and other applicable regulations;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submission to the FDA of an IND, which must become effective before human clinical trials may begin;</w:t>
      </w:r>
    </w:p>
    <w:p>
      <w:pPr>
        <w:spacing w:after="0" w:line="117"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ethics committee at each clinical site before each trial may be initiated;</w:t>
      </w:r>
    </w:p>
    <w:p>
      <w:pPr>
        <w:spacing w:after="0" w:line="50"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and obtaining regulatory authorization to commence clinical trials; and</w:t>
      </w:r>
    </w:p>
    <w:p>
      <w:pPr>
        <w:spacing w:after="0" w:line="50" w:lineRule="exact"/>
        <w:rPr>
          <w:rFonts w:ascii="Arial" w:cs="Arial" w:eastAsia="Arial" w:hAnsi="Arial"/>
          <w:sz w:val="18"/>
          <w:szCs w:val="18"/>
          <w:color w:val="auto"/>
        </w:rPr>
      </w:pPr>
    </w:p>
    <w:p>
      <w:pPr>
        <w:ind w:left="880" w:right="18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sufficient quantities of our product candidates for use in preclinical studies and clinical trials from third-party suppliers on a timely basis.</w:t>
      </w:r>
    </w:p>
    <w:p>
      <w:pPr>
        <w:spacing w:after="0" w:line="145"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Moreover, even if clinical trials do begin for our preclinical programs, our development efforts may not be successful, and clinical trials that we conduct or that third parties conduct on our behalf may not demonstrate sufficient safety or efficacy to obtain the requisite regulatory approvals for any product candidates we develop. Even if we obtain positive results from preclinical studies or initial clinical trials, we may not achieve the same success in future trials.</w:t>
      </w:r>
    </w:p>
    <w:p>
      <w:pPr>
        <w:spacing w:after="0" w:line="278" w:lineRule="exact"/>
        <w:rPr>
          <w:sz w:val="20"/>
          <w:szCs w:val="20"/>
          <w:color w:val="auto"/>
        </w:rPr>
      </w:pPr>
    </w:p>
    <w:p>
      <w:pPr>
        <w:jc w:val="both"/>
        <w:ind w:left="120" w:right="480"/>
        <w:spacing w:after="0" w:line="260" w:lineRule="auto"/>
        <w:rPr>
          <w:sz w:val="20"/>
          <w:szCs w:val="20"/>
          <w:color w:val="auto"/>
        </w:rPr>
      </w:pPr>
      <w:r>
        <w:rPr>
          <w:rFonts w:ascii="Arial" w:cs="Arial" w:eastAsia="Arial" w:hAnsi="Arial"/>
          <w:sz w:val="18"/>
          <w:szCs w:val="18"/>
          <w:b w:val="1"/>
          <w:bCs w:val="1"/>
          <w:i w:val="1"/>
          <w:iCs w:val="1"/>
          <w:color w:val="auto"/>
        </w:rPr>
        <w:t>The results of preclinical testing and early clinical trials may not be predictive of the success of later clinical trials, and the results of our clinical trials may not satisfy the requirements of the FDA or other comparable foreign regulatory authorities. Successful preclinical studies and clinical trials cannot provide assurance of successful commercialization.</w:t>
      </w:r>
    </w:p>
    <w:p>
      <w:pPr>
        <w:spacing w:after="0" w:line="4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will be required to demonstrate with substantial evidence through well-controlled clinical trials that our product candidates are safe and effective before we can seek marketing approvals for their commercial sale. Success in preclinical studies does not mean that future clinical trials will be successful. For instance, we do not know whether PC14586 will perform in future clinical trials as PC14586 has performed in preclinical studies, nor can we predict how our future product candidates will perform in future preclinical studies or clinical trials. Product candidates in later-stage clinical trials may fail to demonstrate sufficient safety and efficacy to the satisfaction of the FDA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 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site to site within a clinical trial. This subjectivity can increase the uncertainty of, and adversely impact, our clinical trial outcomes.</w:t>
      </w:r>
    </w:p>
    <w:p>
      <w:pPr>
        <w:spacing w:after="0" w:line="212"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We do not know whether any clinical trials we may conduct will demonstrate consistent or adequate efficacy and safety sufficient to obtain approval to market any of our product candidates.</w:t>
      </w:r>
    </w:p>
    <w:p>
      <w:pPr>
        <w:spacing w:after="0" w:line="145"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Even if we succeed in developing and commercializing our product candidates, we may never generate sufficient or sustainable revenue to enable us to be profitable.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no experience as a company in conducting clinical trials.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have no experience as a company in conducting clinical trials. In part because of this lack of experience, we cannot be certain that our ongoing preclinical studies will be completed on time or if the planned preclinical studies and clinical trials will begin or be completed on time, if at all. Large-scale clinical trials would require significant additional financial and management resources and reliance on third-party clinical investigators, CROs and consultants. Relying on third-party clinical investigators, CROs and consultants may force us to encounter delays that are outside of our control. We may be unable to identify and contract with sufficient investigators, CROs and consultants on a timely basis or at all. For our lead product candidate, PC14586, we recently entered in to a master services agreement with a CRO to lead our first-in-human planned open label Phase 1/2 clinical trial. There can be no assurance that we will be able to negotiate and enter into any additional master services agreement with other CROs, as necessary, on terms that are acceptable to us on a timely basis or at all.</w:t>
      </w:r>
    </w:p>
    <w:p>
      <w:pPr>
        <w:spacing w:after="0" w:line="284" w:lineRule="exact"/>
        <w:rPr>
          <w:sz w:val="20"/>
          <w:szCs w:val="20"/>
          <w:color w:val="auto"/>
        </w:rPr>
      </w:pPr>
    </w:p>
    <w:p>
      <w:pPr>
        <w:ind w:left="120" w:right="60"/>
        <w:spacing w:after="0" w:line="251" w:lineRule="auto"/>
        <w:rPr>
          <w:sz w:val="20"/>
          <w:szCs w:val="20"/>
          <w:color w:val="auto"/>
        </w:rPr>
      </w:pPr>
      <w:r>
        <w:rPr>
          <w:rFonts w:ascii="Arial" w:cs="Arial" w:eastAsia="Arial" w:hAnsi="Arial"/>
          <w:sz w:val="18"/>
          <w:szCs w:val="18"/>
          <w:b w:val="1"/>
          <w:bCs w:val="1"/>
          <w:i w:val="1"/>
          <w:iCs w:val="1"/>
          <w:color w:val="auto"/>
        </w:rPr>
        <w:t>We may need to use existing commercial diagnostic tests or develop, or enter into a collaboration or partnership in the future to develop, novel companion diagnostics for some of our current or future product candidates. If we or our future partners are unable to successfully develop, validate, and obtain approval for such companion diagnostics, or experience significant delays in doing so, we may not realize the full commercial potential of our future product candidates.</w:t>
      </w:r>
    </w:p>
    <w:p>
      <w:pPr>
        <w:spacing w:after="0" w:line="52" w:lineRule="exact"/>
        <w:rPr>
          <w:sz w:val="20"/>
          <w:szCs w:val="20"/>
          <w:color w:val="auto"/>
        </w:rPr>
      </w:pPr>
    </w:p>
    <w:p>
      <w:pPr>
        <w:ind w:left="120" w:right="220" w:firstLine="551"/>
        <w:spacing w:after="0" w:line="245" w:lineRule="auto"/>
        <w:rPr>
          <w:sz w:val="20"/>
          <w:szCs w:val="20"/>
          <w:color w:val="auto"/>
        </w:rPr>
      </w:pPr>
      <w:r>
        <w:rPr>
          <w:rFonts w:ascii="Arial" w:cs="Arial" w:eastAsia="Arial" w:hAnsi="Arial"/>
          <w:sz w:val="18"/>
          <w:szCs w:val="18"/>
          <w:color w:val="auto"/>
        </w:rPr>
        <w:t>As one of the key elements of our product development strategy, we seek to identify cancer patient populations that may derive meaningful benefit from our current or future product candidates. Because specific genetic mutations will be used to identify the appropriate patients for our programs and our current or future product candidates, we believe that our success may depend, in part, on our ability to use existing diagnostic tests and genetic sequencing, or to develop novel companion diagnostics in collaboration with partners.</w:t>
      </w:r>
    </w:p>
    <w:p>
      <w:pPr>
        <w:spacing w:after="0" w:line="172"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Such companion diagnostics would be used during our clinical trials as well as in connection with the commercialization of our product candidates. In our Phase 1/2 clinical trial, we plan to work with physicians and leading academic centers to enroll patients with the p53 Y220C mutation identified through next generation sequencing, or NGS. To be successful, we or our collaborators will need to address a number of scientific, technical, regulatory and logistical challenges.</w:t>
      </w:r>
    </w:p>
    <w:p>
      <w:pPr>
        <w:spacing w:after="0" w:line="17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have little experience as a company in the development of diagnostics. As such, we expect to rely on future partners for the design, development and manufacture of appropriate diagnostics to pair with our current or future product candidates. We have not yet begun discussions with any potential partners with respect to the development of companion diagnostics and may be unsuccessful in entering into collaborations for the development of companion diagnostics for our programs and our current or future product candidates. If we enter into such collaborative agreements, we will be dependent on the sustained cooperation and effort of our future collaborators in developing and obtaining approval for these companion diagnostics. It may be necessary to resolve issues such as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8" w:lineRule="auto"/>
        <w:rPr>
          <w:sz w:val="20"/>
          <w:szCs w:val="20"/>
          <w:color w:val="auto"/>
        </w:rPr>
      </w:pPr>
      <w:r>
        <w:rPr>
          <w:rFonts w:ascii="Arial" w:cs="Arial" w:eastAsia="Arial" w:hAnsi="Arial"/>
          <w:sz w:val="18"/>
          <w:szCs w:val="18"/>
          <w:color w:val="auto"/>
        </w:rPr>
        <w:t>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w:t>
      </w:r>
    </w:p>
    <w:p>
      <w:pPr>
        <w:spacing w:after="0" w:line="170"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Companion diagnostics are subject to regulation by the FDA and comparable foreign regulatory authorities outside the United States as medical devices and require separate regulatory approval or clearance prior to commercialization. Moreover, the FDA generally requires the contemporaneous approval of companion diagnostics and the associated therapeutic.</w:t>
      </w:r>
    </w:p>
    <w:p>
      <w:pPr>
        <w:spacing w:after="0" w:line="164" w:lineRule="exact"/>
        <w:rPr>
          <w:sz w:val="20"/>
          <w:szCs w:val="20"/>
          <w:color w:val="auto"/>
        </w:rPr>
      </w:pPr>
    </w:p>
    <w:p>
      <w:pPr>
        <w:ind w:left="120" w:right="20" w:firstLine="551"/>
        <w:spacing w:after="0" w:line="263" w:lineRule="auto"/>
        <w:rPr>
          <w:sz w:val="20"/>
          <w:szCs w:val="20"/>
          <w:color w:val="auto"/>
        </w:rPr>
      </w:pPr>
      <w:r>
        <w:rPr>
          <w:rFonts w:ascii="Arial" w:cs="Arial" w:eastAsia="Arial" w:hAnsi="Arial"/>
          <w:sz w:val="17"/>
          <w:szCs w:val="17"/>
          <w:color w:val="auto"/>
        </w:rPr>
        <w:t>We and our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our partners, or any third parties that we engage to assist us, are unable to successfully develop and supply companion diagnostics for our current product candidates and any future product candidates, or experience delays in doing so:</w:t>
      </w:r>
    </w:p>
    <w:p>
      <w:pPr>
        <w:spacing w:after="0" w:line="63" w:lineRule="exact"/>
        <w:rPr>
          <w:sz w:val="20"/>
          <w:szCs w:val="20"/>
          <w:color w:val="auto"/>
        </w:rPr>
      </w:pPr>
    </w:p>
    <w:p>
      <w:pPr>
        <w:ind w:left="880" w:hanging="224"/>
        <w:spacing w:after="0" w:line="27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development of our current product candidates and any future product candidates may be adversely affected if we are unable to appropriately select patients for enrollment in our clinical trials; and</w:t>
      </w:r>
    </w:p>
    <w:p>
      <w:pPr>
        <w:spacing w:after="0" w:line="50" w:lineRule="exact"/>
        <w:rPr>
          <w:rFonts w:ascii="Arial" w:cs="Arial" w:eastAsia="Arial" w:hAnsi="Arial"/>
          <w:sz w:val="18"/>
          <w:szCs w:val="18"/>
          <w:color w:val="auto"/>
        </w:rPr>
      </w:pPr>
    </w:p>
    <w:p>
      <w:pPr>
        <w:ind w:left="880" w:right="800" w:hanging="224"/>
        <w:spacing w:after="0" w:line="27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obtain approval of our current product candidates and any future product candidates that require companion diagnostics on a timely basis or at all.</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of these events were to occur, our business would be adversely impacted.</w:t>
      </w:r>
    </w:p>
    <w:p>
      <w:pPr>
        <w:spacing w:after="0" w:line="320" w:lineRule="exact"/>
        <w:rPr>
          <w:sz w:val="20"/>
          <w:szCs w:val="20"/>
          <w:color w:val="auto"/>
        </w:rPr>
      </w:pPr>
    </w:p>
    <w:p>
      <w:pPr>
        <w:ind w:left="120" w:right="80"/>
        <w:spacing w:after="0" w:line="285" w:lineRule="auto"/>
        <w:rPr>
          <w:sz w:val="20"/>
          <w:szCs w:val="20"/>
          <w:color w:val="auto"/>
        </w:rPr>
      </w:pPr>
      <w:r>
        <w:rPr>
          <w:rFonts w:ascii="Arial" w:cs="Arial" w:eastAsia="Arial" w:hAnsi="Arial"/>
          <w:sz w:val="18"/>
          <w:szCs w:val="18"/>
          <w:b w:val="1"/>
          <w:bCs w:val="1"/>
          <w:i w:val="1"/>
          <w:iCs w:val="1"/>
          <w:color w:val="auto"/>
        </w:rPr>
        <w:t>The outbreak of the novel coronavirus disease, COVID-19, could materially adversely impact our business, results of operations and financial condition, including our preclinical studies and clinical trials.</w:t>
      </w:r>
    </w:p>
    <w:p>
      <w:pPr>
        <w:spacing w:after="0" w:line="21"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In January 2020, the World Health Organization declared the outbreak of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We continue to monitor the impact of the COVID-19 outbreak closely. The extent to which the COVID-19 outbreak will impact its operations or financial results is uncertain.</w:t>
      </w:r>
    </w:p>
    <w:p>
      <w:pPr>
        <w:spacing w:after="0" w:line="17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our administrative employees continuing their work outside of our offices and limited the number of staff in any given research and development laboratory. Our research and development teams are currently operating on a staggered schedule, which has altered our operations and processes. While the extent of the impact of the COVID-19 pandemic on our business and financial results is uncertain, a continued and prolonged public health crisis such as the COVID-19 pandemic could have a material adverse effect on our business, financial condition and results of operations. As a result of the COVID-19</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5" w:right="4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pandemic, we may experience disruptions that could severely impact our business, preclinical studies and clinical trials, including:</w:t>
      </w:r>
    </w:p>
    <w:p>
      <w:pPr>
        <w:spacing w:after="0" w:line="117" w:lineRule="exact"/>
        <w:rPr>
          <w:sz w:val="20"/>
          <w:szCs w:val="20"/>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880" w:right="480" w:hanging="224"/>
        <w:spacing w:after="0" w:line="27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0" w:lineRule="exact"/>
        <w:rPr>
          <w:rFonts w:ascii="Arial" w:cs="Arial" w:eastAsia="Arial" w:hAnsi="Arial"/>
          <w:sz w:val="18"/>
          <w:szCs w:val="18"/>
          <w:color w:val="auto"/>
        </w:rPr>
      </w:pPr>
    </w:p>
    <w:p>
      <w:pPr>
        <w:ind w:left="880" w:right="320" w:hanging="224"/>
        <w:spacing w:after="0" w:line="248"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75" w:lineRule="exact"/>
        <w:rPr>
          <w:rFonts w:ascii="Arial" w:cs="Arial" w:eastAsia="Arial" w:hAnsi="Arial"/>
          <w:sz w:val="18"/>
          <w:szCs w:val="18"/>
          <w:color w:val="auto"/>
        </w:rPr>
      </w:pPr>
    </w:p>
    <w:p>
      <w:pPr>
        <w:ind w:left="880" w:right="660" w:hanging="224"/>
        <w:spacing w:after="0" w:line="27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50" w:lineRule="exact"/>
        <w:rPr>
          <w:rFonts w:ascii="Arial" w:cs="Arial" w:eastAsia="Arial" w:hAnsi="Arial"/>
          <w:sz w:val="18"/>
          <w:szCs w:val="18"/>
          <w:color w:val="auto"/>
        </w:rPr>
      </w:pPr>
    </w:p>
    <w:p>
      <w:pPr>
        <w:ind w:left="880" w:right="220" w:hanging="224"/>
        <w:spacing w:after="0" w:line="27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laboratory facility;</w:t>
      </w:r>
    </w:p>
    <w:p>
      <w:pPr>
        <w:spacing w:after="0" w:line="117" w:lineRule="exact"/>
        <w:rPr>
          <w:rFonts w:ascii="Arial" w:cs="Arial" w:eastAsia="Arial" w:hAnsi="Arial"/>
          <w:sz w:val="18"/>
          <w:szCs w:val="18"/>
          <w:color w:val="auto"/>
        </w:rPr>
      </w:pPr>
    </w:p>
    <w:p>
      <w:pPr>
        <w:ind w:left="880" w:right="260" w:hanging="224"/>
        <w:spacing w:after="0" w:line="255"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 and</w:t>
      </w:r>
    </w:p>
    <w:p>
      <w:pPr>
        <w:spacing w:after="0" w:line="117" w:lineRule="exact"/>
        <w:rPr>
          <w:rFonts w:ascii="Arial" w:cs="Arial" w:eastAsia="Arial" w:hAnsi="Arial"/>
          <w:sz w:val="18"/>
          <w:szCs w:val="18"/>
          <w:color w:val="auto"/>
        </w:rPr>
      </w:pPr>
    </w:p>
    <w:p>
      <w:pPr>
        <w:ind w:left="880" w:right="200" w:hanging="224"/>
        <w:spacing w:after="0" w:line="27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clinical site procedures and requirements as well as regulatory requirements for conducting clinical trials during the pandemic.</w:t>
      </w:r>
    </w:p>
    <w:p>
      <w:pPr>
        <w:spacing w:after="0" w:line="145"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We may be required to develop and implement additional clinical trial policies and procedures designed to help protect subjects from the COVID-19 virus. For example, in March 2020, the FDA issued a guidance, which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 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trial.</w:t>
      </w:r>
    </w:p>
    <w:p>
      <w:pPr>
        <w:spacing w:after="0" w:line="176"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 COVID-19 pandemic continues to revolve rapidly, with the status of operations and government restrictions evolving weekly. The extent to which the outbreak impacts our business, preclinical studies and clinical trials will depend on future developments, which are highly uncertain and cannot be predicted with confidence, such as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5" w:right="4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 trading prices for shares of other biopharmaceutical companies have been highly volatile as a result of the COVID-19 pandemic and following this offering the trading prices for shares of our common stock could also experience high volatility. As a result, we may face difficulties raising capital through sales of our common stock or such sales may be on unfavorable terms. In addition, a recession, depression or other sustained adverse market event resulting from the spread of the COVID-19 could materially and adversely affect our business and the value of our common stock.</w:t>
      </w:r>
    </w:p>
    <w:p>
      <w:pPr>
        <w:spacing w:after="0" w:line="172"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ultimate impact of the COVID-19 pandemic on our business operations is highly uncertain and subject to change and will depend on future developments, which cannot be accurately predicted, including the duration of the pandemic, the ultimate geographic spread of the disease, additional or modified government actions, new information that will emerge concerning the severity and impact of COVID-19 and the actions taken to contain COVID-19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17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addition, our business could be materially adversely affected by other business disruptions to us or our third-party providers that could materially adversely affect our potential future revenue and financial condition and increase our costs and expenses. Our operations, and those of our CROs, contract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materially adversely affect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84" w:lineRule="exact"/>
        <w:rPr>
          <w:sz w:val="20"/>
          <w:szCs w:val="20"/>
          <w:color w:val="auto"/>
        </w:rPr>
      </w:pPr>
    </w:p>
    <w:p>
      <w:pPr>
        <w:ind w:left="120" w:right="120"/>
        <w:spacing w:after="0" w:line="28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may not be able to initiate or continue clinical trials on a timely basis or at all for our product candidates if we are unable to recruit and enroll a sufficient number of eligible patients to participate in these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For example, our enrollment for clinical trials of PC14586 will require patients to have the specific p53 Y220C mutation. If we are unable to locate a sufficient number of such patients, our clinical trial and development plans could be delayed.</w:t>
      </w:r>
    </w:p>
    <w:p>
      <w:pPr>
        <w:spacing w:after="0" w:line="174" w:lineRule="exact"/>
        <w:rPr>
          <w:sz w:val="20"/>
          <w:szCs w:val="20"/>
          <w:color w:val="auto"/>
        </w:rPr>
      </w:pPr>
    </w:p>
    <w:p>
      <w:pPr>
        <w:ind w:left="120" w:right="200" w:firstLine="551"/>
        <w:spacing w:after="0" w:line="241" w:lineRule="auto"/>
        <w:rPr>
          <w:sz w:val="20"/>
          <w:szCs w:val="20"/>
          <w:color w:val="auto"/>
        </w:rPr>
      </w:pPr>
      <w:r>
        <w:rPr>
          <w:rFonts w:ascii="Arial" w:cs="Arial" w:eastAsia="Arial" w:hAnsi="Arial"/>
          <w:sz w:val="18"/>
          <w:szCs w:val="18"/>
          <w:color w:val="auto"/>
        </w:rPr>
        <w:t>Enrollment of patients in our clinical trials may be delayed or limited as our clinical trial sites limit their onsite staff or temporarily close as a result of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 drop-out rates in our clinical trials may be increased during the pandemic. Clinical trial patients who become infected with the COVID-19 virus may complicate the clinical trial data, procedures and analysis. These factors resulting from the COVID-19 pandemic could delay the anticipated readouts from our PC14586 clinical trials and our regulatory submissions, and increase the costs associated of the clinical trials.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firstLine="551"/>
        <w:spacing w:after="0" w:line="277" w:lineRule="auto"/>
        <w:rPr>
          <w:sz w:val="20"/>
          <w:szCs w:val="20"/>
          <w:color w:val="auto"/>
        </w:rPr>
      </w:pPr>
      <w:r>
        <w:rPr>
          <w:rFonts w:ascii="Arial" w:cs="Arial" w:eastAsia="Arial" w:hAnsi="Arial"/>
          <w:sz w:val="17"/>
          <w:szCs w:val="17"/>
          <w:color w:val="auto"/>
        </w:rPr>
        <w:t>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52" w:lineRule="exact"/>
        <w:rPr>
          <w:sz w:val="20"/>
          <w:szCs w:val="20"/>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and efficacy of approved drugs for the disease under investigation;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 as defined in the protocol;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jc w:val="both"/>
        <w:ind w:left="880" w:right="340" w:hanging="224"/>
        <w:spacing w:after="0" w:line="255"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or future product candidates being investigated for the indications we are investigating;</w:t>
      </w:r>
    </w:p>
    <w:p>
      <w:pPr>
        <w:spacing w:after="0" w:line="69" w:lineRule="exact"/>
        <w:rPr>
          <w:rFonts w:ascii="Arial" w:cs="Arial" w:eastAsia="Arial" w:hAnsi="Arial"/>
          <w:sz w:val="18"/>
          <w:szCs w:val="18"/>
          <w:color w:val="auto"/>
        </w:rPr>
      </w:pPr>
    </w:p>
    <w:p>
      <w:pPr>
        <w:ind w:left="880" w:right="520" w:hanging="224"/>
        <w:spacing w:after="0" w:line="27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clinicians’ willingness to screen their patients for biomarkers to indicate which patients may be eligible for enrollment in our clinical trials;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or temporary suspension of the enrollment of patients in our planned clinical trial due to the COVID-19 pandemic;</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ability to obtain and maintain patient consents;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and</w:t>
      </w:r>
    </w:p>
    <w:p>
      <w:pPr>
        <w:spacing w:after="0" w:line="117" w:lineRule="exact"/>
        <w:rPr>
          <w:rFonts w:ascii="Arial" w:cs="Arial" w:eastAsia="Arial" w:hAnsi="Arial"/>
          <w:sz w:val="18"/>
          <w:szCs w:val="18"/>
          <w:color w:val="auto"/>
        </w:rPr>
      </w:pPr>
    </w:p>
    <w:p>
      <w:pPr>
        <w:ind w:left="880" w:right="180" w:hanging="224"/>
        <w:spacing w:after="0" w:line="255"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including as a result of contracting COVID-19 or other health conditions or being forced to quarantine, or, because they may be late-stage cancer patients, will not survive the full terms of the clinical trials.</w:t>
      </w:r>
    </w:p>
    <w:p>
      <w:pPr>
        <w:spacing w:after="0" w:line="16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 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04"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an alternative formulation of PC14586 into the dose expansion phases of our future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5" w:lineRule="auto"/>
        <w:rPr>
          <w:sz w:val="20"/>
          <w:szCs w:val="20"/>
          <w:color w:val="auto"/>
        </w:rPr>
      </w:pPr>
      <w:r>
        <w:rPr>
          <w:rFonts w:ascii="Arial" w:cs="Arial" w:eastAsia="Arial" w:hAnsi="Arial"/>
          <w:sz w:val="18"/>
          <w:szCs w:val="18"/>
          <w:color w:val="auto"/>
        </w:rPr>
        <w:t>clinical trials. Such changes carry the risk that they will not achieve these intended objectives. Any of these changes could cause our product candidates to perform differently and affect the results of planned clinical trials or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280" w:lineRule="exact"/>
        <w:rPr>
          <w:sz w:val="20"/>
          <w:szCs w:val="20"/>
          <w:color w:val="auto"/>
        </w:rPr>
      </w:pPr>
    </w:p>
    <w:p>
      <w:pPr>
        <w:jc w:val="both"/>
        <w:ind w:left="120" w:right="660"/>
        <w:spacing w:after="0" w:line="260"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43"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Cancer therapies are sometimes characterized as first line, second line, or third line, and the FDA often approves new therapies only for a particular line of use. When cancer is detected early enough, first line therapy is sometimes adequate to cure the cancer or prolong life without a cure. Whenever first line therapy,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in most instances at least as a second therapy. Subsequently, depending on the nature of the clinical data and experience with any approved products or product candidates, if any, we may pursue approval as an earlier line therapy and potentially as a first line therapy. But there is no guarantee that our product candidates, even if approved as a second or subsequent line of therapy, would be approved for an earlier line of therapy, and, prior to any such approvals, we may have to conduct additional clinical trials.</w:t>
      </w:r>
    </w:p>
    <w:p>
      <w:pPr>
        <w:spacing w:after="0" w:line="17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projections of both the number of people who have the p53 hotspot mutations we are targeting, who may have their tumors genetically sequenced, as well as the subset of people with these mutations in a position to receive a particular line of therapy and who have the potential to benefit from treatment with our product candidates, are based on our assumptions and estimates. These estimates have been derived from a variety of sources, including scientific literature, surveys of clinics, patient foundations or market research, and may prove to be incorrect. Further, new therapies may change the estimated incidence or prevalence of the cancers that we are targeting. Consequently, even if our product candidates are approved for a second or third 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may materially adversely affect our business.</w:t>
      </w:r>
    </w:p>
    <w:p>
      <w:pPr>
        <w:spacing w:after="0" w:line="104" w:lineRule="exact"/>
        <w:rPr>
          <w:sz w:val="20"/>
          <w:szCs w:val="20"/>
          <w:color w:val="auto"/>
        </w:rPr>
      </w:pPr>
    </w:p>
    <w:p>
      <w:pPr>
        <w:ind w:left="120" w:right="140" w:firstLine="551"/>
        <w:spacing w:after="0" w:line="276" w:lineRule="auto"/>
        <w:rPr>
          <w:sz w:val="20"/>
          <w:szCs w:val="20"/>
          <w:color w:val="auto"/>
        </w:rPr>
      </w:pPr>
      <w:r>
        <w:rPr>
          <w:rFonts w:ascii="Arial" w:cs="Arial" w:eastAsia="Arial" w:hAnsi="Arial"/>
          <w:sz w:val="18"/>
          <w:szCs w:val="18"/>
          <w:color w:val="auto"/>
        </w:rPr>
        <w:t>We plan to eventually seek regulatory approval of our product candidates outside of the United States and, accordingly, we expect that we will be subject to additional risks related to operating in foreign countries if we obtain the necessary approvals, including:</w:t>
      </w:r>
    </w:p>
    <w:p>
      <w:pPr>
        <w:spacing w:after="0" w:line="50" w:lineRule="exact"/>
        <w:rPr>
          <w:sz w:val="20"/>
          <w:szCs w:val="20"/>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regulatory authorities may disagree with the design, implementation or results of our clinical trials or our interpretation of data from preclinical studies or clinical trials;</w:t>
      </w:r>
    </w:p>
    <w:p>
      <w:pPr>
        <w:spacing w:after="0" w:line="50"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approval policies or regulations of foreign regulatory authorities may significantly change in a manner rendering our clinical data insufficient for approval;</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5" w:right="4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820" w:hanging="224"/>
        <w:spacing w:after="0" w:line="27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impact of the COVID-19 pandemic on our ability to produce our product candidates and conduct clinical trials in foreign countries;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17"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12"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These and other risks associated with international operations may materially adversely affect our business, financial condition and results of operations.</w:t>
      </w:r>
    </w:p>
    <w:p>
      <w:pPr>
        <w:spacing w:after="0" w:line="253" w:lineRule="exact"/>
        <w:rPr>
          <w:sz w:val="20"/>
          <w:szCs w:val="20"/>
          <w:color w:val="auto"/>
        </w:rPr>
      </w:pPr>
    </w:p>
    <w:p>
      <w:pPr>
        <w:ind w:left="120" w:right="440"/>
        <w:spacing w:after="0" w:line="285"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174"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color w:val="auto"/>
        </w:rPr>
        <w:t>In particular, we are aware of molecules in development that also are being explored for p53 upregulation/activation in various stages of clinical development being tested by Actavalon, Aprea Therapeutics, CDG Therapeutics, Cotinga Pharmaceuticals, Innovation Pharmaceuticals, and Senhwa Biosciences, among others. We are also aware of selective small molecule inhibitors that are designed to target wild-type p53 containing tumors through the p53-murine double minute 2, or MDM2, interaction, which are in various stages of clinical development being tested by Aileron Therapeutics, Ascentage Pharma, Boehringer Ingelheim, Daiichi Sankyo, Kartos Therapeutics, Novartis and Roche, including testing MDM2 inhibitors in combination with a variety of other anti-cancer agents.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5" w:right="4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genetically-defined cancers. If PC14586 or our future product candidates do not offer sustainable advantages over competing products, we may otherwise not be able to successfully compete against current and future competitors.</w:t>
      </w:r>
    </w:p>
    <w:p>
      <w:pPr>
        <w:spacing w:after="0" w:line="170"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70"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In addition, we will likely need to develop our product candidates in collaboration with companion diagnostic companies, and we will face competition from other companies in establishing these future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7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183"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For additional information regarding our competition, see “Business— Competition.”</w:t>
      </w:r>
    </w:p>
    <w:p>
      <w:pPr>
        <w:spacing w:after="0" w:line="278" w:lineRule="exact"/>
        <w:rPr>
          <w:sz w:val="20"/>
          <w:szCs w:val="20"/>
          <w:color w:val="auto"/>
        </w:rPr>
      </w:pPr>
    </w:p>
    <w:p>
      <w:pPr>
        <w:ind w:left="120" w:right="520"/>
        <w:spacing w:after="0" w:line="285" w:lineRule="auto"/>
        <w:rPr>
          <w:sz w:val="20"/>
          <w:szCs w:val="20"/>
          <w:color w:val="auto"/>
        </w:rPr>
      </w:pPr>
      <w:r>
        <w:rPr>
          <w:rFonts w:ascii="Arial" w:cs="Arial" w:eastAsia="Arial" w:hAnsi="Arial"/>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21"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Our future operating results are dependent on our ability to successfully discover, develop, obtain regulatory approval for and commercialize product candidates beyond those we currently have in preclinical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5"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20"/>
        <w:spacing w:after="0" w:line="276" w:lineRule="auto"/>
        <w:rPr>
          <w:sz w:val="20"/>
          <w:szCs w:val="20"/>
          <w:color w:val="auto"/>
        </w:rPr>
      </w:pPr>
      <w:r>
        <w:rPr>
          <w:rFonts w:ascii="Arial" w:cs="Arial" w:eastAsia="Arial" w:hAnsi="Arial"/>
          <w:sz w:val="18"/>
          <w:szCs w:val="18"/>
          <w:color w:val="auto"/>
        </w:rPr>
        <w:t>variables. The results from preclinical testing or early clinical trials of a product candidate may not be predictive of the results that will be obtained in later stage clinical trials of the product candidate.</w:t>
      </w:r>
    </w:p>
    <w:p>
      <w:pPr>
        <w:spacing w:after="0" w:line="145" w:lineRule="exact"/>
        <w:rPr>
          <w:sz w:val="20"/>
          <w:szCs w:val="20"/>
          <w:color w:val="auto"/>
        </w:rPr>
      </w:pPr>
    </w:p>
    <w:p>
      <w:pPr>
        <w:ind w:left="120" w:right="560" w:firstLine="551"/>
        <w:spacing w:after="0" w:line="276" w:lineRule="auto"/>
        <w:rPr>
          <w:sz w:val="20"/>
          <w:szCs w:val="20"/>
          <w:color w:val="auto"/>
        </w:rPr>
      </w:pPr>
      <w:r>
        <w:rPr>
          <w:rFonts w:ascii="Arial" w:cs="Arial" w:eastAsia="Arial" w:hAnsi="Arial"/>
          <w:sz w:val="18"/>
          <w:szCs w:val="18"/>
          <w:color w:val="auto"/>
        </w:rPr>
        <w:t>The success of future product candidates we may develop will depend on many factors, including the following and the other factors relating to product development described elsewhere in this “Risk Factors” section:</w:t>
      </w:r>
    </w:p>
    <w:p>
      <w:pPr>
        <w:spacing w:after="0" w:line="50" w:lineRule="exact"/>
        <w:rPr>
          <w:sz w:val="20"/>
          <w:szCs w:val="20"/>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timely manufacture of sufficient quantities of the product candidate for use in clinical trials;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events in the clinical trials.</w:t>
      </w:r>
    </w:p>
    <w:p>
      <w:pPr>
        <w:spacing w:after="0" w:line="212" w:lineRule="exact"/>
        <w:rPr>
          <w:sz w:val="20"/>
          <w:szCs w:val="20"/>
          <w:color w:val="auto"/>
        </w:rPr>
      </w:pPr>
    </w:p>
    <w:p>
      <w:pPr>
        <w:jc w:val="both"/>
        <w:ind w:left="120" w:right="80" w:firstLine="551"/>
        <w:spacing w:after="0" w:line="255"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additional product candidates, which would materially adversely affect our business, financial condition and results of operations.</w:t>
      </w:r>
    </w:p>
    <w:p>
      <w:pPr>
        <w:spacing w:after="0" w:line="164"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Even if we successfully advance any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future product candidates.</w:t>
      </w:r>
    </w:p>
    <w:p>
      <w:pPr>
        <w:spacing w:after="0" w:line="278"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43"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patients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w:t>
      </w:r>
    </w:p>
    <w:p>
      <w:pPr>
        <w:spacing w:after="0" w:line="179"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While we have not yet initiated clinical trials for any of our product candidates, as is the case with all oncology drugs, it is likely that there may be significant side effects associated with their use. PC14586 or future product candidates may be used in populations for which safety concerns may be reviewed by regulatory agencies. In addition, we expect that PC14586 will be studied in combination with other therapies, which may exacerbate adverse events associated with the therapy. Further, our product candidates will be used in patients that have weakened immune systems, which may exacerbate any potential side effects associated with their use. Patients treated with PC14586 or any of our future product candidates may also be undergoing surgical, radiation and chemotherapy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3" w:lineRule="auto"/>
        <w:rPr>
          <w:sz w:val="20"/>
          <w:szCs w:val="20"/>
          <w:color w:val="auto"/>
        </w:rPr>
      </w:pPr>
      <w:r>
        <w:rPr>
          <w:rFonts w:ascii="Arial" w:cs="Arial" w:eastAsia="Arial" w:hAnsi="Arial"/>
          <w:sz w:val="18"/>
          <w:szCs w:val="18"/>
          <w:color w:val="auto"/>
        </w:rPr>
        <w:t>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PC14586 clinical trials will die or experience major clinical events either during the course of our clinical trials or after participating in such trials. Results of our trials could reveal a high and unacceptable severity and prevalence of these or other side effects.</w:t>
      </w:r>
    </w:p>
    <w:p>
      <w:pPr>
        <w:spacing w:after="0" w:line="174"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adversely affect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trials.</w:t>
      </w:r>
    </w:p>
    <w:p>
      <w:pPr>
        <w:spacing w:after="0" w:line="285" w:lineRule="exact"/>
        <w:rPr>
          <w:sz w:val="20"/>
          <w:szCs w:val="20"/>
          <w:color w:val="auto"/>
        </w:rPr>
      </w:pPr>
    </w:p>
    <w:p>
      <w:pPr>
        <w:ind w:left="120" w:right="700"/>
        <w:spacing w:after="0" w:line="285" w:lineRule="auto"/>
        <w:rPr>
          <w:sz w:val="20"/>
          <w:szCs w:val="20"/>
          <w:color w:val="auto"/>
        </w:rPr>
      </w:pPr>
      <w:r>
        <w:rPr>
          <w:rFonts w:ascii="Arial" w:cs="Arial" w:eastAsia="Arial" w:hAnsi="Arial"/>
          <w:sz w:val="18"/>
          <w:szCs w:val="18"/>
          <w:b w:val="1"/>
          <w:bCs w:val="1"/>
          <w:i w:val="1"/>
          <w:iCs w:val="1"/>
          <w:color w:val="auto"/>
        </w:rPr>
        <w:t>We expect to develop our current or future product candidates in combination with other therapies, which exposes us to additional risks.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intend to develop our current or future product candidates in combination with one or more currently approved cancer therapies or therapies in development. For example, our preclinical studies have demonstrated robust tumor regression when sub-therapeutic doses of PC14586 were used in combination with anti-PD-1 therapy. Patients may not be able to tolerate PC14586 or any of our future product candidates in combination with other therapies or dosing of PC14586 or any of our future product candidates in combination with other therapies may have unexpected consequences. Even if any of our current or future product candidates were to receive marketing approval or be commercialized for use in combination with other existing therapies, we would continue to be subject to the risks that the FDA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176" w:lineRule="exact"/>
        <w:rPr>
          <w:sz w:val="20"/>
          <w:szCs w:val="20"/>
          <w:color w:val="auto"/>
        </w:rPr>
      </w:pPr>
    </w:p>
    <w:p>
      <w:pPr>
        <w:jc w:val="both"/>
        <w:ind w:left="120" w:right="220" w:firstLine="551"/>
        <w:spacing w:after="0" w:line="255" w:lineRule="auto"/>
        <w:rPr>
          <w:sz w:val="20"/>
          <w:szCs w:val="20"/>
          <w:color w:val="auto"/>
        </w:rPr>
      </w:pPr>
      <w:r>
        <w:rPr>
          <w:rFonts w:ascii="Arial" w:cs="Arial" w:eastAsia="Arial" w:hAnsi="Arial"/>
          <w:sz w:val="18"/>
          <w:szCs w:val="18"/>
          <w:color w:val="auto"/>
        </w:rPr>
        <w:t>We may also evaluate our current or future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approval.</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If the FDA or other comparable foreign regulatory authorities do not approve or withdraw their approval of these other therapies, or if safety, efficacy, commercial adoption, manufacturing or supply issues arise with the therapies we choose to evaluate in combination with PC14586 or any future product candidate, we may be unable to obtain approval of or successfully market any one or all of the current or future product candidates we develop. Additionally, if the third -party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288" w:lineRule="exact"/>
        <w:rPr>
          <w:sz w:val="20"/>
          <w:szCs w:val="20"/>
          <w:color w:val="auto"/>
        </w:rPr>
      </w:pPr>
    </w:p>
    <w:p>
      <w:pPr>
        <w:jc w:val="both"/>
        <w:ind w:left="120" w:right="80"/>
        <w:spacing w:after="0" w:line="260" w:lineRule="auto"/>
        <w:rPr>
          <w:sz w:val="20"/>
          <w:szCs w:val="20"/>
          <w:color w:val="auto"/>
        </w:rPr>
      </w:pPr>
      <w:r>
        <w:rPr>
          <w:rFonts w:ascii="Arial" w:cs="Arial" w:eastAsia="Arial" w:hAnsi="Arial"/>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3"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0" w:lineRule="exact"/>
        <w:rPr>
          <w:sz w:val="20"/>
          <w:szCs w:val="20"/>
          <w:color w:val="auto"/>
        </w:rPr>
      </w:pPr>
    </w:p>
    <w:p>
      <w:pPr>
        <w:ind w:left="120" w:right="220" w:firstLine="551"/>
        <w:spacing w:after="0" w:line="263" w:lineRule="auto"/>
        <w:rPr>
          <w:sz w:val="20"/>
          <w:szCs w:val="20"/>
          <w:color w:val="auto"/>
        </w:rPr>
      </w:pPr>
      <w:r>
        <w:rPr>
          <w:rFonts w:ascii="Arial" w:cs="Arial" w:eastAsia="Arial" w:hAnsi="Arial"/>
          <w:sz w:val="17"/>
          <w:szCs w:val="17"/>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materially adversely affect our business prospects. Further, disclosure of interim data by us or by our competitors could result in volatility in the price of our common stock after this offering.</w:t>
      </w:r>
    </w:p>
    <w:p>
      <w:pPr>
        <w:spacing w:after="0" w:line="157"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adversely affected, which could materially adversely affect our business, financial condition and results of operations.</w:t>
      </w:r>
    </w:p>
    <w:p>
      <w:pPr>
        <w:spacing w:after="0" w:line="288" w:lineRule="exact"/>
        <w:rPr>
          <w:sz w:val="20"/>
          <w:szCs w:val="20"/>
          <w:color w:val="auto"/>
        </w:rPr>
      </w:pPr>
    </w:p>
    <w:p>
      <w:pPr>
        <w:ind w:left="120" w:right="900"/>
        <w:spacing w:after="0" w:line="285" w:lineRule="auto"/>
        <w:rPr>
          <w:sz w:val="20"/>
          <w:szCs w:val="20"/>
          <w:color w:val="auto"/>
        </w:rPr>
      </w:pPr>
      <w:r>
        <w:rPr>
          <w:rFonts w:ascii="Arial" w:cs="Arial" w:eastAsia="Arial" w:hAnsi="Arial"/>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21"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The use of precision medicines as a potential cancer treatment is a recent development and may not become broadly accepted by physicians, patients, hospitals, cancer treatment centers and others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5" w:right="4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medical community. Various factors will influence whether our product candidates are accepted in the market, including:</w:t>
      </w:r>
    </w:p>
    <w:p>
      <w:pPr>
        <w:spacing w:after="0" w:line="117" w:lineRule="exact"/>
        <w:rPr>
          <w:sz w:val="20"/>
          <w:szCs w:val="20"/>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117" w:lineRule="exact"/>
        <w:rPr>
          <w:rFonts w:ascii="Arial" w:cs="Arial" w:eastAsia="Arial" w:hAnsi="Arial"/>
          <w:sz w:val="18"/>
          <w:szCs w:val="18"/>
          <w:color w:val="auto"/>
        </w:rPr>
      </w:pPr>
    </w:p>
    <w:p>
      <w:pPr>
        <w:ind w:left="880" w:right="740" w:hanging="224"/>
        <w:spacing w:after="0" w:line="27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physicians, hospitals, cancer treatment centers and patients considering our product candidates as a safe and effective treatment;</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demonstrate the advantages of our product candidates over other cancer medicines;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prevalence and severity of any side effects for other precision medicines and public perception of other precision medicines;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 as well as competitive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adequate coverage, reimbursement and pricing by third-party payors and government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by third-party payors and government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2" w:lineRule="exact"/>
        <w:rPr>
          <w:sz w:val="20"/>
          <w:szCs w:val="20"/>
          <w:color w:val="auto"/>
        </w:rPr>
      </w:pPr>
    </w:p>
    <w:p>
      <w:pPr>
        <w:ind w:left="120" w:right="720" w:firstLine="551"/>
        <w:spacing w:after="0" w:line="276" w:lineRule="auto"/>
        <w:rPr>
          <w:sz w:val="20"/>
          <w:szCs w:val="20"/>
          <w:color w:val="auto"/>
        </w:rPr>
      </w:pPr>
      <w:r>
        <w:rPr>
          <w:rFonts w:ascii="Arial" w:cs="Arial" w:eastAsia="Arial" w:hAnsi="Arial"/>
          <w:sz w:val="18"/>
          <w:szCs w:val="18"/>
          <w:color w:val="auto"/>
        </w:rPr>
        <w:t>If our product candidates are licensed but fail to achieve market acceptance among physicians, patients, hospitals, cancer treatment centers or others in the medical community, we will not be able to generate significant revenue.</w:t>
      </w:r>
    </w:p>
    <w:p>
      <w:pPr>
        <w:spacing w:after="0" w:line="14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172"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272" w:lineRule="exact"/>
        <w:rPr>
          <w:sz w:val="20"/>
          <w:szCs w:val="20"/>
          <w:color w:val="auto"/>
        </w:rPr>
      </w:pPr>
    </w:p>
    <w:p>
      <w:pPr>
        <w:ind w:left="120" w:right="160"/>
        <w:spacing w:after="0" w:line="251"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adversely affect our business. Failure to obtain or maintain adequate coverage and reimbursement for new or current products could limit our ability to market those products and decrease our ability to generate revenue.</w:t>
      </w:r>
    </w:p>
    <w:p>
      <w:pPr>
        <w:spacing w:after="0" w:line="52" w:lineRule="exact"/>
        <w:rPr>
          <w:sz w:val="20"/>
          <w:szCs w:val="20"/>
          <w:color w:val="auto"/>
        </w:rPr>
      </w:pPr>
    </w:p>
    <w:p>
      <w:pPr>
        <w:ind w:left="120" w:right="160" w:firstLine="551"/>
        <w:spacing w:after="0" w:line="276" w:lineRule="auto"/>
        <w:rPr>
          <w:sz w:val="20"/>
          <w:szCs w:val="20"/>
          <w:color w:val="auto"/>
        </w:rPr>
      </w:pPr>
      <w:r>
        <w:rPr>
          <w:rFonts w:ascii="Arial" w:cs="Arial" w:eastAsia="Arial" w:hAnsi="Arial"/>
          <w:sz w:val="18"/>
          <w:szCs w:val="18"/>
          <w:color w:val="auto"/>
        </w:rPr>
        <w:t>The regulations that govern marketing approvals, pricing, coverage and reimbursement for new drugs vary widely from country to country. In the United States, recently enacted legislation may</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5" w:right="49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materially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80"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93" w:lineRule="exact"/>
        <w:rPr>
          <w:sz w:val="20"/>
          <w:szCs w:val="20"/>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2"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180" w:lineRule="exact"/>
        <w:rPr>
          <w:sz w:val="20"/>
          <w:szCs w:val="20"/>
          <w:color w:val="auto"/>
        </w:rPr>
      </w:pPr>
    </w:p>
    <w:p>
      <w:pPr>
        <w:ind w:left="120" w:right="720" w:firstLine="551"/>
        <w:spacing w:after="0" w:line="276"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For example, a number of cancer drugs have been approved for reimbursement in the United States and have not been approved for reimbursement in certain European countries.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business, financial condition and results of operations, our ability to raise capital needed to commercialize product candidates and our overall financial condition.</w:t>
      </w:r>
    </w:p>
    <w:p>
      <w:pPr>
        <w:spacing w:after="0" w:line="182"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business, financial condition and results of operations, our ability to raise capital needed to commercialize products and our overall financial condition.</w:t>
      </w:r>
    </w:p>
    <w:p>
      <w:pPr>
        <w:spacing w:after="0" w:line="172"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69"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Additionally, we may develop companion diagnostic tests for use with our product candidates. We, or our collaborators, may be required to obtain coverage and reimbursement for these tests separate and apart from the coverage and reimbursement we seek for our product candidates, once approved. Even if we obtain regulatory approval or clearance for such companion diagnostics, there is significant uncertainty regarding our ability to obtain coverage and adequate reimbursement for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5"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5" w:lineRule="auto"/>
        <w:rPr>
          <w:sz w:val="20"/>
          <w:szCs w:val="20"/>
          <w:color w:val="auto"/>
        </w:rPr>
      </w:pPr>
      <w:r>
        <w:rPr>
          <w:rFonts w:ascii="Arial" w:cs="Arial" w:eastAsia="Arial" w:hAnsi="Arial"/>
          <w:sz w:val="18"/>
          <w:szCs w:val="18"/>
          <w:color w:val="auto"/>
        </w:rPr>
        <w:t>same reasons applicable to our product candidates. Medicare reimbursement methodologies, whether under Part A, Part B or clinical laboratory fee schedule may be amended from time to time, and we cannot predict what effect any change to these methodologies would have on any product candidate or companion diagnostic for which we receive approval. Our inability to promptly obtain coverage and adequate reimbursement from both third-party payors for the companion diagnostic tests that we develop and for which we obtain regulatory approval could have a material and adverse effect on our business, financial condition, results of operations and prospects.</w:t>
      </w:r>
    </w:p>
    <w:p>
      <w:pPr>
        <w:spacing w:after="0" w:line="280" w:lineRule="exact"/>
        <w:rPr>
          <w:sz w:val="20"/>
          <w:szCs w:val="20"/>
          <w:color w:val="auto"/>
        </w:rPr>
      </w:pPr>
    </w:p>
    <w:p>
      <w:pPr>
        <w:ind w:left="120" w:right="1220"/>
        <w:spacing w:after="0" w:line="285"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21"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face an inherent risk of product liability as a result of the planned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86" w:lineRule="exact"/>
        <w:rPr>
          <w:sz w:val="20"/>
          <w:szCs w:val="20"/>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12"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5" w:right="4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500"/>
        <w:spacing w:after="0" w:line="285"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2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comparable foreign regulatory authority investigation of the safety and effectiveness of our products, our manufacturing processes and facilities or our marketing programs. FDA or other comparable foreign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288" w:lineRule="exact"/>
        <w:rPr>
          <w:sz w:val="20"/>
          <w:szCs w:val="20"/>
          <w:color w:val="auto"/>
        </w:rPr>
      </w:pPr>
    </w:p>
    <w:p>
      <w:pPr>
        <w:ind w:left="120" w:right="240"/>
        <w:spacing w:after="0" w:line="285"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21"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We have never commercialized a product candidate and we currently have no sales force, marketing or distribution capabilities. To achieve commercial success for the product candidates which we may license to others, we will rely on the assistance and guidance of those collaborators. For product candidates for which we retain commercialization rights and marketing approval, we will have to develop our own sales, marketing and supply organization or outsource these activities to a third party.</w:t>
      </w:r>
    </w:p>
    <w:p>
      <w:pPr>
        <w:spacing w:after="0" w:line="17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Factors that may affect our ability to commercialize our product candidates, if approved, on our own include recruiting and retaining adequate numbers of effective sales and marketing personnel, developing adequate educational and marketing programs to increase public acceptance of our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 from them or be able to reach or sustain profitability.</w:t>
      </w:r>
    </w:p>
    <w:p>
      <w:pPr>
        <w:spacing w:after="0" w:line="288"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43" w:lineRule="exact"/>
        <w:rPr>
          <w:sz w:val="20"/>
          <w:szCs w:val="20"/>
          <w:color w:val="auto"/>
        </w:rPr>
      </w:pPr>
    </w:p>
    <w:p>
      <w:pPr>
        <w:ind w:left="120" w:right="260" w:firstLine="551"/>
        <w:spacing w:after="0" w:line="255" w:lineRule="auto"/>
        <w:rPr>
          <w:sz w:val="20"/>
          <w:szCs w:val="20"/>
          <w:color w:val="auto"/>
        </w:rPr>
      </w:pPr>
      <w:r>
        <w:rPr>
          <w:rFonts w:ascii="Arial" w:cs="Arial" w:eastAsia="Arial" w:hAnsi="Arial"/>
          <w:sz w:val="18"/>
          <w:szCs w:val="18"/>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5" w:right="4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other pharmaceutical and biotechnology companies to recruit, hire, train and retain marketing and sales personnel.</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80" w:lineRule="exact"/>
        <w:rPr>
          <w:sz w:val="20"/>
          <w:szCs w:val="20"/>
          <w:color w:val="auto"/>
        </w:rPr>
      </w:pPr>
    </w:p>
    <w:p>
      <w:pPr>
        <w:ind w:left="120" w:right="480" w:firstLine="551"/>
        <w:spacing w:after="0" w:line="276"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Regulatory Process and Other Legal Compliance Matters</w:t>
      </w:r>
    </w:p>
    <w:p>
      <w:pPr>
        <w:spacing w:after="0" w:line="214" w:lineRule="exact"/>
        <w:rPr>
          <w:sz w:val="20"/>
          <w:szCs w:val="20"/>
          <w:color w:val="auto"/>
        </w:rPr>
      </w:pPr>
    </w:p>
    <w:p>
      <w:pPr>
        <w:ind w:left="120" w:right="20"/>
        <w:spacing w:after="0" w:line="251" w:lineRule="auto"/>
        <w:rPr>
          <w:sz w:val="20"/>
          <w:szCs w:val="20"/>
          <w:color w:val="auto"/>
        </w:rPr>
      </w:pPr>
      <w:r>
        <w:rPr>
          <w:rFonts w:ascii="Arial" w:cs="Arial" w:eastAsia="Arial" w:hAnsi="Arial"/>
          <w:sz w:val="18"/>
          <w:szCs w:val="18"/>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52"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our lead product candidate PC14586, we must demonstrate through lengthy, complex and expensive preclinical studies and clinical trials that our product candidates are both safe and effective for each targeted indication.</w:t>
      </w:r>
    </w:p>
    <w:p>
      <w:pPr>
        <w:spacing w:after="0" w:line="172"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marketing approval.</w:t>
      </w:r>
    </w:p>
    <w:p>
      <w:pPr>
        <w:spacing w:after="0" w:line="170"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NDA or equivalent application types, may cause delays in the approval or rejection of an application. For example, FDA has recently issued guidance on conducting clinical trials during the pandemic, which describes a number of considerations for sponsors of clinical trials impacted by the COVID-19 pandemic, including recordkeeping and implementation of contingency measures in response to the ongoing pandemic. The FDA and comparable authorities in other countries have substantial discretion in the approval process and may refuse to accept any application or may decide that our data are insufficient for</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5"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76" w:lineRule="auto"/>
        <w:rPr>
          <w:sz w:val="20"/>
          <w:szCs w:val="20"/>
          <w:color w:val="auto"/>
        </w:rPr>
      </w:pPr>
      <w:r>
        <w:rPr>
          <w:rFonts w:ascii="Arial" w:cs="Arial" w:eastAsia="Arial" w:hAnsi="Arial"/>
          <w:sz w:val="18"/>
          <w:szCs w:val="18"/>
          <w:color w:val="auto"/>
        </w:rPr>
        <w:t>approval and require additional preclinical, clinical or other data. Our product candidates could be delayed in receiving, or fail to receive, regulatory approval for many reasons, including the following:</w:t>
      </w:r>
    </w:p>
    <w:p>
      <w:pPr>
        <w:spacing w:after="0" w:line="50" w:lineRule="exact"/>
        <w:rPr>
          <w:sz w:val="20"/>
          <w:szCs w:val="20"/>
          <w:color w:val="auto"/>
        </w:rPr>
      </w:pPr>
    </w:p>
    <w:p>
      <w:pPr>
        <w:ind w:left="880" w:right="400" w:hanging="224"/>
        <w:spacing w:after="0" w:line="248"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 including our proposed Phase 1/2 clinical trial design for PC14586, or require us to modify the design of our clinical trials, including additional procedures and contingency measures in response to the COVID-19 pandemic or as required by clinical sites, IRBs, FDA or other regulatory authorities;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tumor-agnostic development strategy;</w:t>
      </w:r>
    </w:p>
    <w:p>
      <w:pPr>
        <w:spacing w:after="0" w:line="117" w:lineRule="exact"/>
        <w:rPr>
          <w:rFonts w:ascii="Arial" w:cs="Arial" w:eastAsia="Arial" w:hAnsi="Arial"/>
          <w:sz w:val="18"/>
          <w:szCs w:val="18"/>
          <w:color w:val="auto"/>
        </w:rPr>
      </w:pPr>
    </w:p>
    <w:p>
      <w:pPr>
        <w:ind w:left="880" w:right="26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50" w:lineRule="exact"/>
        <w:rPr>
          <w:rFonts w:ascii="Arial" w:cs="Arial" w:eastAsia="Arial" w:hAnsi="Arial"/>
          <w:sz w:val="18"/>
          <w:szCs w:val="18"/>
          <w:color w:val="auto"/>
        </w:rPr>
      </w:pPr>
    </w:p>
    <w:p>
      <w:pPr>
        <w:ind w:left="880" w:right="320" w:hanging="224"/>
        <w:spacing w:after="0" w:line="255"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a related companion diagnostic is suitable to identify appropriate patient populations;</w:t>
      </w:r>
    </w:p>
    <w:p>
      <w:pPr>
        <w:spacing w:after="0" w:line="69"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other comparable regulatory authorities may fail to approve companion diagnostic tests that may be required for our product candidates;</w:t>
      </w:r>
    </w:p>
    <w:p>
      <w:pPr>
        <w:spacing w:after="0" w:line="50"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 or that a product candidate has an acceptable benefit-risk ratio for its proposed indication;</w:t>
      </w:r>
    </w:p>
    <w:p>
      <w:pPr>
        <w:spacing w:after="0" w:line="50" w:lineRule="exact"/>
        <w:rPr>
          <w:rFonts w:ascii="Arial" w:cs="Arial" w:eastAsia="Arial" w:hAnsi="Arial"/>
          <w:sz w:val="18"/>
          <w:szCs w:val="18"/>
          <w:color w:val="auto"/>
        </w:rPr>
      </w:pPr>
    </w:p>
    <w:p>
      <w:pPr>
        <w:ind w:left="880" w:right="48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50"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50" w:lineRule="exact"/>
        <w:rPr>
          <w:rFonts w:ascii="Arial" w:cs="Arial" w:eastAsia="Arial" w:hAnsi="Arial"/>
          <w:sz w:val="18"/>
          <w:szCs w:val="18"/>
          <w:color w:val="auto"/>
        </w:rPr>
      </w:pPr>
    </w:p>
    <w:p>
      <w:pPr>
        <w:ind w:left="880" w:right="760" w:hanging="224"/>
        <w:spacing w:after="0" w:line="306"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test procedures, specifications or facilities of third-party manufacturers with which we contract for clinical and commercial supplies;</w:t>
      </w:r>
    </w:p>
    <w:p>
      <w:pPr>
        <w:spacing w:after="0" w:line="28" w:lineRule="exact"/>
        <w:rPr>
          <w:rFonts w:ascii="Arial" w:cs="Arial" w:eastAsia="Arial" w:hAnsi="Arial"/>
          <w:sz w:val="17"/>
          <w:szCs w:val="17"/>
          <w:color w:val="auto"/>
        </w:rPr>
      </w:pPr>
    </w:p>
    <w:p>
      <w:pPr>
        <w:ind w:left="880" w:right="24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otherwise fail or be unable to adequately perform their obligations to allow for the conduct of our planned or future clinical studies; and</w:t>
      </w:r>
    </w:p>
    <w:p>
      <w:pPr>
        <w:spacing w:after="0" w:line="50"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45"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materially adversely affect our business, results of operations and prospects.</w:t>
      </w:r>
    </w:p>
    <w:p>
      <w:pPr>
        <w:spacing w:after="0" w:line="170" w:lineRule="exact"/>
        <w:rPr>
          <w:sz w:val="20"/>
          <w:szCs w:val="20"/>
          <w:color w:val="auto"/>
        </w:rPr>
      </w:pPr>
    </w:p>
    <w:p>
      <w:pPr>
        <w:ind w:left="120" w:right="140" w:firstLine="551"/>
        <w:spacing w:after="0" w:line="248" w:lineRule="auto"/>
        <w:rPr>
          <w:sz w:val="20"/>
          <w:szCs w:val="20"/>
          <w:color w:val="auto"/>
        </w:rPr>
      </w:pPr>
      <w:r>
        <w:rPr>
          <w:rFonts w:ascii="Arial" w:cs="Arial" w:eastAsia="Arial" w:hAnsi="Arial"/>
          <w:sz w:val="18"/>
          <w:szCs w:val="18"/>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If we were to obtain approval, regulatory authorities may approve any of our product candidates for fewer or more limited indications than we request (including failing to approve the most commercially promising indications),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5" w:right="4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76" w:lineRule="auto"/>
        <w:rPr>
          <w:sz w:val="20"/>
          <w:szCs w:val="20"/>
          <w:color w:val="auto"/>
        </w:rPr>
      </w:pPr>
      <w:r>
        <w:rPr>
          <w:rFonts w:ascii="Arial" w:cs="Arial" w:eastAsia="Arial" w:hAnsi="Arial"/>
          <w:sz w:val="18"/>
          <w:szCs w:val="18"/>
          <w:color w:val="auto"/>
        </w:rPr>
        <w:t>may grant approval contingent on the performance of costly post-marketing clinical studies, or may approve a product candidate with a label that does not include the labeling claims necessary or desirable for the successful commercialization of that product candidate.</w:t>
      </w:r>
    </w:p>
    <w:p>
      <w:pPr>
        <w:spacing w:after="0" w:line="253"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b w:val="1"/>
          <w:bCs w:val="1"/>
          <w:i w:val="1"/>
          <w:iCs w:val="1"/>
          <w:color w:val="auto"/>
        </w:rPr>
        <w:t>We may not be able to obtain orphan drug designation or obtain or maintain the benefits associated with orphan drug designation, such as orphan drug exclusivity and, even if we do, that exclusivity may not prevent the FDA or other comparable foreign regulatory authorities, from approving competing products.</w:t>
      </w:r>
    </w:p>
    <w:p>
      <w:pPr>
        <w:spacing w:after="0" w:line="4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As part of our business strategy, we may seek orphan drug designation, or ODD, for any eligible product candidates we develop, and we may be unsuccessful. 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and making available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180"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a particular active ingredient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such as a showing of clinical superiority to the product with orphan product exclusivity or if FDA finds that the holder of the orphan exclusivity has not shown that it can ensure the availability of sufficient quantities of the orphan product to meet the needs of patients with the disease or condition for which the product was designated. The applicable exclusivity period is 10 years in Europe. The European exclusivity period can be reduced to six years if a drug no longer meets the criteria for ODD or if the drug is sufficiently profitable so that market exclusivity is no longer justified.</w:t>
      </w:r>
    </w:p>
    <w:p>
      <w:pPr>
        <w:spacing w:after="0" w:line="176"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color w:val="auto"/>
        </w:rPr>
        <w:t>Even if we obtain ODD for a product candidate, we may not be able to obtain or maintain orphan drug exclusivity for that product candidate. We may not be the first to obtain marketing approval of any product candidate for which we have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5" w:right="4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51" w:lineRule="auto"/>
        <w:rPr>
          <w:sz w:val="20"/>
          <w:szCs w:val="20"/>
          <w:color w:val="auto"/>
        </w:rPr>
      </w:pPr>
      <w:r>
        <w:rPr>
          <w:rFonts w:ascii="Arial" w:cs="Arial" w:eastAsia="Arial" w:hAnsi="Arial"/>
          <w:sz w:val="18"/>
          <w:szCs w:val="18"/>
          <w:b w:val="1"/>
          <w:bCs w:val="1"/>
          <w:i w:val="1"/>
          <w:iCs w:val="1"/>
          <w:color w:val="auto"/>
        </w:rPr>
        <w:t>We may seek and fail to obtain fast track or breakthrough therapy designations for our current or future product candidates. Even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52" w:lineRule="exact"/>
        <w:rPr>
          <w:sz w:val="20"/>
          <w:szCs w:val="20"/>
          <w:color w:val="auto"/>
        </w:rPr>
      </w:pPr>
    </w:p>
    <w:p>
      <w:pPr>
        <w:ind w:left="120" w:right="200" w:firstLine="551"/>
        <w:spacing w:after="0" w:line="243" w:lineRule="auto"/>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74"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8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Separately from fast track or breakthrough therapy designation, we may seek accelerated approval for one or more of our product candidates. A product candidate intended to treat serious or life-threatening diseases or conditions may be eligible for accelerated approval if it is determined to have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post-approval clinical studies to verify and describe the anticipated effect on irreversible morbidity or mortality or other clinical benefit. In addition, the FDA currently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required post-approval confirmatory clinical trials may fail to verify the predicted clinical benefit of the product, and we may be required to remove the product from the market or amend the product label in a way that adversely impacts its marketing.</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540"/>
        <w:spacing w:after="0" w:line="285"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21"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6" w:lineRule="exact"/>
        <w:rPr>
          <w:sz w:val="20"/>
          <w:szCs w:val="20"/>
          <w:color w:val="auto"/>
        </w:rPr>
      </w:pPr>
    </w:p>
    <w:p>
      <w:pPr>
        <w:ind w:left="120" w:right="220" w:firstLine="551"/>
        <w:spacing w:after="0" w:line="241"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adversely affected.</w:t>
      </w:r>
    </w:p>
    <w:p>
      <w:pPr>
        <w:spacing w:after="0" w:line="287"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b w:val="1"/>
          <w:bCs w:val="1"/>
          <w:i w:val="1"/>
          <w:iCs w:val="1"/>
          <w:color w:val="auto"/>
        </w:rPr>
        <w:t>Preclinical and clinical development involves a lengthy and expensive process with uncertain outcomes, and results of earlier studies and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55"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All of our lead product candidates are in preclinical development and their risk of failure is high. It is impossible to predict when or if any of our product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product candidates in humans. Our clinical trials may not be conducted as planned or completed on schedule, if at all, and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Our preclinical studies and future clinical trials may not be successful.</w:t>
      </w:r>
    </w:p>
    <w:p>
      <w:pPr>
        <w:spacing w:after="0" w:line="180" w:lineRule="exact"/>
        <w:rPr>
          <w:sz w:val="20"/>
          <w:szCs w:val="20"/>
          <w:color w:val="auto"/>
        </w:rPr>
      </w:pPr>
    </w:p>
    <w:p>
      <w:pPr>
        <w:jc w:val="both"/>
        <w:ind w:left="120" w:firstLine="551"/>
        <w:spacing w:after="0" w:line="255" w:lineRule="auto"/>
        <w:rPr>
          <w:sz w:val="20"/>
          <w:szCs w:val="20"/>
          <w:color w:val="auto"/>
        </w:rPr>
      </w:pPr>
      <w:r>
        <w:rPr>
          <w:rFonts w:ascii="Arial" w:cs="Arial" w:eastAsia="Arial" w:hAnsi="Arial"/>
          <w:sz w:val="18"/>
          <w:szCs w:val="18"/>
          <w:color w:val="auto"/>
        </w:rPr>
        <w:t>We cannot be certain that our preclinical study and clinical trial results will be sufficient to support regulatory approval of our product candidates, or that FDA or other comparable regulatory authorities will find our planned clinical strategy to be acceptable. Clinical testing is expensive and can take many</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5"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45" w:lineRule="auto"/>
        <w:rPr>
          <w:sz w:val="20"/>
          <w:szCs w:val="20"/>
          <w:color w:val="auto"/>
        </w:rPr>
      </w:pPr>
      <w:r>
        <w:rPr>
          <w:rFonts w:ascii="Arial" w:cs="Arial" w:eastAsia="Arial" w:hAnsi="Arial"/>
          <w:sz w:val="18"/>
          <w:szCs w:val="18"/>
          <w:color w:val="auto"/>
        </w:rPr>
        <w:t>years to complete, and its outcome is inherently uncertain. Human clinical trials are expensive and difficult to design and implement, in part because they are subject to rigorous regulatory requirements. Failure or delay can occur at any time during the clinical trial process. In addition, the COVID-19 pandemic is still evolving as of this time and much of its impact remains unknown, and it is impossible to predict the impact the COVID-19 pandemic may have on the development of our product candidates, our preclinical studies and clinical trials and our business.</w:t>
      </w:r>
    </w:p>
    <w:p>
      <w:pPr>
        <w:spacing w:after="0" w:line="172"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Additionally, some of the clinical trials we conduct, including our planned PC14586 Phase 1/2 clinical trial,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76"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We may experience delays in obtaining the FDA’s authorization to initiate clinical trials, completing ongoing preclinical studies of our future product candidates and initiating our planned preclinical studies and clinical trials. Additionally, we cannot be certain that preclinical studies or clinical trials for our product candidates will begin on time, not require redesign, enroll an adequate number of research subjects or patients on time, or be completed on schedule, if at all. Clinical trials can be delayed or terminated for a variety of reasons, including delays or failures related to:</w:t>
      </w:r>
    </w:p>
    <w:p>
      <w:pPr>
        <w:spacing w:after="0" w:line="78" w:lineRule="exact"/>
        <w:rPr>
          <w:sz w:val="20"/>
          <w:szCs w:val="20"/>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with our tumor-agnostic development strategy;</w:t>
      </w:r>
    </w:p>
    <w:p>
      <w:pPr>
        <w:spacing w:after="0" w:line="117"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obtaining regulatory approval or authorization to commence a clinical trial, including delays or issues relating to any future companion diagnostics which we may develop;</w:t>
      </w:r>
    </w:p>
    <w:p>
      <w:pPr>
        <w:spacing w:after="0" w:line="50" w:lineRule="exact"/>
        <w:rPr>
          <w:rFonts w:ascii="Arial" w:cs="Arial" w:eastAsia="Arial" w:hAnsi="Arial"/>
          <w:sz w:val="18"/>
          <w:szCs w:val="18"/>
          <w:color w:val="auto"/>
        </w:rPr>
      </w:pPr>
    </w:p>
    <w:p>
      <w:pPr>
        <w:ind w:left="880" w:right="420" w:hanging="224"/>
        <w:spacing w:after="0" w:line="27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obtaining IRB or ethics committee approval at each clinical trial site;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recruiting an adequate number of suitable patients to participate in a clinical trial;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w:t>
      </w:r>
    </w:p>
    <w:p>
      <w:pPr>
        <w:spacing w:after="0" w:line="117" w:lineRule="exact"/>
        <w:rPr>
          <w:rFonts w:ascii="Arial" w:cs="Arial" w:eastAsia="Arial" w:hAnsi="Arial"/>
          <w:sz w:val="18"/>
          <w:szCs w:val="18"/>
          <w:color w:val="auto"/>
        </w:rPr>
      </w:pPr>
    </w:p>
    <w:p>
      <w:pPr>
        <w:jc w:val="both"/>
        <w:ind w:left="880" w:right="340" w:hanging="224"/>
        <w:spacing w:after="0" w:line="255"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for example, if we experience delays or challenges in identifying patients with the mutations required for our clinical trials, we may have to reimburse sites for genetic sequencing costs in order to encourage sequencing of additional patients;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having subjects complete a clinical trial or return for post-treatment follow-up;</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117" w:lineRule="exact"/>
        <w:rPr>
          <w:rFonts w:ascii="Arial" w:cs="Arial" w:eastAsia="Arial" w:hAnsi="Arial"/>
          <w:sz w:val="18"/>
          <w:szCs w:val="18"/>
          <w:color w:val="auto"/>
        </w:rPr>
      </w:pPr>
    </w:p>
    <w:p>
      <w:pPr>
        <w:ind w:left="880" w:right="200" w:hanging="224"/>
        <w:spacing w:after="0" w:line="27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having third-party contractors fail to complete their obligations in a timely manner or failing to comply with applicable regulatory requirements;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addressing subject safety concerns that arise during the course of a clinical trial;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obtaining sufficient product supply of product candidate for use in preclinical studies or clinical trials from third-party suppliers.</w:t>
      </w:r>
    </w:p>
    <w:p>
      <w:pPr>
        <w:spacing w:after="0" w:line="212"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moderately positive or if there are safety concerns, our business and results of operations may be adversely affected and we may incur significant additional costs. We could also encounter delays if a clinical trial is suspended or terminated by us, by the IRBs of the institutions in which such clinical trials are being conducted, by the Data Safety Monitoring Board, if any, for such clinical trial or by the FDA or other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other regulatory authorities resulting in the imposition of a clinical hold, unforeseen safety issues or adverse side effects, failure to demonstrate a benefit from the product candidates, changes in governmental regulations or administrative actions or lack of adequate funding to continue the clinical trial.</w:t>
      </w:r>
    </w:p>
    <w:p>
      <w:pPr>
        <w:spacing w:after="0" w:line="18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Moreover, principal investigators for our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0"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If we experience delays in the completion, or termination, of any preclinical study or clinical trial of our product candidates, the commercial prospects of our product candidates may be adversely affected, and our ability to generate revenue from any of these product candidates will be delayed or not realized at all. In addition, any delays in completing our preclinical studies or clinical trials may increase our costs, slow down our product candidate development and approval process and jeopardize our ability to commence product sales and generate revenue. Any of these occurrences may materially adversely affect our business, financial condition and prospects. In addition, many of the factors that cause, or lead to, a delay in the commencement or completion of clinical trials may also ultimately lead to the denial of regulatory approval of our product candidates. If one or more of our product candidates generally prove to be ineffective, unsafe or commercially unviable, our entire pipeline and platform would have little, if any, value, which would have a material and adverse effect on our business, financial condition, results of operations and prospects.</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b w:val="1"/>
          <w:bCs w:val="1"/>
          <w:i w:val="1"/>
          <w:iCs w:val="1"/>
          <w:color w:val="auto"/>
        </w:rPr>
        <w:t>Changes in funding or 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55" w:lineRule="exact"/>
        <w:rPr>
          <w:sz w:val="20"/>
          <w:szCs w:val="20"/>
          <w:color w:val="auto"/>
        </w:rPr>
      </w:pPr>
    </w:p>
    <w:p>
      <w:pPr>
        <w:ind w:left="120" w:right="180" w:firstLine="551"/>
        <w:spacing w:after="0" w:line="243"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SEC, and other government agencies on which our operations may rely, including those that fund research and development activities is subject to the political process, which is inherently fluid and unpredictable.</w:t>
      </w:r>
    </w:p>
    <w:p>
      <w:pPr>
        <w:spacing w:after="0" w:line="17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for 35 days beginning on December 22, 2018,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On March 18, 2020, the FDA announced its intention to temporarily postpone routine surveillance inspections of domestic manufacturing facilities and provided guidance regarding the conduct of clinical trials. In May 2020, FDA announced that it will continue to postpone domestic and foreign routine surveillance inspections due to COVID-19. While FDA indicated that it will consider alternative methods for inspections and could exercise discretion on a case-by-case basis to approve products based on a desk review,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or delays could impact our ability to access the public markets and obtain necessary capital in order to properly capitalize and continue our operations.</w:t>
      </w:r>
    </w:p>
    <w:p>
      <w:pPr>
        <w:spacing w:after="0" w:line="285" w:lineRule="exact"/>
        <w:rPr>
          <w:sz w:val="20"/>
          <w:szCs w:val="20"/>
          <w:color w:val="auto"/>
        </w:rPr>
      </w:pPr>
    </w:p>
    <w:p>
      <w:pPr>
        <w:jc w:val="both"/>
        <w:ind w:left="120" w:right="40"/>
        <w:spacing w:after="0" w:line="260"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43"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w:t>
      </w:r>
    </w:p>
    <w:p>
      <w:pPr>
        <w:spacing w:after="0" w:line="170"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Following potential approval of any of our current or future product candidates, the FDA or other comparable regulatory authorities may impose significant restrictions on a product’s indicated uses or marketing or impose ongoing requirements for potentially costly and time consuming post-approval studies, post-market surveillance or clinical trials to monitor the safety and efficacy of the product. The FDA may also require a risk evaluation and mitigation strategy, or REMS, in order to approve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55" w:lineRule="auto"/>
        <w:rPr>
          <w:sz w:val="20"/>
          <w:szCs w:val="20"/>
          <w:color w:val="auto"/>
        </w:rPr>
      </w:pPr>
      <w:r>
        <w:rPr>
          <w:rFonts w:ascii="Arial" w:cs="Arial" w:eastAsia="Arial" w:hAnsi="Arial"/>
          <w:sz w:val="17"/>
          <w:szCs w:val="17"/>
          <w:color w:val="auto"/>
        </w:rPr>
        <w:t>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 requirements, good laboratory practice, or GLP, requirements and good clinical practice, or GCP, requirements,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75" w:lineRule="exact"/>
        <w:rPr>
          <w:sz w:val="20"/>
          <w:szCs w:val="20"/>
          <w:color w:val="auto"/>
        </w:rPr>
      </w:pPr>
    </w:p>
    <w:p>
      <w:pPr>
        <w:ind w:left="880" w:right="60" w:hanging="224"/>
        <w:spacing w:after="0" w:line="27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50" w:lineRule="exact"/>
        <w:rPr>
          <w:rFonts w:ascii="Arial" w:cs="Arial" w:eastAsia="Arial" w:hAnsi="Arial"/>
          <w:sz w:val="18"/>
          <w:szCs w:val="18"/>
          <w:color w:val="auto"/>
        </w:rPr>
      </w:pPr>
    </w:p>
    <w:p>
      <w:pPr>
        <w:ind w:left="880" w:right="420" w:hanging="224"/>
        <w:spacing w:after="0" w:line="27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50" w:lineRule="exact"/>
        <w:rPr>
          <w:rFonts w:ascii="Arial" w:cs="Arial" w:eastAsia="Arial" w:hAnsi="Arial"/>
          <w:sz w:val="18"/>
          <w:szCs w:val="18"/>
          <w:color w:val="auto"/>
        </w:rPr>
      </w:pPr>
    </w:p>
    <w:p>
      <w:pPr>
        <w:ind w:left="880" w:right="180" w:hanging="224"/>
        <w:spacing w:after="0" w:line="27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 warning or untitled letters or holds on clinical trials;</w:t>
      </w:r>
    </w:p>
    <w:p>
      <w:pPr>
        <w:spacing w:after="0" w:line="117" w:lineRule="exact"/>
        <w:rPr>
          <w:rFonts w:ascii="Arial" w:cs="Arial" w:eastAsia="Arial" w:hAnsi="Arial"/>
          <w:sz w:val="18"/>
          <w:szCs w:val="18"/>
          <w:color w:val="auto"/>
        </w:rPr>
      </w:pPr>
    </w:p>
    <w:p>
      <w:pPr>
        <w:ind w:left="880" w:right="600" w:hanging="224"/>
        <w:spacing w:after="0" w:line="27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oversight activities such as implementing statutes through rulemaking, issuance of guidance, and review and approval of marketing applications. It is difficult to predict how these orders will be implemented, and the extent to which they will impact the FDA’s ability to exercise its regulatory authority. If these executive actions impose restrictions on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6" w:lineRule="exact"/>
        <w:rPr>
          <w:sz w:val="20"/>
          <w:szCs w:val="20"/>
          <w:color w:val="auto"/>
        </w:rPr>
      </w:pPr>
    </w:p>
    <w:p>
      <w:pPr>
        <w:ind w:left="120" w:right="720" w:firstLine="551"/>
        <w:spacing w:after="0" w:line="276"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if approved, and generate revenue.</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320" w:top="455" w:right="49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80"/>
        <w:spacing w:after="0" w:line="285" w:lineRule="auto"/>
        <w:rPr>
          <w:sz w:val="20"/>
          <w:szCs w:val="20"/>
          <w:color w:val="auto"/>
        </w:rPr>
      </w:pPr>
      <w:r>
        <w:rPr>
          <w:rFonts w:ascii="Arial" w:cs="Arial" w:eastAsia="Arial" w:hAnsi="Arial"/>
          <w:sz w:val="18"/>
          <w:szCs w:val="18"/>
          <w:b w:val="1"/>
          <w:bCs w:val="1"/>
          <w:i w:val="1"/>
          <w:iCs w:val="1"/>
          <w:color w:val="auto"/>
        </w:rPr>
        <w:t>Healthcare legislative measures aimed at reducing healthcare costs may have a material adverse effect on our business and results of operations.</w:t>
      </w:r>
    </w:p>
    <w:p>
      <w:pPr>
        <w:spacing w:after="0" w:line="21" w:lineRule="exact"/>
        <w:rPr>
          <w:sz w:val="20"/>
          <w:szCs w:val="20"/>
          <w:color w:val="auto"/>
        </w:rPr>
      </w:pPr>
    </w:p>
    <w:p>
      <w:pPr>
        <w:ind w:left="120" w:right="240" w:firstLine="551"/>
        <w:spacing w:after="0" w:line="241"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p>
    <w:p>
      <w:pPr>
        <w:spacing w:after="0" w:line="1" w:lineRule="exact"/>
        <w:rPr>
          <w:sz w:val="20"/>
          <w:szCs w:val="20"/>
          <w:color w:val="auto"/>
        </w:rPr>
      </w:pPr>
    </w:p>
    <w:p>
      <w:pPr>
        <w:ind w:left="120" w:right="260" w:hanging="4"/>
        <w:spacing w:after="0" w:line="242" w:lineRule="auto"/>
        <w:tabs>
          <w:tab w:leader="none" w:pos="33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75"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Affordable Care Act, or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17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Members of the U.S. Congress and the Trump administration have expressed an intent to pass legislation or adopt executive orders to fundamentally change or repeal parts of the ACA. While Congress has not passed repeal legislation to date, the Tax Cuts and JOBS Act, or Tax Act, repealed, effective January 1, 2019, the tax-based shared responsibility payment imposed by the ACA on certain individuals who fail to maintain qualifying health coverage for all or part of a year that is commonly referred to as the “individual mandate.” On December 14, 2018, a federal district court in Texas ruled the individual mandate is a critical and inseverable feature of the ACA, and therefore, because it was repealed as part of the Tax Act, the remaining provisions of the ACA are invalid as well. The Trump Administration and CMS have both stated that the ruling will have no immediate effect, and on December 18, 2019, the Fifth Circuit U.S. Court of Appeals held that the individual mandate is unconstitutional, and remanded the case to the lower court to reconsider its earlier invalidation of the full ACA. On March 2, 2020, the United States Supreme Court granted the petitions for writs of certiorari to review this case, although it is unclear when or how the Supreme Court will rule. It is also unclear how other efforts to challenge, repeal or replace the ACA will impact the ACA or our business. We will continue to evaluate the effect that the ACA and its possible repeal and replacement has on our business. Complying with any new legislation or reversing changes implemented under the ACA could be time-intensive and expensive, resulting in a material adverse effect on our business.</w:t>
      </w:r>
    </w:p>
    <w:p>
      <w:pPr>
        <w:spacing w:after="0" w:line="180"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The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Trump administration has concluded that cost-sharing reduction, or CSR, payments to insurance companies required under the ACA have not received necessary appropriations from Congress and announced that it will discontinue these payments immediately until those appropriations are made. The loss of the CSR payments is expected to increase premiums on certain policies issued by qualified health plans under the ACA. Several state Attorneys General filed suit to stop the administration from terminating the subsidies, but their request for a restraining order was denied by a federal judge in California on October 25, 2017. The loss of the cost share reduction payments is expected to increase premiums on certain policies issued by qualified health plans under the ACA. Further, on June 14, 2018, the U.S. Court of Appeals for the Federal Circuit ruled that the federal government was not required to pay to third-party payors more than</w:t>
      </w:r>
    </w:p>
    <w:p>
      <w:pPr>
        <w:spacing w:after="0" w:line="3" w:lineRule="exact"/>
        <w:rPr>
          <w:sz w:val="20"/>
          <w:szCs w:val="20"/>
          <w:color w:val="auto"/>
        </w:rPr>
      </w:pPr>
    </w:p>
    <w:p>
      <w:pPr>
        <w:ind w:left="120" w:right="620"/>
        <w:spacing w:after="0" w:line="250" w:lineRule="auto"/>
        <w:rPr>
          <w:sz w:val="20"/>
          <w:szCs w:val="20"/>
          <w:color w:val="auto"/>
        </w:rPr>
      </w:pPr>
      <w:r>
        <w:rPr>
          <w:rFonts w:ascii="Arial" w:cs="Arial" w:eastAsia="Arial" w:hAnsi="Arial"/>
          <w:sz w:val="18"/>
          <w:szCs w:val="18"/>
          <w:color w:val="auto"/>
        </w:rPr>
        <w:t>$12 billion in ACA risk corridor payments that they argued were owed to them. This was appealed to the U.S. Supreme Court, who reversed the Federal Circuit’s decision on April 27, 2020, and ruled that the government must make risk corridor payments.</w:t>
      </w:r>
    </w:p>
    <w:p>
      <w:pPr>
        <w:spacing w:after="0" w:line="16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Moreover, on January 22, 2018, President Trump signed a continuing resolution on appropriations for fiscal year 2018 that delayed the implementation of certain ACA-mandated fees, including the so called “Cadillac” tax on certain high cost employer-sponsored insurance plans, the annual fee imposed on certain health insurance providers based on market share, and the medical device excise tax on non-exempt medical devices; however on December 20, 2019, President Trump signed into law the Further Consolidated Appropriations Act (H.R. 1865), which repeals the Cadillac tax and the health insurance provider tax. It is impossible to determine whether similar taxes could be instated in the future.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recently published a final rule that would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among other things, reduced Medicare payments to several providers, including hospitals, imaging centers and cancer treatment centers, and increased the statute of limitations period for the government to recover overpayments to providers from three to five years. Other legislative changes include aggregate reductions to Medicare payments to providers of 2% per fiscal year pursuant to the Budget Control Act of 2011, which began in 2013 and was to remain in effect through 2029 unless additional Congressional action was taken. The Coronavirus Aid, Relief, and Economic Security Act, or CARES Act, which was signed into law on March 27, 2020,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w:t>
      </w:r>
    </w:p>
    <w:p>
      <w:pPr>
        <w:spacing w:after="0" w:line="182"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for fiscal year 2021 includes allowance to support legislative proposals seeking to reduce drug prices, increase competition, lower out-of-pocket drug costs for patients, and increase patient access to lower-cost generic and biosimilar drugs.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HHS has already started the process of soliciting feedback on some of these measures and, at the same time, is immediately implementing others under its existing</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5" w:right="47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authority. For example, in May 2019, CMS issued a final rule to allow Medicare Advantage Plans the option of using step therapy, a type of prior authorization, for Part B drugs beginning January 1, 2020. This final rule codified CMS’s policy change that was effective January 1, 2019.</w:t>
      </w:r>
    </w:p>
    <w:p>
      <w:pPr>
        <w:spacing w:after="0" w:line="164"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72"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6"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70"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78" w:lineRule="exact"/>
        <w:rPr>
          <w:sz w:val="20"/>
          <w:szCs w:val="20"/>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2"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04" w:lineRule="exact"/>
        <w:rPr>
          <w:sz w:val="20"/>
          <w:szCs w:val="20"/>
          <w:color w:val="auto"/>
        </w:rPr>
      </w:pPr>
    </w:p>
    <w:p>
      <w:pPr>
        <w:ind w:left="120" w:right="160" w:firstLine="551"/>
        <w:spacing w:after="0" w:line="239" w:lineRule="auto"/>
        <w:rPr>
          <w:sz w:val="20"/>
          <w:szCs w:val="20"/>
          <w:color w:val="auto"/>
        </w:rPr>
      </w:pPr>
      <w:r>
        <w:rPr>
          <w:rFonts w:ascii="Arial" w:cs="Arial" w:eastAsia="Arial" w:hAnsi="Arial"/>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288"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4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acting for or on our behalf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material adversely affect to our reputation. We have adopted a code of conduct, which will be effective as of the date of the effectiveness of the registration statement of which this prospectus forms a part,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90"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43"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60"/>
        <w:spacing w:after="0" w:line="255" w:lineRule="auto"/>
        <w:rPr>
          <w:sz w:val="20"/>
          <w:szCs w:val="20"/>
          <w:color w:val="auto"/>
        </w:rPr>
      </w:pPr>
      <w:r>
        <w:rPr>
          <w:rFonts w:ascii="Arial" w:cs="Arial" w:eastAsia="Arial" w:hAnsi="Arial"/>
          <w:sz w:val="18"/>
          <w:szCs w:val="18"/>
          <w:color w:val="auto"/>
        </w:rPr>
        <w:t>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The laws that may affect our ability to operate include, but are not limited to:</w:t>
      </w:r>
    </w:p>
    <w:p>
      <w:pPr>
        <w:spacing w:after="0" w:line="69" w:lineRule="exact"/>
        <w:rPr>
          <w:sz w:val="20"/>
          <w:szCs w:val="20"/>
          <w:color w:val="auto"/>
        </w:rPr>
      </w:pPr>
    </w:p>
    <w:p>
      <w:pPr>
        <w:ind w:left="880" w:right="4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There are a number of statutory exceptions and regulatory safe harbors protecting some common activities from prosecution;</w:t>
      </w:r>
    </w:p>
    <w:p>
      <w:pPr>
        <w:spacing w:after="0" w:line="85" w:lineRule="exact"/>
        <w:rPr>
          <w:rFonts w:ascii="Arial" w:cs="Arial" w:eastAsia="Arial" w:hAnsi="Arial"/>
          <w:sz w:val="18"/>
          <w:szCs w:val="18"/>
          <w:color w:val="auto"/>
        </w:rPr>
      </w:pPr>
    </w:p>
    <w:p>
      <w:pPr>
        <w:ind w:left="880" w:hanging="224"/>
        <w:spacing w:after="0" w:line="238"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False Claims Act, or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85" w:lineRule="exact"/>
        <w:rPr>
          <w:rFonts w:ascii="Arial" w:cs="Arial" w:eastAsia="Arial" w:hAnsi="Arial"/>
          <w:sz w:val="18"/>
          <w:szCs w:val="18"/>
          <w:color w:val="auto"/>
        </w:rPr>
      </w:pPr>
    </w:p>
    <w:p>
      <w:pPr>
        <w:ind w:left="880" w:right="2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in order to have committed a violation;</w:t>
      </w:r>
    </w:p>
    <w:p>
      <w:pPr>
        <w:spacing w:after="0" w:line="85" w:lineRule="exact"/>
        <w:rPr>
          <w:rFonts w:ascii="Arial" w:cs="Arial" w:eastAsia="Arial" w:hAnsi="Arial"/>
          <w:sz w:val="18"/>
          <w:szCs w:val="18"/>
          <w:color w:val="auto"/>
        </w:rPr>
      </w:pPr>
    </w:p>
    <w:p>
      <w:pPr>
        <w:ind w:left="880" w:right="60" w:hanging="224"/>
        <w:spacing w:after="0" w:line="243"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Physician Payment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5" w:right="47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120"/>
        <w:spacing w:after="0" w:line="276" w:lineRule="auto"/>
        <w:rPr>
          <w:sz w:val="20"/>
          <w:szCs w:val="20"/>
          <w:color w:val="auto"/>
        </w:rPr>
      </w:pPr>
      <w:r>
        <w:rPr>
          <w:rFonts w:ascii="Arial" w:cs="Arial" w:eastAsia="Arial" w:hAnsi="Arial"/>
          <w:sz w:val="18"/>
          <w:szCs w:val="18"/>
          <w:color w:val="auto"/>
        </w:rPr>
        <w:t>these reporting obligations will extend to include payments and transfers of value made to certain non-physician providers such as physician assistants and nurse practitioners;</w:t>
      </w:r>
    </w:p>
    <w:p>
      <w:pPr>
        <w:spacing w:after="0" w:line="50" w:lineRule="exact"/>
        <w:rPr>
          <w:sz w:val="20"/>
          <w:szCs w:val="20"/>
          <w:color w:val="auto"/>
        </w:rPr>
      </w:pPr>
    </w:p>
    <w:p>
      <w:pPr>
        <w:ind w:left="880" w:right="660" w:hanging="224"/>
        <w:spacing w:after="0" w:line="27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w:t>
      </w:r>
    </w:p>
    <w:p>
      <w:pPr>
        <w:spacing w:after="0" w:line="17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296" w:lineRule="exact"/>
        <w:rPr>
          <w:sz w:val="20"/>
          <w:szCs w:val="20"/>
          <w:color w:val="auto"/>
        </w:rPr>
      </w:pPr>
    </w:p>
    <w:p>
      <w:pPr>
        <w:ind w:left="120" w:right="520"/>
        <w:spacing w:after="0" w:line="285" w:lineRule="auto"/>
        <w:rPr>
          <w:sz w:val="20"/>
          <w:szCs w:val="20"/>
          <w:color w:val="auto"/>
        </w:rPr>
      </w:pPr>
      <w:r>
        <w:rPr>
          <w:rFonts w:ascii="Arial" w:cs="Arial" w:eastAsia="Arial" w:hAnsi="Arial"/>
          <w:sz w:val="18"/>
          <w:szCs w:val="18"/>
          <w:b w:val="1"/>
          <w:bCs w:val="1"/>
          <w:i w:val="1"/>
          <w:iCs w:val="1"/>
          <w:color w:val="auto"/>
        </w:rPr>
        <w:t>Data collection is governed by restrictive regulations governing the use, processing and cross-border transfer of personal information.</w:t>
      </w:r>
    </w:p>
    <w:p>
      <w:pPr>
        <w:spacing w:after="0" w:line="21"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connection with our planned clinical trials or enrollment or continued enrollment of patients in any future clinical trials, we will be subject to additional privacy restrictions. The collection, use, storage, disclosure, transfer, or other processing of personal data regarding individuals in the EU,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5" w:right="47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6" w:lineRule="auto"/>
        <w:rPr>
          <w:sz w:val="20"/>
          <w:szCs w:val="20"/>
          <w:color w:val="auto"/>
        </w:rPr>
      </w:pPr>
      <w:r>
        <w:rPr>
          <w:rFonts w:ascii="Arial" w:cs="Arial" w:eastAsia="Arial" w:hAnsi="Arial"/>
          <w:sz w:val="17"/>
          <w:szCs w:val="17"/>
          <w:color w:val="auto"/>
        </w:rPr>
        <w:t xml:space="preserve">the transfer of personal data to countries outside the EU, including the United States, and permits data protection authorities to impose large penalties for violations of the GDPR, including potential fines of up to </w:t>
      </w:r>
      <w:r>
        <w:rPr>
          <w:rFonts w:ascii="Times New Roman" w:cs="Times New Roman" w:eastAsia="Times New Roman" w:hAnsi="Times New Roman"/>
          <w:sz w:val="17"/>
          <w:szCs w:val="17"/>
          <w:color w:val="auto"/>
        </w:rPr>
        <w:t>€</w:t>
      </w:r>
      <w:r>
        <w:rPr>
          <w:rFonts w:ascii="Arial" w:cs="Arial" w:eastAsia="Arial" w:hAnsi="Arial"/>
          <w:sz w:val="17"/>
          <w:szCs w:val="17"/>
          <w:color w:val="auto"/>
        </w:rPr>
        <w:t>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vote in favor of exiting the EU, often referred to as Brexit, has created uncertainty with regard to data protection regulation in the United Kingdom. In particular, it is unclear how data transfers to and from the United Kingdom will be regulated.</w:t>
      </w:r>
    </w:p>
    <w:p>
      <w:pPr>
        <w:spacing w:after="0" w:line="16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the United States, most healthcare providers, including research institutions from which we obtain patient health information, are subject to privacy and security regulations promulgated under HIPAA, as amended by the Health Information Technology for Economic and Clinical Health Act of 2009, or HITECH, and their respective implementing regulations. HIPAA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or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77" w:lineRule="exact"/>
        <w:rPr>
          <w:sz w:val="20"/>
          <w:szCs w:val="20"/>
          <w:color w:val="auto"/>
        </w:rPr>
      </w:pPr>
    </w:p>
    <w:p>
      <w:pPr>
        <w:ind w:left="120" w:right="140" w:firstLine="551"/>
        <w:spacing w:after="0" w:line="239" w:lineRule="auto"/>
        <w:rPr>
          <w:sz w:val="20"/>
          <w:szCs w:val="20"/>
          <w:color w:val="auto"/>
        </w:rPr>
      </w:pPr>
      <w:r>
        <w:rPr>
          <w:rFonts w:ascii="Arial" w:cs="Arial" w:eastAsia="Arial" w:hAnsi="Arial"/>
          <w:sz w:val="18"/>
          <w:szCs w:val="18"/>
          <w:color w:val="auto"/>
        </w:rPr>
        <w:t>In addition, certain states have enacted additional laws governing the privacy and security of health information in certain circumstances, many of which differ from each other in significant ways and may not have the same effect, thus complicating compliance efforts. By way of example,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may bring enforcement actions for violations beginning July 1, 2020. The CCPA was amended on September 23, 2018, and it remains unclear what, if any, further modifications will be made to 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5" w:right="4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materially adversely affect our business, financial condition and results of operations.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adversely affect our business.</w:t>
      </w:r>
    </w:p>
    <w:p>
      <w:pPr>
        <w:spacing w:after="0" w:line="284" w:lineRule="exact"/>
        <w:rPr>
          <w:sz w:val="20"/>
          <w:szCs w:val="20"/>
          <w:color w:val="auto"/>
        </w:rPr>
      </w:pPr>
    </w:p>
    <w:p>
      <w:pPr>
        <w:ind w:left="120" w:right="40"/>
        <w:spacing w:after="0" w:line="285"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Our operations may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ind w:left="120" w:right="280" w:firstLine="551"/>
        <w:spacing w:after="0" w:line="255"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214" w:lineRule="exact"/>
        <w:rPr>
          <w:sz w:val="20"/>
          <w:szCs w:val="20"/>
          <w:color w:val="auto"/>
        </w:rPr>
      </w:pPr>
    </w:p>
    <w:p>
      <w:pPr>
        <w:ind w:left="120" w:right="340"/>
        <w:spacing w:after="0" w:line="285" w:lineRule="auto"/>
        <w:rPr>
          <w:sz w:val="20"/>
          <w:szCs w:val="20"/>
          <w:color w:val="auto"/>
        </w:rPr>
      </w:pPr>
      <w:r>
        <w:rPr>
          <w:rFonts w:ascii="Arial" w:cs="Arial" w:eastAsia="Arial" w:hAnsi="Arial"/>
          <w:sz w:val="18"/>
          <w:szCs w:val="18"/>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21"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our Chief Executive Officer and President, our Chief Operating Officer and Chief Financial Officer, and our Chief Medical Officer. If we do not succeed in attracting and retaining qualified personnel, particularly at the management level,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w:t>
      </w:r>
    </w:p>
    <w:p>
      <w:pPr>
        <w:spacing w:after="0" w:line="179"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adversely affected.</w:t>
      </w:r>
    </w:p>
    <w:p>
      <w:pPr>
        <w:spacing w:after="0" w:line="174" w:lineRule="exact"/>
        <w:rPr>
          <w:sz w:val="20"/>
          <w:szCs w:val="20"/>
          <w:color w:val="auto"/>
        </w:rPr>
      </w:pPr>
    </w:p>
    <w:p>
      <w:pPr>
        <w:ind w:left="120" w:right="200" w:firstLine="551"/>
        <w:spacing w:after="0" w:line="243" w:lineRule="auto"/>
        <w:rPr>
          <w:sz w:val="20"/>
          <w:szCs w:val="20"/>
          <w:color w:val="auto"/>
        </w:rPr>
      </w:pPr>
      <w:r>
        <w:rPr>
          <w:rFonts w:ascii="Arial" w:cs="Arial" w:eastAsia="Arial" w:hAnsi="Arial"/>
          <w:sz w:val="18"/>
          <w:szCs w:val="18"/>
          <w:color w:val="auto"/>
        </w:rPr>
        <w:t>Additionally, we rely on our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5" w:right="4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76" w:lineRule="auto"/>
        <w:rPr>
          <w:sz w:val="20"/>
          <w:szCs w:val="20"/>
          <w:color w:val="auto"/>
        </w:rPr>
      </w:pPr>
      <w:r>
        <w:rPr>
          <w:rFonts w:ascii="Arial" w:cs="Arial" w:eastAsia="Arial" w:hAnsi="Arial"/>
          <w:sz w:val="18"/>
          <w:szCs w:val="18"/>
          <w:color w:val="auto"/>
        </w:rPr>
        <w:t>consulting relationships with our scientific founders or if they provide services to our competitors, our development and commercialization efforts will be impaired and our business will be materially adversely affected.</w:t>
      </w:r>
    </w:p>
    <w:p>
      <w:pPr>
        <w:spacing w:after="0" w:line="253" w:lineRule="exact"/>
        <w:rPr>
          <w:sz w:val="20"/>
          <w:szCs w:val="20"/>
          <w:color w:val="auto"/>
        </w:rPr>
      </w:pPr>
    </w:p>
    <w:p>
      <w:pPr>
        <w:ind w:left="120" w:right="520"/>
        <w:spacing w:after="0" w:line="285"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21"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As of June 24, 2020, we had 36 full-time employees, including 31 employees engaged in research and development. In order to successfully implement our development and commercialization plans and strategies,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76" w:lineRule="exact"/>
        <w:rPr>
          <w:sz w:val="20"/>
          <w:szCs w:val="20"/>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880" w:right="260" w:hanging="224"/>
        <w:spacing w:after="0" w:line="255"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FDA and other comparable foreign regulatory agencies’ review process for PC14586 and any future product candidates, while complying with any contractual obligations to contractors and other third parties we may have; and</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12"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Our future financial performance and our ability to successfully develop and, if approved, commercialize PC14586 and future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170"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PC14586 and any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80"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PC14586 and future product candidates and, accordingly, may not achieve our research, development and commercialization goals.</w:t>
      </w:r>
    </w:p>
    <w:p>
      <w:pPr>
        <w:spacing w:after="0" w:line="272"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52" w:lineRule="exact"/>
        <w:rPr>
          <w:sz w:val="20"/>
          <w:szCs w:val="20"/>
          <w:color w:val="auto"/>
        </w:rPr>
      </w:pPr>
    </w:p>
    <w:p>
      <w:pPr>
        <w:ind w:left="120" w:right="440" w:firstLine="551"/>
        <w:spacing w:after="0" w:line="276" w:lineRule="auto"/>
        <w:rPr>
          <w:sz w:val="20"/>
          <w:szCs w:val="20"/>
          <w:color w:val="auto"/>
        </w:rPr>
      </w:pPr>
      <w:r>
        <w:rPr>
          <w:rFonts w:ascii="Arial" w:cs="Arial" w:eastAsia="Arial" w:hAnsi="Arial"/>
          <w:sz w:val="18"/>
          <w:szCs w:val="18"/>
          <w:color w:val="auto"/>
        </w:rPr>
        <w:t>Despite the implementation of security measures in an effort to protect systems that store our information, given their size and complexity and the increasing amounts of information maintained on</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5" w:right="47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or dissemination of, or damage to, our data. For example, companies have experienced an increase in phishing and social engineering attacks from third parties in connection with the COVID-19 pandemic. To the extent that any disruption or security breach were to result in a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other cyber incidents that cause loss, destruction, unavailability, alteration or dissemination of, or damage to, our data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data (including trade secrets or other confidential information,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89"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Notifications and follow-up actions related to a security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 loss, destruction or alteration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180"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in or, failure or security breach of our systems or third-party systems where</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5" w:right="49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72" w:lineRule="exact"/>
        <w:rPr>
          <w:sz w:val="20"/>
          <w:szCs w:val="20"/>
          <w:color w:val="auto"/>
        </w:rPr>
      </w:pPr>
    </w:p>
    <w:p>
      <w:pPr>
        <w:ind w:left="120" w:right="320"/>
        <w:spacing w:after="0" w:line="285" w:lineRule="auto"/>
        <w:rPr>
          <w:sz w:val="20"/>
          <w:szCs w:val="20"/>
          <w:color w:val="auto"/>
        </w:rPr>
      </w:pPr>
      <w:r>
        <w:rPr>
          <w:rFonts w:ascii="Arial" w:cs="Arial" w:eastAsia="Arial" w:hAnsi="Arial"/>
          <w:sz w:val="18"/>
          <w:szCs w:val="18"/>
          <w:b w:val="1"/>
          <w:bCs w:val="1"/>
          <w:i w:val="1"/>
          <w:iCs w:val="1"/>
          <w:color w:val="auto"/>
        </w:rPr>
        <w:t>Business disruptions could materially adversely affect our future revenue and financial condition and increase our costs and expenses.</w:t>
      </w:r>
    </w:p>
    <w:p>
      <w:pPr>
        <w:spacing w:after="0" w:line="21" w:lineRule="exact"/>
        <w:rPr>
          <w:sz w:val="20"/>
          <w:szCs w:val="20"/>
          <w:color w:val="auto"/>
        </w:rPr>
      </w:pPr>
    </w:p>
    <w:p>
      <w:pPr>
        <w:ind w:left="120" w:right="100" w:firstLine="551"/>
        <w:spacing w:after="0" w:line="260" w:lineRule="auto"/>
        <w:rPr>
          <w:sz w:val="20"/>
          <w:szCs w:val="20"/>
          <w:color w:val="auto"/>
        </w:rPr>
      </w:pPr>
      <w:r>
        <w:rPr>
          <w:rFonts w:ascii="Arial" w:cs="Arial" w:eastAsia="Arial" w:hAnsi="Arial"/>
          <w:sz w:val="17"/>
          <w:szCs w:val="17"/>
          <w:color w:val="auto"/>
        </w:rPr>
        <w:t>Our operations, and those of our CROs, CMOs and other contractors and consultants, could be subject to earthquakes, power shortages, telecommunications failures, water shortages, floods, hurricanes, typhoons, fires, extreme weather conditions, pandemics and other natural or man-made disasters or business interruptions, for which we are predominantly self-insured. The occurrence of any of these business disruptions could seriously adversely affect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268" w:lineRule="exact"/>
        <w:rPr>
          <w:sz w:val="20"/>
          <w:szCs w:val="20"/>
          <w:color w:val="auto"/>
        </w:rPr>
      </w:pPr>
    </w:p>
    <w:p>
      <w:pPr>
        <w:ind w:left="120" w:right="120"/>
        <w:spacing w:after="0" w:line="285"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to offset future taxable income may be limited.</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net operating loss, or NOL, carryforwards may be unavailable to offset future taxable income because of restrictions under U.S. tax law. Our federal NOLs generated in tax years ending on or prior to December 31, 2017 are only permitted to be carried forward for 20 taxable years, and therefore could expire unused. Under the Tax Act, as amended by the CARES Act, our federal NOLs generated in tax years beginning after December 31, 2017 may be carried forward indefinitely, but for taxable years beginning after December 31, 2020, the deductibility of federal NOLs generated in tax years beginning after December 31, 2017 is limited to 80% of current year taxable income.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and 2019, we had NOL carryforwards of $43.0 million and $66.3 million, respectively. As of</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2018, we had state NOL carryforwards for New Jersey, California and Massachusetts of approximately $38.8 million, $4.9</w:t>
      </w:r>
    </w:p>
    <w:p>
      <w:pPr>
        <w:ind w:left="120"/>
        <w:spacing w:after="0" w:line="234" w:lineRule="auto"/>
        <w:rPr>
          <w:sz w:val="20"/>
          <w:szCs w:val="20"/>
          <w:color w:val="auto"/>
        </w:rPr>
      </w:pPr>
      <w:r>
        <w:rPr>
          <w:rFonts w:ascii="Arial" w:cs="Arial" w:eastAsia="Arial" w:hAnsi="Arial"/>
          <w:sz w:val="18"/>
          <w:szCs w:val="18"/>
          <w:color w:val="auto"/>
        </w:rPr>
        <w:t>million and $0.4 million, respectively. As of December 31, 2019, we had state NOL carryforwards for New Jersey, California and</w:t>
      </w:r>
    </w:p>
    <w:p>
      <w:pPr>
        <w:ind w:left="120"/>
        <w:spacing w:after="0" w:line="235" w:lineRule="auto"/>
        <w:rPr>
          <w:sz w:val="20"/>
          <w:szCs w:val="20"/>
          <w:color w:val="auto"/>
        </w:rPr>
      </w:pPr>
      <w:r>
        <w:rPr>
          <w:rFonts w:ascii="Arial" w:cs="Arial" w:eastAsia="Arial" w:hAnsi="Arial"/>
          <w:sz w:val="18"/>
          <w:szCs w:val="18"/>
          <w:color w:val="auto"/>
        </w:rPr>
        <w:t>Massachusetts of approximately $61.5 million, $4.9 million and $0.9 million, respectively. The federal and state NOL carryforwards expire</w:t>
      </w:r>
    </w:p>
    <w:p>
      <w:pPr>
        <w:ind w:left="120"/>
        <w:spacing w:after="0" w:line="235" w:lineRule="auto"/>
        <w:rPr>
          <w:sz w:val="20"/>
          <w:szCs w:val="20"/>
          <w:color w:val="auto"/>
        </w:rPr>
      </w:pPr>
      <w:r>
        <w:rPr>
          <w:rFonts w:ascii="Arial" w:cs="Arial" w:eastAsia="Arial" w:hAnsi="Arial"/>
          <w:sz w:val="18"/>
          <w:szCs w:val="18"/>
          <w:color w:val="auto"/>
        </w:rPr>
        <w:t>beginning in the year 2033. We also have federal and state research and development credit carryforward of approximately $1.7 million</w:t>
      </w:r>
    </w:p>
    <w:p>
      <w:pPr>
        <w:ind w:left="120"/>
        <w:spacing w:after="0" w:line="235" w:lineRule="auto"/>
        <w:rPr>
          <w:sz w:val="20"/>
          <w:szCs w:val="20"/>
          <w:color w:val="auto"/>
        </w:rPr>
      </w:pPr>
      <w:r>
        <w:rPr>
          <w:rFonts w:ascii="Arial" w:cs="Arial" w:eastAsia="Arial" w:hAnsi="Arial"/>
          <w:sz w:val="18"/>
          <w:szCs w:val="18"/>
          <w:color w:val="auto"/>
        </w:rPr>
        <w:t>and $2.2 million, respectively, as of December 31, 2018 and 2019. The federal credits will begin to expire in 2034 if not utilized. The</w:t>
      </w:r>
    </w:p>
    <w:p>
      <w:pPr>
        <w:ind w:left="120"/>
        <w:spacing w:after="0"/>
        <w:rPr>
          <w:sz w:val="20"/>
          <w:szCs w:val="20"/>
          <w:color w:val="auto"/>
        </w:rPr>
      </w:pPr>
      <w:r>
        <w:rPr>
          <w:rFonts w:ascii="Arial" w:cs="Arial" w:eastAsia="Arial" w:hAnsi="Arial"/>
          <w:sz w:val="18"/>
          <w:szCs w:val="18"/>
          <w:color w:val="auto"/>
        </w:rPr>
        <w:t>California state credits carryforward indefinitely and the New Jersey state credits expire starting in 2021.</w:t>
      </w:r>
    </w:p>
    <w:p>
      <w:pPr>
        <w:spacing w:after="0" w:line="19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addition, under Sections 382 and 383 of the Code, if a corporation undergoes an “ownership change” (generally defined as a cumulative change (by value) in the corporation’s ownership by “5-percent shareholders” that exceeds 50 percentage points over a rolling three-year period), the corporation’s ability to use its pre-change NOLs and certain other pre-change tax attributes to offset its post-change taxable income or tax liabilities may be limited. Similar rules may apply under state tax laws. We may have experienced such ownership changes in the past, and we may experience ownership changes in the future as a result of this offering or subsequent shifts in our stock ownership, some of which are outside our control. We have not conducted any studies to determine whether we have experienced an ownership change or the annual limitations, if any, that could result from such an ownership change. Our ability to utilize our NOLs and certain other tax attributes could be limited by an ownership change as described above and consequently, we may not be able to utilize a material</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60"/>
        <w:spacing w:after="0" w:line="276" w:lineRule="auto"/>
        <w:rPr>
          <w:sz w:val="20"/>
          <w:szCs w:val="20"/>
          <w:color w:val="auto"/>
        </w:rPr>
      </w:pPr>
      <w:r>
        <w:rPr>
          <w:rFonts w:ascii="Arial" w:cs="Arial" w:eastAsia="Arial" w:hAnsi="Arial"/>
          <w:sz w:val="18"/>
          <w:szCs w:val="18"/>
          <w:color w:val="auto"/>
        </w:rPr>
        <w:t>portion of our NOLs and certain other tax attributes, which could have a material adverse effect on our cash flows and results of operations.</w:t>
      </w:r>
    </w:p>
    <w:p>
      <w:pPr>
        <w:spacing w:after="0" w:line="253" w:lineRule="exact"/>
        <w:rPr>
          <w:sz w:val="20"/>
          <w:szCs w:val="20"/>
          <w:color w:val="auto"/>
        </w:rPr>
      </w:pPr>
    </w:p>
    <w:p>
      <w:pPr>
        <w:ind w:left="120" w:right="300"/>
        <w:spacing w:after="0" w:line="251" w:lineRule="auto"/>
        <w:rPr>
          <w:sz w:val="20"/>
          <w:szCs w:val="20"/>
          <w:color w:val="auto"/>
        </w:rPr>
      </w:pPr>
      <w:r>
        <w:rPr>
          <w:rFonts w:ascii="Arial" w:cs="Arial" w:eastAsia="Arial" w:hAnsi="Arial"/>
          <w:sz w:val="18"/>
          <w:szCs w:val="18"/>
          <w:b w:val="1"/>
          <w:bCs w:val="1"/>
          <w:i w:val="1"/>
          <w:iCs w:val="1"/>
          <w:color w:val="auto"/>
        </w:rPr>
        <w:t>A portion of our chemistry-based product development and sourcing of certain manufacturing raw materials for our product candidates takes place in China through third-party manufacturers. A significant disruption in the operation of those manufacturers, a trade war or political unrest in China could materially adversely affect our business, financial condition and results of operations.</w:t>
      </w:r>
    </w:p>
    <w:p>
      <w:pPr>
        <w:spacing w:after="0" w:line="5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currently contract certain product development and manufacturing operations to third parties outside the United States, including in China, and we expect to continue to use such third-party manufacturers for such product candidates. Any disruption in production or inability of our manufacturers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adversely affect our business, financial condition and results of operations. Any recall of the manufacturing lots or similar action regarding our product candidates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14"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43" w:lineRule="exact"/>
        <w:rPr>
          <w:sz w:val="20"/>
          <w:szCs w:val="20"/>
          <w:color w:val="auto"/>
        </w:rPr>
      </w:pPr>
    </w:p>
    <w:p>
      <w:pPr>
        <w:ind w:left="120" w:right="240" w:firstLine="551"/>
        <w:spacing w:after="0" w:line="245" w:lineRule="auto"/>
        <w:rPr>
          <w:sz w:val="20"/>
          <w:szCs w:val="20"/>
          <w:color w:val="auto"/>
        </w:rPr>
      </w:pPr>
      <w:r>
        <w:rPr>
          <w:rFonts w:ascii="Arial" w:cs="Arial" w:eastAsia="Arial" w:hAnsi="Arial"/>
          <w:sz w:val="18"/>
          <w:szCs w:val="18"/>
          <w:color w:val="auto"/>
        </w:rPr>
        <w:t>We have utilized and plan to continue to utilize and depend upon independent investigators and collaborators, such as medical institutions, CROs, CMOs and strategic partners to conduct and support our preclinical studies and clinical trials under agreements with us. We are continuing to build our internal chemistry, manufacturing and controls, biology and preclinical development capabilities to supplement activities conducted by third parties on our behalf. As part of this personnel build out, we may incur additional costs or experience delays in engaging directly with other third-party CROs and CMOs.</w:t>
      </w:r>
    </w:p>
    <w:p>
      <w:pPr>
        <w:spacing w:after="0" w:line="172"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We expect to have to negotiate budgets and contracts with CROs, trial sites and CMOs and we may not be able to do so on favorable terms, which may result in delays to our development timelines and increased costs.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5" w:right="47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80"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Any third parties conducting our clinical trials will not be our employees and, except for remedies available to us under our agreements with such third parties, we cannot control whether or not they devote sufficient time and resources to our product candidates.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adversely affected, our costs could increase and our ability to generate revenue could be delayed.</w:t>
      </w:r>
    </w:p>
    <w:p>
      <w:pPr>
        <w:spacing w:after="0" w:line="180"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Switching or adding third parties to conduct our preclinical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72"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b w:val="1"/>
          <w:bCs w:val="1"/>
          <w:i w:val="1"/>
          <w:iCs w:val="1"/>
          <w:color w:val="auto"/>
        </w:rPr>
        <w:t>We currently rely and expect to rely in the future on the use of manufacturing suites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fail to provide us with sufficient quantities of our product candidates or fail to do so at acceptable quality levels or prices.</w:t>
      </w:r>
    </w:p>
    <w:p>
      <w:pPr>
        <w:spacing w:after="0" w:line="35"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We do not currently own any facility that may be used as our clinical-scale manufacturing and processing facility and must currently rely on outside vendors to manufacture our product candidates. We have not yet caused our product candidates to be manufactured on a commercial scale and may not be able to do so for any of our product candidates. We will need to negotiate and maintain contractual arrangements with these outside vendors for the supply of our product candidates and we may not be able to do so on favorable terms. We have not yet caused any product candidates to be manufactured on a commercial scale and may not be able to do so for any of our product candidates, if approved.</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facilities used by our contract manufacturers to manufacture our product candidates must be approved by the FDA or other comparable foreign regulatory authorities following inspections that will be conducted after we submit an application to the FDA or other comparable foreign regulatory authorities. We may not control the manufacturing process of, and may be completely dependent on, our contract manufacturing partners for compliance with cGMP requirements and any other regulatory requirements of the FDA or other regulatory authorities for the manufacture of our product candidates. Beyond periodic audits,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and materially adversely affect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anticipated reliance on a limited number of third-party manufacturers exposes us to a number of risks, including the following:</w:t>
      </w:r>
    </w:p>
    <w:p>
      <w:pPr>
        <w:spacing w:after="0" w:line="117" w:lineRule="exact"/>
        <w:rPr>
          <w:sz w:val="20"/>
          <w:szCs w:val="20"/>
          <w:color w:val="auto"/>
        </w:rPr>
      </w:pPr>
    </w:p>
    <w:p>
      <w:pPr>
        <w:ind w:left="880" w:right="46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unable to identify manufacturers on acceptable terms or at all because the number of potential manufacturers is limited and the FDA must inspect any manufacturers for cGMP compliance as part of our marketing application;</w:t>
      </w:r>
    </w:p>
    <w:p>
      <w:pPr>
        <w:spacing w:after="0" w:line="50" w:lineRule="exact"/>
        <w:rPr>
          <w:rFonts w:ascii="Arial" w:cs="Arial" w:eastAsia="Arial" w:hAnsi="Arial"/>
          <w:sz w:val="18"/>
          <w:szCs w:val="18"/>
          <w:color w:val="auto"/>
        </w:rPr>
      </w:pPr>
    </w:p>
    <w:p>
      <w:pPr>
        <w:ind w:left="880" w:right="54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new manufacturer would have to be educated in, or develop substantially equivalent processes for, the production of our product candidates;</w:t>
      </w:r>
    </w:p>
    <w:p>
      <w:pPr>
        <w:spacing w:after="0" w:line="50"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manufacture our product candidates or produce the quantity and quality required to meet our clinical and commercial needs, if any;</w:t>
      </w:r>
    </w:p>
    <w:p>
      <w:pPr>
        <w:spacing w:after="0" w:line="50" w:lineRule="exact"/>
        <w:rPr>
          <w:rFonts w:ascii="Arial" w:cs="Arial" w:eastAsia="Arial" w:hAnsi="Arial"/>
          <w:sz w:val="18"/>
          <w:szCs w:val="18"/>
          <w:color w:val="auto"/>
        </w:rPr>
      </w:pPr>
    </w:p>
    <w:p>
      <w:pPr>
        <w:ind w:left="880" w:right="44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our manufacturing procedures and other logistical support requirements appropriately;</w:t>
      </w:r>
    </w:p>
    <w:p>
      <w:pPr>
        <w:spacing w:after="0" w:line="50" w:lineRule="exact"/>
        <w:rPr>
          <w:rFonts w:ascii="Arial" w:cs="Arial" w:eastAsia="Arial" w:hAnsi="Arial"/>
          <w:sz w:val="18"/>
          <w:szCs w:val="18"/>
          <w:color w:val="auto"/>
        </w:rPr>
      </w:pPr>
    </w:p>
    <w:p>
      <w:pPr>
        <w:ind w:left="880" w:right="160" w:hanging="224"/>
        <w:spacing w:after="0" w:line="255"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69" w:lineRule="exact"/>
        <w:rPr>
          <w:rFonts w:ascii="Arial" w:cs="Arial" w:eastAsia="Arial" w:hAnsi="Arial"/>
          <w:sz w:val="18"/>
          <w:szCs w:val="18"/>
          <w:color w:val="auto"/>
        </w:rPr>
      </w:pPr>
    </w:p>
    <w:p>
      <w:pPr>
        <w:ind w:left="880" w:right="100" w:hanging="224"/>
        <w:spacing w:after="0" w:line="255"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manufacturers are subject to ongoing periodic unannounced inspection by the FDA and corresponding state agencies to ensure strict compliance with cGMP and other government regulations and corresponding foreign standards and we have no control over third-party manufacturers’ compliance with these regulations and standards;</w:t>
      </w:r>
    </w:p>
    <w:p>
      <w:pPr>
        <w:spacing w:after="0" w:line="69" w:lineRule="exact"/>
        <w:rPr>
          <w:rFonts w:ascii="Arial" w:cs="Arial" w:eastAsia="Arial" w:hAnsi="Arial"/>
          <w:sz w:val="18"/>
          <w:szCs w:val="18"/>
          <w:color w:val="auto"/>
        </w:rPr>
      </w:pPr>
    </w:p>
    <w:p>
      <w:pPr>
        <w:ind w:left="880" w:right="108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third-party manufacturers could breach or terminate their agreements with us;</w:t>
      </w:r>
    </w:p>
    <w:p>
      <w:pPr>
        <w:spacing w:after="0" w:line="117" w:lineRule="exact"/>
        <w:rPr>
          <w:rFonts w:ascii="Arial" w:cs="Arial" w:eastAsia="Arial" w:hAnsi="Arial"/>
          <w:sz w:val="18"/>
          <w:szCs w:val="18"/>
          <w:color w:val="auto"/>
        </w:rPr>
      </w:pPr>
    </w:p>
    <w:p>
      <w:pPr>
        <w:ind w:left="880" w:right="54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raw materials and components used in the manufacturing process, particularly those for which we have no other source or supplier, may not be available or may not be suitable or acceptable for use due to material or component defects;</w:t>
      </w:r>
    </w:p>
    <w:p>
      <w:pPr>
        <w:spacing w:after="0" w:line="50" w:lineRule="exact"/>
        <w:rPr>
          <w:rFonts w:ascii="Arial" w:cs="Arial" w:eastAsia="Arial" w:hAnsi="Arial"/>
          <w:sz w:val="18"/>
          <w:szCs w:val="18"/>
          <w:color w:val="auto"/>
        </w:rPr>
      </w:pPr>
    </w:p>
    <w:p>
      <w:pPr>
        <w:ind w:left="880" w:right="18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contract manufacturers and critical reagent suppliers may be subject to inclement weather, as well as natural or man-made disasters; and</w:t>
      </w:r>
    </w:p>
    <w:p>
      <w:pPr>
        <w:spacing w:after="0" w:line="50" w:lineRule="exact"/>
        <w:rPr>
          <w:rFonts w:ascii="Arial" w:cs="Arial" w:eastAsia="Arial" w:hAnsi="Arial"/>
          <w:sz w:val="18"/>
          <w:szCs w:val="18"/>
          <w:color w:val="auto"/>
        </w:rPr>
      </w:pPr>
    </w:p>
    <w:p>
      <w:pPr>
        <w:ind w:left="880" w:right="340" w:hanging="224"/>
        <w:spacing w:after="0" w:line="255"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5" w:right="4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60" w:lineRule="auto"/>
        <w:rPr>
          <w:sz w:val="20"/>
          <w:szCs w:val="20"/>
          <w:color w:val="auto"/>
        </w:rPr>
      </w:pPr>
      <w:r>
        <w:rPr>
          <w:rFonts w:ascii="Arial" w:cs="Arial" w:eastAsia="Arial" w:hAnsi="Arial"/>
          <w:sz w:val="17"/>
          <w:szCs w:val="17"/>
          <w:color w:val="auto"/>
        </w:rPr>
        <w:t>Our business could be materially adversely affected by business disruptions to our third-party providers that could materially adversely affect our potential future revenue and financial condition and increase our costs and expenses. Each of these risks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268" w:lineRule="exact"/>
        <w:rPr>
          <w:sz w:val="20"/>
          <w:szCs w:val="20"/>
          <w:color w:val="auto"/>
        </w:rPr>
      </w:pPr>
    </w:p>
    <w:p>
      <w:pPr>
        <w:ind w:left="120" w:right="180"/>
        <w:spacing w:after="0" w:line="285" w:lineRule="auto"/>
        <w:rPr>
          <w:sz w:val="20"/>
          <w:szCs w:val="20"/>
          <w:color w:val="auto"/>
        </w:rPr>
      </w:pPr>
      <w:r>
        <w:rPr>
          <w:rFonts w:ascii="Arial" w:cs="Arial" w:eastAsia="Arial" w:hAnsi="Arial"/>
          <w:sz w:val="18"/>
          <w:szCs w:val="18"/>
          <w:b w:val="1"/>
          <w:bCs w:val="1"/>
          <w:i w:val="1"/>
          <w:iCs w:val="1"/>
          <w:color w:val="auto"/>
        </w:rPr>
        <w:t>We currently, and may in the future, depend on single-source suppliers for some of the ingredients, components and materials used in, and the manufacturing processes required to develop, our product candidates.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currently, and may in the future, depend on single-source suppliers for some of the ingredients, components and materials used in, and manufacturing processes required to develop, our product candidates. There are, for certain of these components, relatively few alternative sources of supply and there is limited need for multiple suppliers at this stage of our business.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ingredients, components, key processes and finished goods exposes us to several risks, including disruptions in supply, price increases or late deliveries. These suppliers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materially adversely affect our business, financial condition</w:t>
      </w:r>
      <w:r>
        <w:rPr>
          <w:rFonts w:ascii="Arial" w:cs="Arial" w:eastAsia="Arial" w:hAnsi="Arial"/>
          <w:sz w:val="18"/>
          <w:szCs w:val="18"/>
          <w:color w:val="auto"/>
          <w:strike w:val="1"/>
        </w:rPr>
        <w:t>,</w:t>
      </w:r>
      <w:r>
        <w:rPr>
          <w:rFonts w:ascii="Arial" w:cs="Arial" w:eastAsia="Arial" w:hAnsi="Arial"/>
          <w:sz w:val="18"/>
          <w:szCs w:val="18"/>
          <w:color w:val="auto"/>
        </w:rPr>
        <w:t xml:space="preserve"> and results of operations.</w:t>
      </w:r>
    </w:p>
    <w:p>
      <w:pPr>
        <w:spacing w:after="0" w:line="17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If we have to switch to a replacement supplier, the manufacture and delivery of our product candidates may be interrupted for an extended period, which could materially adversely affect our business. Establishing additional or replacement suppliers for any of the components or processes used in or for our product candidates, if required, may not be accomplished quickly and would create increased cost. If we are able to find a replacement supplier, the replacement supplier would need to be qualified, would need to process our technology transfer and may require additional regulatory authority approval, which could result in further delay. While we seek to maintain adequate inventory of the single-source ingredients, components and materials used in our products, any interruption or delay in the supply of ingredients, components or materials or our inability to obtain ingredients, components or materials from alternate sources at acceptable prices in a timely manner, could impair our ability to meet the demand for our product candidates.</w:t>
      </w:r>
    </w:p>
    <w:p>
      <w:pPr>
        <w:spacing w:after="0" w:line="288"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21"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5" w:right="4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5" w:lineRule="auto"/>
        <w:rPr>
          <w:sz w:val="20"/>
          <w:szCs w:val="20"/>
          <w:color w:val="auto"/>
        </w:rPr>
      </w:pPr>
      <w:r>
        <w:rPr>
          <w:rFonts w:ascii="Arial" w:cs="Arial" w:eastAsia="Arial" w:hAnsi="Arial"/>
          <w:sz w:val="18"/>
          <w:szCs w:val="18"/>
          <w:color w:val="auto"/>
        </w:rPr>
        <w:t>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80" w:lineRule="exact"/>
        <w:rPr>
          <w:sz w:val="20"/>
          <w:szCs w:val="20"/>
          <w:color w:val="auto"/>
        </w:rPr>
      </w:pPr>
    </w:p>
    <w:p>
      <w:pPr>
        <w:jc w:val="both"/>
        <w:ind w:left="120" w:right="140"/>
        <w:spacing w:after="0" w:line="260" w:lineRule="auto"/>
        <w:rPr>
          <w:sz w:val="20"/>
          <w:szCs w:val="20"/>
          <w:color w:val="auto"/>
        </w:rPr>
      </w:pPr>
      <w:r>
        <w:rPr>
          <w:rFonts w:ascii="Arial" w:cs="Arial" w:eastAsia="Arial" w:hAnsi="Arial"/>
          <w:sz w:val="18"/>
          <w:szCs w:val="18"/>
          <w:b w:val="1"/>
          <w:bCs w:val="1"/>
          <w:i w:val="1"/>
          <w:iCs w:val="1"/>
          <w:color w:val="auto"/>
        </w:rPr>
        <w:t>Our manufacturing process needs to comply with FDA regulations relating to the quality and reliability of such processes. Any failure by us or our third-party manufacturers to comply with relevant regulations could result in delays in or termination of our clinical programs and suspension or withdrawal of any regulatory approvals.</w:t>
      </w:r>
    </w:p>
    <w:p>
      <w:pPr>
        <w:spacing w:after="0" w:line="4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91" w:lineRule="exact"/>
        <w:rPr>
          <w:sz w:val="20"/>
          <w:szCs w:val="20"/>
          <w:color w:val="auto"/>
        </w:rPr>
      </w:pPr>
    </w:p>
    <w:p>
      <w:pPr>
        <w:ind w:left="120" w:right="280"/>
        <w:spacing w:after="0" w:line="285" w:lineRule="auto"/>
        <w:rPr>
          <w:sz w:val="20"/>
          <w:szCs w:val="20"/>
          <w:color w:val="auto"/>
        </w:rPr>
      </w:pPr>
      <w:r>
        <w:rPr>
          <w:rFonts w:ascii="Arial" w:cs="Arial" w:eastAsia="Arial" w:hAnsi="Arial"/>
          <w:sz w:val="18"/>
          <w:szCs w:val="18"/>
          <w:b w:val="1"/>
          <w:bCs w:val="1"/>
          <w:i w:val="1"/>
          <w:iCs w:val="1"/>
          <w:color w:val="auto"/>
        </w:rPr>
        <w:t>We may, in the future, form or seek collaborations or strategic alliances or enter into licensing arrangements, and we may not realize the benefits of such collaborations, alliances or licensing arrangements.</w:t>
      </w:r>
    </w:p>
    <w:p>
      <w:pPr>
        <w:spacing w:after="0" w:line="21"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We may, in the future, form or seek strategic alliances, create joint ventures or collaborations, or enter into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172" w:lineRule="exact"/>
        <w:rPr>
          <w:sz w:val="20"/>
          <w:szCs w:val="20"/>
          <w:color w:val="auto"/>
        </w:rPr>
      </w:pPr>
    </w:p>
    <w:p>
      <w:pPr>
        <w:ind w:left="120" w:right="60" w:firstLine="551"/>
        <w:spacing w:after="0" w:line="268" w:lineRule="auto"/>
        <w:rPr>
          <w:sz w:val="20"/>
          <w:szCs w:val="20"/>
          <w:color w:val="auto"/>
        </w:rPr>
      </w:pPr>
      <w:r>
        <w:rPr>
          <w:rFonts w:ascii="Arial" w:cs="Arial" w:eastAsia="Arial" w:hAnsi="Arial"/>
          <w:sz w:val="17"/>
          <w:szCs w:val="17"/>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collaborations involving our product candidates are subject to numerous risks, which may include the following:</w:t>
      </w:r>
    </w:p>
    <w:p>
      <w:pPr>
        <w:spacing w:after="0" w:line="117" w:lineRule="exact"/>
        <w:rPr>
          <w:sz w:val="20"/>
          <w:szCs w:val="20"/>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44"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66</w:t>
      </w:r>
    </w:p>
    <w:p>
      <w:pPr>
        <w:sectPr>
          <w:pgSz w:w="11900" w:h="16838" w:orient="portrait"/>
          <w:cols w:equalWidth="0" w:num="1">
            <w:col w:w="11120"/>
          </w:cols>
          <w:pgMar w:left="320" w:top="455" w:right="4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20" w:hanging="224"/>
        <w:spacing w:after="0" w:line="248"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5" w:lineRule="exact"/>
        <w:rPr>
          <w:rFonts w:ascii="Arial" w:cs="Arial" w:eastAsia="Arial" w:hAnsi="Arial"/>
          <w:sz w:val="18"/>
          <w:szCs w:val="18"/>
          <w:color w:val="auto"/>
        </w:rPr>
      </w:pPr>
    </w:p>
    <w:p>
      <w:pPr>
        <w:ind w:left="880" w:right="640" w:hanging="224"/>
        <w:spacing w:after="0" w:line="306" w:lineRule="auto"/>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28" w:lineRule="exact"/>
        <w:rPr>
          <w:rFonts w:ascii="Arial" w:cs="Arial" w:eastAsia="Arial" w:hAnsi="Arial"/>
          <w:sz w:val="17"/>
          <w:szCs w:val="17"/>
          <w:color w:val="auto"/>
        </w:rPr>
      </w:pPr>
    </w:p>
    <w:p>
      <w:pPr>
        <w:ind w:left="880" w:right="440" w:hanging="224"/>
        <w:spacing w:after="0" w:line="276"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w:t>
      </w:r>
    </w:p>
    <w:p>
      <w:pPr>
        <w:spacing w:after="0" w:line="50" w:lineRule="exact"/>
        <w:rPr>
          <w:rFonts w:ascii="Arial" w:cs="Arial" w:eastAsia="Arial" w:hAnsi="Arial"/>
          <w:sz w:val="18"/>
          <w:szCs w:val="18"/>
          <w:color w:val="auto"/>
        </w:rPr>
      </w:pPr>
    </w:p>
    <w:p>
      <w:pPr>
        <w:ind w:left="880" w:right="720" w:hanging="224"/>
        <w:spacing w:after="0" w:line="276"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50" w:lineRule="exact"/>
        <w:rPr>
          <w:rFonts w:ascii="Arial" w:cs="Arial" w:eastAsia="Arial" w:hAnsi="Arial"/>
          <w:sz w:val="18"/>
          <w:szCs w:val="18"/>
          <w:color w:val="auto"/>
        </w:rPr>
      </w:pPr>
    </w:p>
    <w:p>
      <w:pPr>
        <w:ind w:left="880" w:right="80" w:hanging="224"/>
        <w:spacing w:after="0" w:line="255"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9" w:lineRule="exact"/>
        <w:rPr>
          <w:rFonts w:ascii="Arial" w:cs="Arial" w:eastAsia="Arial" w:hAnsi="Arial"/>
          <w:sz w:val="18"/>
          <w:szCs w:val="18"/>
          <w:color w:val="auto"/>
        </w:rPr>
      </w:pPr>
    </w:p>
    <w:p>
      <w:pPr>
        <w:ind w:left="880" w:right="40" w:hanging="224"/>
        <w:spacing w:after="0" w:line="255"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69"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50"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45" w:lineRule="exact"/>
        <w:rPr>
          <w:sz w:val="20"/>
          <w:szCs w:val="20"/>
          <w:color w:val="auto"/>
        </w:rPr>
      </w:pPr>
    </w:p>
    <w:p>
      <w:pPr>
        <w:ind w:left="120" w:right="200" w:firstLine="551"/>
        <w:spacing w:after="0" w:line="241" w:lineRule="auto"/>
        <w:rPr>
          <w:sz w:val="20"/>
          <w:szCs w:val="20"/>
          <w:color w:val="auto"/>
        </w:rPr>
      </w:pPr>
      <w:r>
        <w:rPr>
          <w:rFonts w:ascii="Arial" w:cs="Arial" w:eastAsia="Arial" w:hAnsi="Arial"/>
          <w:sz w:val="18"/>
          <w:szCs w:val="18"/>
          <w:color w:val="auto"/>
        </w:rPr>
        <w:t>As a result, if we enter into future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future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87"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If we decide to establish collaborations, but are not able to establish those collaborations on commercially reasonable terms, we may have to alter our development and commercialization plans.</w:t>
      </w:r>
    </w:p>
    <w:p>
      <w:pPr>
        <w:spacing w:after="0" w:line="21"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Our product development programs and the potential commercialization of our product candidates will require substantial additional cash to fund expenses. We may seek, in the future,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72" w:lineRule="exact"/>
        <w:rPr>
          <w:sz w:val="20"/>
          <w:szCs w:val="20"/>
          <w:color w:val="auto"/>
        </w:rPr>
      </w:pPr>
    </w:p>
    <w:p>
      <w:pPr>
        <w:ind w:left="120" w:right="440" w:firstLine="551"/>
        <w:spacing w:after="0" w:line="276" w:lineRule="auto"/>
        <w:rPr>
          <w:sz w:val="20"/>
          <w:szCs w:val="20"/>
          <w:color w:val="auto"/>
        </w:rPr>
      </w:pPr>
      <w:r>
        <w:rPr>
          <w:rFonts w:ascii="Arial" w:cs="Arial" w:eastAsia="Arial" w:hAnsi="Arial"/>
          <w:sz w:val="18"/>
          <w:szCs w:val="18"/>
          <w:color w:val="auto"/>
        </w:rPr>
        <w:t>We would face significant competition in seeking appropriate collaborators and the negotiation process is time-consuming and complex. Whether we reach a definitive agreement for a collaboration</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5" w:right="4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180" w:lineRule="exact"/>
        <w:rPr>
          <w:sz w:val="20"/>
          <w:szCs w:val="20"/>
          <w:color w:val="auto"/>
        </w:rPr>
      </w:pPr>
    </w:p>
    <w:p>
      <w:pPr>
        <w:jc w:val="both"/>
        <w:ind w:left="120" w:right="280" w:firstLine="551"/>
        <w:spacing w:after="0" w:line="277" w:lineRule="auto"/>
        <w:rPr>
          <w:sz w:val="20"/>
          <w:szCs w:val="20"/>
          <w:color w:val="auto"/>
        </w:rPr>
      </w:pPr>
      <w:r>
        <w:rPr>
          <w:rFonts w:ascii="Arial" w:cs="Arial" w:eastAsia="Arial" w:hAnsi="Arial"/>
          <w:sz w:val="17"/>
          <w:szCs w:val="17"/>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47"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If and when we seek to enter into collaborations in the future,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87" w:lineRule="exact"/>
        <w:rPr>
          <w:sz w:val="20"/>
          <w:szCs w:val="20"/>
          <w:color w:val="auto"/>
        </w:rPr>
      </w:pPr>
    </w:p>
    <w:p>
      <w:pPr>
        <w:ind w:left="120" w:right="140"/>
        <w:spacing w:after="0" w:line="285" w:lineRule="auto"/>
        <w:rPr>
          <w:sz w:val="20"/>
          <w:szCs w:val="20"/>
          <w:color w:val="auto"/>
        </w:rPr>
      </w:pPr>
      <w:r>
        <w:rPr>
          <w:rFonts w:ascii="Arial" w:cs="Arial" w:eastAsia="Arial" w:hAnsi="Arial"/>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21"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our current or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adversely affect our product development efforts.</w:t>
      </w:r>
    </w:p>
    <w:p>
      <w:pPr>
        <w:spacing w:after="0" w:line="288" w:lineRule="exact"/>
        <w:rPr>
          <w:sz w:val="20"/>
          <w:szCs w:val="20"/>
          <w:color w:val="auto"/>
        </w:rPr>
      </w:pPr>
    </w:p>
    <w:p>
      <w:pPr>
        <w:ind w:left="120" w:right="1200"/>
        <w:spacing w:after="0" w:line="285"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21" w:lineRule="exact"/>
        <w:rPr>
          <w:sz w:val="20"/>
          <w:szCs w:val="20"/>
          <w:color w:val="auto"/>
        </w:rPr>
      </w:pPr>
    </w:p>
    <w:p>
      <w:pPr>
        <w:ind w:left="120" w:right="300" w:firstLine="551"/>
        <w:spacing w:after="0" w:line="255" w:lineRule="auto"/>
        <w:rPr>
          <w:sz w:val="20"/>
          <w:szCs w:val="20"/>
          <w:color w:val="auto"/>
        </w:rPr>
      </w:pPr>
      <w:r>
        <w:rPr>
          <w:rFonts w:ascii="Arial" w:cs="Arial" w:eastAsia="Arial" w:hAnsi="Arial"/>
          <w:sz w:val="18"/>
          <w:szCs w:val="18"/>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69"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increased operating expenses and cash requirements;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5" w:right="4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117" w:lineRule="exact"/>
        <w:rPr>
          <w:rFonts w:ascii="Arial" w:cs="Arial" w:eastAsia="Arial" w:hAnsi="Arial"/>
          <w:sz w:val="18"/>
          <w:szCs w:val="18"/>
          <w:color w:val="auto"/>
        </w:rPr>
      </w:pPr>
    </w:p>
    <w:p>
      <w:pPr>
        <w:ind w:left="880" w:right="560" w:hanging="224"/>
        <w:spacing w:after="0" w:line="27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50"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programs and initiatives in pursuing such a strategic merger or acquisition;</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880" w:right="540" w:hanging="224"/>
        <w:spacing w:after="0" w:line="27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50"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45" w:lineRule="exact"/>
        <w:rPr>
          <w:sz w:val="20"/>
          <w:szCs w:val="20"/>
          <w:color w:val="auto"/>
        </w:rPr>
      </w:pPr>
    </w:p>
    <w:p>
      <w:pPr>
        <w:ind w:left="120" w:right="60" w:firstLine="551"/>
        <w:spacing w:after="0" w:line="306" w:lineRule="auto"/>
        <w:rPr>
          <w:sz w:val="20"/>
          <w:szCs w:val="20"/>
          <w:color w:val="auto"/>
        </w:rPr>
      </w:pPr>
      <w:r>
        <w:rPr>
          <w:rFonts w:ascii="Arial" w:cs="Arial" w:eastAsia="Arial" w:hAnsi="Arial"/>
          <w:sz w:val="17"/>
          <w:szCs w:val="17"/>
          <w:color w:val="auto"/>
        </w:rPr>
        <w:t>In addition, if we undertake acquisitions or pursue partnerships in the future, we may issue dilutive securities, assume or incur debt obligations, incur large one-time expenses and/or acquire intangible assets that could result in significant future amortization expense.</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14" w:lineRule="exact"/>
        <w:rPr>
          <w:sz w:val="20"/>
          <w:szCs w:val="20"/>
          <w:color w:val="auto"/>
        </w:rPr>
      </w:pPr>
    </w:p>
    <w:p>
      <w:pPr>
        <w:ind w:left="120" w:right="60"/>
        <w:spacing w:after="0" w:line="282" w:lineRule="auto"/>
        <w:rPr>
          <w:sz w:val="20"/>
          <w:szCs w:val="20"/>
          <w:color w:val="auto"/>
        </w:rPr>
      </w:pPr>
      <w:r>
        <w:rPr>
          <w:rFonts w:ascii="Arial" w:cs="Arial" w:eastAsia="Arial" w:hAnsi="Arial"/>
          <w:sz w:val="17"/>
          <w:szCs w:val="17"/>
          <w:b w:val="1"/>
          <w:bCs w:val="1"/>
          <w:i w:val="1"/>
          <w:iCs w:val="1"/>
          <w:color w:val="auto"/>
        </w:rPr>
        <w:t>If we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26"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 protections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172"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 This type of patent does not prevent a competitor from making and marketing a product that is identical to our products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method-of use patents, the practice is common and such infringement is difficult to prevent or prosecute.</w:t>
      </w:r>
    </w:p>
    <w:p>
      <w:pPr>
        <w:spacing w:after="0" w:line="179"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The strength of patents in the biotechnology and pharmaceutical field involves complex legal and scientific questions and can be uncertain. The patent applications that we own may fail to result in issued patents in the United States or in other foreign countries. Even if the patents do successfully issue, third parties may challenge the validity, enforceability, inventorship or scope thereof. Such a</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5" w:right="47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challenge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patents and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This will require us to be cognizant of the time from invention to filing of a patent application.</w:t>
      </w:r>
    </w:p>
    <w:p>
      <w:pPr>
        <w:spacing w:after="0" w:line="180"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commercially-viable terms, then we may not be able to launch our product.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spacing w:after="0" w:line="294" w:lineRule="exact"/>
        <w:rPr>
          <w:sz w:val="20"/>
          <w:szCs w:val="20"/>
          <w:color w:val="auto"/>
        </w:rPr>
      </w:pPr>
    </w:p>
    <w:p>
      <w:pPr>
        <w:ind w:left="120" w:right="80"/>
        <w:spacing w:after="0" w:line="285" w:lineRule="auto"/>
        <w:rPr>
          <w:sz w:val="20"/>
          <w:szCs w:val="20"/>
          <w:color w:val="auto"/>
        </w:rPr>
      </w:pPr>
      <w:r>
        <w:rPr>
          <w:rFonts w:ascii="Arial" w:cs="Arial" w:eastAsia="Arial" w:hAnsi="Arial"/>
          <w:sz w:val="18"/>
          <w:szCs w:val="18"/>
          <w:b w:val="1"/>
          <w:bCs w:val="1"/>
          <w:i w:val="1"/>
          <w:iCs w:val="1"/>
          <w:color w:val="auto"/>
        </w:rPr>
        <w:t>Our success depends in part on our ability to protect our intellectual property. It is difficult and costly to protect our proprietary rights and technology, and we may not be able to protect our intellectual property rights throughout the world.</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commercial success will depend in large part on obtaining and maintaining patent, trademark and trade secret protection of our proprietary technologies and our product candidates. These candidates include PC14586 and others, their respective components, formulations, methods used to manufacture them and methods of treatment. Our commercial success will also depend on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or trade secrets that cover these activities.</w:t>
      </w:r>
    </w:p>
    <w:p>
      <w:pPr>
        <w:spacing w:after="0" w:line="174" w:lineRule="exact"/>
        <w:rPr>
          <w:sz w:val="20"/>
          <w:szCs w:val="20"/>
          <w:color w:val="auto"/>
        </w:rPr>
      </w:pPr>
    </w:p>
    <w:p>
      <w:pPr>
        <w:ind w:left="120" w:right="180" w:firstLine="551"/>
        <w:spacing w:after="0" w:line="277"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5" w:right="47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55" w:lineRule="auto"/>
        <w:rPr>
          <w:sz w:val="20"/>
          <w:szCs w:val="20"/>
          <w:color w:val="auto"/>
        </w:rPr>
      </w:pPr>
      <w:r>
        <w:rPr>
          <w:rFonts w:ascii="Arial" w:cs="Arial" w:eastAsia="Arial" w:hAnsi="Arial"/>
          <w:sz w:val="18"/>
          <w:szCs w:val="18"/>
          <w:color w:val="auto"/>
        </w:rPr>
        <w:t>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w:t>
      </w:r>
    </w:p>
    <w:p>
      <w:pPr>
        <w:spacing w:after="0" w:line="16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If we delay in filing a patent application, and a competitor files a patent application on the same or a similar technology before we do, we may face a limited ability to secure patent rights. We may not be able to patent the technology at all. Even if we can patent the technology, we may be able to patent only a limited scope of the technology, and the limited scope may be inadequate to protect our products, or to block competitor products that are similar or adjacent to ours. Our earliest patent filings have been published. A competitor may review our published patents and arrive at the same or similar technology advances for our products as we developed. If the competitor files a patent application on such an advance before we do, then we may no longer be able to protect the technology, we may require a license from the competitor, and if the license is not available on commercially-viable terms, then we may not be able to launch our product.</w:t>
      </w:r>
    </w:p>
    <w:p>
      <w:pPr>
        <w:spacing w:after="0" w:line="180"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In the future we may in-license intellectual property from licensors. We may rely on these licensors to file and prosecute patent applications and maintain patents and otherwise protect the intellectual property we license from them. We may have limited control over these activities or any other intellectual property that may be in-licensed. For example, we cannot be certain that such activities by licensors have been or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180"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any relevant third-party intellectual property rights that we identify as necessary or important to our business operations. We may fail to obtain any of these licenses at a reasonable cost or on reasonable terms, if at all, which would adversely affect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and may allow our competitors access to the same technologies licensed to us.</w:t>
      </w:r>
    </w:p>
    <w:p>
      <w:pPr>
        <w:spacing w:after="0" w:line="177"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Additionally, we may sometimes collaborate with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60"/>
          </w:cols>
          <w:pgMar w:left="320" w:top="455" w:right="51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306" w:lineRule="auto"/>
        <w:rPr>
          <w:sz w:val="20"/>
          <w:szCs w:val="20"/>
          <w:color w:val="auto"/>
        </w:rPr>
      </w:pPr>
      <w:r>
        <w:rPr>
          <w:rFonts w:ascii="Arial" w:cs="Arial" w:eastAsia="Arial" w:hAnsi="Arial"/>
          <w:sz w:val="17"/>
          <w:szCs w:val="17"/>
          <w:color w:val="auto"/>
        </w:rPr>
        <w:t>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23"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7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During the course of business we have decided not to pursue certain products or processes and have terminated certain corresponding intellectual property license agreements, and we may do so again in the future. If it is later determined that our activities or product candidates infringe this intellectual property we may be liable for damages, enhanced damages or subjected to an injunction, any of which could have a material adverse effect on our business.</w:t>
      </w:r>
    </w:p>
    <w:p>
      <w:pPr>
        <w:spacing w:after="0" w:line="17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are highly uncertain. Our pending and future patent applications may not result in patents being issued in the United States or in other jurisdictions which protect our technology or products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patent rights are highly uncertain.</w:t>
      </w:r>
    </w:p>
    <w:p>
      <w:pPr>
        <w:spacing w:after="0" w:line="177"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color w:val="auto"/>
        </w:rPr>
        <w:t xml:space="preserve">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For example, we may become involved in opposition, interference, derivation,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other proceedings challenging our patent rights, and the outcome of any proceedings are highly uncertain.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5" w:right="4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20"/>
        <w:spacing w:after="0" w:line="276" w:lineRule="auto"/>
        <w:rPr>
          <w:sz w:val="20"/>
          <w:szCs w:val="20"/>
          <w:color w:val="auto"/>
        </w:rPr>
      </w:pPr>
      <w:r>
        <w:rPr>
          <w:rFonts w:ascii="Arial" w:cs="Arial" w:eastAsia="Arial" w:hAnsi="Arial"/>
          <w:sz w:val="18"/>
          <w:szCs w:val="18"/>
          <w:color w:val="auto"/>
        </w:rPr>
        <w:t>patent portfolio may not provide us with sufficient rights to exclude others from commercializing products similar or identical to ours or otherwise provide us with a competitive advantage.</w:t>
      </w:r>
    </w:p>
    <w:p>
      <w:pPr>
        <w:spacing w:after="0" w:line="145" w:lineRule="exact"/>
        <w:rPr>
          <w:sz w:val="20"/>
          <w:szCs w:val="20"/>
          <w:color w:val="auto"/>
        </w:rPr>
      </w:pPr>
    </w:p>
    <w:p>
      <w:pPr>
        <w:ind w:left="120" w:right="100" w:firstLine="551"/>
        <w:spacing w:after="0" w:line="241" w:lineRule="auto"/>
        <w:rPr>
          <w:sz w:val="20"/>
          <w:szCs w:val="20"/>
          <w:color w:val="auto"/>
        </w:rPr>
      </w:pPr>
      <w:r>
        <w:rPr>
          <w:rFonts w:ascii="Arial" w:cs="Arial" w:eastAsia="Arial" w:hAnsi="Arial"/>
          <w:sz w:val="18"/>
          <w:szCs w:val="18"/>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adversely affected and this would have a material adverse effect on our business.</w:t>
      </w:r>
    </w:p>
    <w:p>
      <w:pPr>
        <w:spacing w:after="0" w:line="179"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If any of our patents are found to be invalid or unenforceable, or if we are otherwise unable to adequately protect our rights, it could have a material adverse impact on our business and our ability to commercialize or license our technology and product candidates. Likewise, our current patents covering our proprietary technologies and our product candidates are expected to expire through 2037, without taking into account any possible patent term adjustments or extensions. Upon the expiration of our current patents, we may lose the right to exclude others from practicing these inventions. The expiration of these patents could also have a similar material adverse effect on our business, results of operations, financial condition and prospects.</w:t>
      </w:r>
    </w:p>
    <w:p>
      <w:pPr>
        <w:spacing w:after="0" w:line="174" w:lineRule="exact"/>
        <w:rPr>
          <w:sz w:val="20"/>
          <w:szCs w:val="20"/>
          <w:color w:val="auto"/>
        </w:rPr>
      </w:pPr>
    </w:p>
    <w:p>
      <w:pPr>
        <w:ind w:left="120" w:firstLine="551"/>
        <w:spacing w:after="0" w:line="256"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168"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or protection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We have contract research and manufacturing relationships with contract organizations that operate in certain countries that are at heightened risk of theft of technology, data and intellectual property through direct intrusion by private parties or foreign actors, including those affiliated with or controlled by state actors. Accordingly, our efforts to protect or enforce our intellectual property rights around the world may be inadequate to obtain a significant commercial advantage from the intellectual property that we develop or license.</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5" w:right="4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60"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4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84" w:lineRule="exact"/>
        <w:rPr>
          <w:sz w:val="20"/>
          <w:szCs w:val="20"/>
          <w:color w:val="auto"/>
        </w:rPr>
      </w:pPr>
    </w:p>
    <w:p>
      <w:pPr>
        <w:ind w:left="120" w:right="660"/>
        <w:spacing w:after="0" w:line="285" w:lineRule="auto"/>
        <w:rPr>
          <w:sz w:val="20"/>
          <w:szCs w:val="20"/>
          <w:color w:val="auto"/>
        </w:rPr>
      </w:pPr>
      <w:r>
        <w:rPr>
          <w:rFonts w:ascii="Arial" w:cs="Arial" w:eastAsia="Arial" w:hAnsi="Arial"/>
          <w:sz w:val="18"/>
          <w:szCs w:val="18"/>
          <w:b w:val="1"/>
          <w:bCs w:val="1"/>
          <w:i w:val="1"/>
          <w:iCs w:val="1"/>
          <w:color w:val="auto"/>
        </w:rPr>
        <w:t>Any issued patents we may own covering our product candidates could be narrowed or found invalid or unenforceable if challenged in court or before administrative bodies in the United States or abroad, including the USPTO.</w:t>
      </w:r>
    </w:p>
    <w:p>
      <w:pPr>
        <w:spacing w:after="0" w:line="21"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0"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With respect to challenges to the validity of our patents,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5" w:right="47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85" w:lineRule="auto"/>
        <w:rPr>
          <w:sz w:val="20"/>
          <w:szCs w:val="20"/>
          <w:color w:val="auto"/>
        </w:rPr>
      </w:pPr>
      <w:r>
        <w:rPr>
          <w:rFonts w:ascii="Arial" w:cs="Arial" w:eastAsia="Arial" w:hAnsi="Arial"/>
          <w:sz w:val="18"/>
          <w:szCs w:val="18"/>
          <w:b w:val="1"/>
          <w:bCs w:val="1"/>
          <w:i w:val="1"/>
          <w:iCs w:val="1"/>
          <w:color w:val="auto"/>
        </w:rPr>
        <w:t>We may become involved in lawsuits or litigation at the USPTO to protect or enforce our patents or other intellectual property, which could be expensive, time consuming and unsuccessful.</w:t>
      </w:r>
    </w:p>
    <w:p>
      <w:pPr>
        <w:spacing w:after="0" w:line="21"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spacing w:after="0" w:line="180"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Such a loss of patent protection would have a material adverse impact on our business.</w:t>
      </w:r>
    </w:p>
    <w:p>
      <w:pPr>
        <w:spacing w:after="0" w:line="172"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9"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6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may be required to protect our patents through procedures created to attack the validity of a patent at the USPTO. The USPTO hears post-grant proceedings, including PGR, IPR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5" w:right="4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20"/>
        <w:spacing w:after="0" w:line="276" w:lineRule="auto"/>
        <w:rPr>
          <w:sz w:val="20"/>
          <w:szCs w:val="20"/>
          <w:color w:val="auto"/>
        </w:rPr>
      </w:pPr>
      <w:r>
        <w:rPr>
          <w:rFonts w:ascii="Arial" w:cs="Arial" w:eastAsia="Arial" w:hAnsi="Arial"/>
          <w:sz w:val="18"/>
          <w:szCs w:val="18"/>
          <w:color w:val="auto"/>
        </w:rPr>
        <w:t>or defense of our issued patents, all of which could have a material adverse effect on our business, financial condition, results of operations and prospects.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04"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patent portfolio may not provide us with sufficient rights to exclude others from commercializing product candidates similar or identical to ours for a meaningful amount of time, or at all.</w:t>
      </w:r>
    </w:p>
    <w:p>
      <w:pPr>
        <w:spacing w:after="0" w:line="180"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expected, and our competitive position, business, financial condition, results of operations and prospects could be materially adversely affected.</w:t>
      </w:r>
    </w:p>
    <w:p>
      <w:pPr>
        <w:spacing w:after="0" w:line="188"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Also, there are detailed rules and requirements regarding the patents that may be submitted to the FDA for listing in the Approved Drug Products with Therapeutic Equivalence Evaluations, or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 Any of the foregoing could adversely affect our competitive position, business, financial condition, results of operations and prospects.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5" w:right="4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0"/>
        <w:spacing w:after="0" w:line="285"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21"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 United States Congress has in recent years considered legislation to reduce the term of certain drug patents in order to ease generic entry and increase competition. Evolving judicial interpretation of patent law could also adversely affect our business.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product candidates. Also, former employees may become employed by competitors who develop similar technology, and could assist the competitor in designing around our patents.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ownership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88" w:lineRule="exact"/>
        <w:rPr>
          <w:sz w:val="20"/>
          <w:szCs w:val="20"/>
          <w:color w:val="auto"/>
        </w:rPr>
      </w:pPr>
    </w:p>
    <w:p>
      <w:pPr>
        <w:ind w:left="120" w:right="500"/>
        <w:spacing w:after="0" w:line="285"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1" w:lineRule="exact"/>
        <w:rPr>
          <w:sz w:val="20"/>
          <w:szCs w:val="20"/>
          <w:color w:val="auto"/>
        </w:rPr>
      </w:pPr>
    </w:p>
    <w:p>
      <w:pPr>
        <w:jc w:val="both"/>
        <w:ind w:left="120" w:right="60" w:firstLine="551"/>
        <w:spacing w:after="0" w:line="255" w:lineRule="auto"/>
        <w:rPr>
          <w:sz w:val="20"/>
          <w:szCs w:val="20"/>
          <w:color w:val="auto"/>
        </w:rPr>
      </w:pPr>
      <w:r>
        <w:rPr>
          <w:rFonts w:ascii="Arial" w:cs="Arial" w:eastAsia="Arial" w:hAnsi="Arial"/>
          <w:sz w:val="18"/>
          <w:szCs w:val="18"/>
          <w:color w:val="auto"/>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w:t>
      </w:r>
    </w:p>
    <w:p>
      <w:pPr>
        <w:spacing w:after="0" w:line="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60"/>
          </w:cols>
          <w:pgMar w:left="320" w:top="455" w:right="51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284"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Defending against such law suits will be costly and time consuming, and an unfavorable outcome in that litigation would have a material adverse effect on our business.</w:t>
      </w:r>
    </w:p>
    <w:p>
      <w:pPr>
        <w:spacing w:after="0" w:line="43"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commercial success depends upon our ability to develop, manufacture, market and sell our product candidates and use our proprietary technologies without infringing the proprietary rights of third parties. U.S. and foreign issued patents and pending patent applications, which are owned by third parties, exist in the fields relating to our product candidates. As the biotechnology and pharmaceutical industries expand and more patents are issued, the risk increases that others may assert our product candidates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80" w:lineRule="exact"/>
        <w:rPr>
          <w:sz w:val="20"/>
          <w:szCs w:val="20"/>
          <w:color w:val="auto"/>
        </w:rPr>
      </w:pPr>
    </w:p>
    <w:p>
      <w:pPr>
        <w:ind w:left="120" w:right="100" w:firstLine="551"/>
        <w:spacing w:after="0" w:line="241" w:lineRule="auto"/>
        <w:rPr>
          <w:sz w:val="20"/>
          <w:szCs w:val="20"/>
          <w:color w:val="auto"/>
        </w:rPr>
      </w:pPr>
      <w:r>
        <w:rPr>
          <w:rFonts w:ascii="Arial" w:cs="Arial" w:eastAsia="Arial" w:hAnsi="Arial"/>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w:t>
      </w:r>
    </w:p>
    <w:p>
      <w:pPr>
        <w:spacing w:after="0" w:line="179" w:lineRule="exact"/>
        <w:rPr>
          <w:sz w:val="20"/>
          <w:szCs w:val="20"/>
          <w:color w:val="auto"/>
        </w:rPr>
      </w:pPr>
    </w:p>
    <w:p>
      <w:pPr>
        <w:ind w:left="120" w:right="340" w:firstLine="551"/>
        <w:spacing w:after="0" w:line="277" w:lineRule="auto"/>
        <w:rPr>
          <w:sz w:val="20"/>
          <w:szCs w:val="20"/>
          <w:color w:val="auto"/>
        </w:rPr>
      </w:pPr>
      <w:r>
        <w:rPr>
          <w:rFonts w:ascii="Arial" w:cs="Arial" w:eastAsia="Arial" w:hAnsi="Arial"/>
          <w:sz w:val="17"/>
          <w:szCs w:val="17"/>
          <w:color w:val="auto"/>
        </w:rPr>
        <w:t>There is a substantial amount of litigation involving patent and other intellectual property rights in the biotechnology and pharmaceutical industries generally. We may be exposed to, or threatened with, future litigation by third parties having patent or other intellectual property rights alleging that our product candidates and/or proprietary technologies infringe their intellectual property rights.</w:t>
      </w:r>
    </w:p>
    <w:p>
      <w:pPr>
        <w:spacing w:after="0" w:line="147" w:lineRule="exact"/>
        <w:rPr>
          <w:sz w:val="20"/>
          <w:szCs w:val="20"/>
          <w:color w:val="auto"/>
        </w:rPr>
      </w:pPr>
    </w:p>
    <w:p>
      <w:pPr>
        <w:ind w:left="120" w:right="200" w:firstLine="551"/>
        <w:spacing w:after="0" w:line="245" w:lineRule="auto"/>
        <w:rPr>
          <w:sz w:val="20"/>
          <w:szCs w:val="20"/>
          <w:color w:val="auto"/>
        </w:rPr>
      </w:pPr>
      <w:r>
        <w:rPr>
          <w:rFonts w:ascii="Arial" w:cs="Arial" w:eastAsia="Arial" w:hAnsi="Arial"/>
          <w:sz w:val="18"/>
          <w:szCs w:val="18"/>
          <w:color w:val="auto"/>
        </w:rPr>
        <w:t>If a third party claims that we infringe its intellectual property rights, we may face a number of issues, including, but not limited to: infringement and other intellectual property claims which, regardless of merit, may be expensive and time-consuming to litigate and may divert our management’s attention from our core business; substantial damages for infringement, which we may have to pay if a court decides that the product candidate or technology at issue infringes on or violates the third party’s rights, and, if the court finds that the infringement was willful, we could be ordered to</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5" w:right="4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3" w:lineRule="auto"/>
        <w:rPr>
          <w:sz w:val="20"/>
          <w:szCs w:val="20"/>
          <w:color w:val="auto"/>
        </w:rPr>
      </w:pPr>
      <w:r>
        <w:rPr>
          <w:rFonts w:ascii="Arial" w:cs="Arial" w:eastAsia="Arial" w:hAnsi="Arial"/>
          <w:sz w:val="17"/>
          <w:szCs w:val="17"/>
          <w:color w:val="auto"/>
        </w:rPr>
        <w:t>pay treble damages and the patent owner’s attorneys’ fees; a court prohibiting us from developing, manufacturing, marketing or selling our product candidates, or from using our proprietary technologies, unless the third party licenses its product rights to us; however, the third party is not required to grant the license; if a license is available from a third party, we may have to pay substantial royalties, upfront fees and other amounts, and/or grant cross-licenses to intellectual property rights for our products; and redesigning our product candidates or processes so they do not infringe; redesign may not be possible or may require substantial monetary expenditures and time.</w:t>
      </w:r>
    </w:p>
    <w:p>
      <w:pPr>
        <w:spacing w:after="0" w:line="157"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7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 xml:space="preserve">We may choose to challenge the patentability of claims in a third party’s U.S. patent by requesting that the USPTO review the patent claims in an </w:t>
      </w:r>
      <w:r>
        <w:rPr>
          <w:rFonts w:ascii="Arial" w:cs="Arial" w:eastAsia="Arial" w:hAnsi="Arial"/>
          <w:sz w:val="18"/>
          <w:szCs w:val="18"/>
          <w:i w:val="1"/>
          <w:iCs w:val="1"/>
          <w:color w:val="auto"/>
        </w:rPr>
        <w:t>ex-parte</w:t>
      </w:r>
      <w:r>
        <w:rPr>
          <w:rFonts w:ascii="Arial" w:cs="Arial" w:eastAsia="Arial" w:hAnsi="Arial"/>
          <w:sz w:val="18"/>
          <w:szCs w:val="18"/>
          <w:color w:val="auto"/>
        </w:rPr>
        <w:t xml:space="preserve"> re-exam,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282" w:lineRule="exact"/>
        <w:rPr>
          <w:sz w:val="20"/>
          <w:szCs w:val="20"/>
          <w:color w:val="auto"/>
        </w:rPr>
      </w:pPr>
    </w:p>
    <w:p>
      <w:pPr>
        <w:ind w:left="120" w:right="300"/>
        <w:spacing w:after="0" w:line="285"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stock to decline.</w:t>
      </w:r>
    </w:p>
    <w:p>
      <w:pPr>
        <w:spacing w:after="0" w:line="21"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80" w:lineRule="exact"/>
        <w:rPr>
          <w:sz w:val="20"/>
          <w:szCs w:val="20"/>
          <w:color w:val="auto"/>
        </w:rPr>
      </w:pPr>
    </w:p>
    <w:p>
      <w:pPr>
        <w:ind w:left="120" w:right="340"/>
        <w:spacing w:after="0" w:line="260"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43"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5" w:right="47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color w:val="auto"/>
        </w:rPr>
        <w:t>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287"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43"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We may in the future enter into license agreements with third parties under which we receive rights to intellectual property that are important to our business. These intellectual property license agreements may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market products covered by the license.</w:t>
      </w:r>
    </w:p>
    <w:p>
      <w:pPr>
        <w:spacing w:after="0" w:line="172"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74"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We may need to obtain licenses in the future from third parties to advance our research or allow commercialization of our product candidates, and we cannot provide any assurances that there are no third-party patents which might be enforced against our product candidates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85" w:lineRule="exact"/>
        <w:rPr>
          <w:sz w:val="20"/>
          <w:szCs w:val="20"/>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5" w:right="45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80" w:hanging="224"/>
        <w:spacing w:after="0" w:line="27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right to transfer or assign the license; and</w:t>
      </w:r>
    </w:p>
    <w:p>
      <w:pPr>
        <w:spacing w:after="0" w:line="117"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45" w:lineRule="exact"/>
        <w:rPr>
          <w:sz w:val="20"/>
          <w:szCs w:val="20"/>
          <w:color w:val="auto"/>
        </w:rPr>
      </w:pPr>
    </w:p>
    <w:p>
      <w:pPr>
        <w:jc w:val="both"/>
        <w:ind w:left="120" w:right="20" w:firstLine="551"/>
        <w:spacing w:after="0" w:line="255" w:lineRule="auto"/>
        <w:rPr>
          <w:sz w:val="20"/>
          <w:szCs w:val="20"/>
          <w:color w:val="auto"/>
        </w:rPr>
      </w:pPr>
      <w:r>
        <w:rPr>
          <w:rFonts w:ascii="Arial" w:cs="Arial" w:eastAsia="Arial" w:hAnsi="Arial"/>
          <w:sz w:val="18"/>
          <w:szCs w:val="18"/>
          <w:color w:val="auto"/>
        </w:rPr>
        <w:t>If disputes over intellectual property that we license in the future prevent or impair our ability to maintain our licensing arrangements on acceptable terms, we may not be able to successfully develop and commercialize the affected product candidates, which would have a material adverse effect on our business.</w:t>
      </w:r>
    </w:p>
    <w:p>
      <w:pPr>
        <w:spacing w:after="0" w:line="16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276"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04" w:lineRule="exact"/>
        <w:rPr>
          <w:sz w:val="20"/>
          <w:szCs w:val="20"/>
          <w:color w:val="auto"/>
        </w:rPr>
      </w:pPr>
    </w:p>
    <w:p>
      <w:pPr>
        <w:jc w:val="both"/>
        <w:ind w:left="120" w:right="80" w:firstLine="551"/>
        <w:spacing w:after="0" w:line="255" w:lineRule="auto"/>
        <w:rPr>
          <w:sz w:val="20"/>
          <w:szCs w:val="20"/>
          <w:color w:val="auto"/>
        </w:rPr>
      </w:pPr>
      <w:r>
        <w:rPr>
          <w:rFonts w:ascii="Arial" w:cs="Arial" w:eastAsia="Arial" w:hAnsi="Arial"/>
          <w:sz w:val="18"/>
          <w:szCs w:val="18"/>
          <w:color w:val="auto"/>
        </w:rPr>
        <w:t>The trading price of our common stock following this offering is likely to be highly volatile and could be subject to wide fluctuations in response to various factors, some of which are beyond our control, including limited trading volume. In addition to the factors discussed in this “Risk Factors” section and elsewhere in this prospectus, these factors include:</w:t>
      </w:r>
    </w:p>
    <w:p>
      <w:pPr>
        <w:spacing w:after="0" w:line="69" w:lineRule="exact"/>
        <w:rPr>
          <w:sz w:val="20"/>
          <w:szCs w:val="20"/>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results of our ongoing, planned or any future preclinical studies, clinical trials or clinical development programs;</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commencement, enrollment, or results of clinical trials of our product candidates or any future clinical trials we may conduct, or changes in the development status of our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 results or delays in preclinical studies and clinical trials;</w:t>
      </w:r>
    </w:p>
    <w:p>
      <w:pPr>
        <w:spacing w:after="0" w:line="117"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 including due to the suspension of a clinical trial by the FDA or other regulatory authorities;</w:t>
      </w:r>
    </w:p>
    <w:p>
      <w:pPr>
        <w:spacing w:after="0" w:line="50" w:lineRule="exact"/>
        <w:rPr>
          <w:rFonts w:ascii="Arial" w:cs="Arial" w:eastAsia="Arial" w:hAnsi="Arial"/>
          <w:sz w:val="18"/>
          <w:szCs w:val="18"/>
          <w:color w:val="auto"/>
        </w:rPr>
      </w:pPr>
    </w:p>
    <w:p>
      <w:pPr>
        <w:ind w:left="880" w:right="440" w:hanging="224"/>
        <w:spacing w:after="0" w:line="27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delay in our regulatory filings or any adverse regulatory decisions, including failure to receive regulatory approval of our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 including but not limited to clinical trial requirements for approvals;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 developments concerning our manufacturers or our manufacturing plans;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licensed product or inability to do so at acceptable prices;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5" w:right="4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partnerships, joint ventures or capital commitments by us or our competitors;</w:t>
      </w:r>
    </w:p>
    <w:p>
      <w:pPr>
        <w:spacing w:after="0" w:line="128" w:lineRule="exact"/>
        <w:rPr>
          <w:rFonts w:ascii="Arial" w:cs="Arial" w:eastAsia="Arial" w:hAnsi="Arial"/>
          <w:sz w:val="17"/>
          <w:szCs w:val="17"/>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size and growth of our initial cancer target markets;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successfully treat additional types of cancers or at different stages;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17"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immunotherapy in particular, or positive or negative recommendations or withdrawal of research coverage by securities analysts;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expiration of lock-up agreements;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17"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disputes or other developments relating to intellectual property or proprietary rights, including patents, litigation matters and our ability to obtain patent protection for our technologies;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significant lawsuits, including intellectual property or stockholder litigation;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such as the COVID-19 pandemic;</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economic, political, industry and market conditions, including the impending presidential election in the United States in 2020;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12" w:lineRule="exact"/>
        <w:rPr>
          <w:sz w:val="20"/>
          <w:szCs w:val="20"/>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45" w:lineRule="exact"/>
        <w:rPr>
          <w:sz w:val="20"/>
          <w:szCs w:val="20"/>
          <w:color w:val="auto"/>
        </w:rPr>
      </w:pPr>
    </w:p>
    <w:p>
      <w:pPr>
        <w:ind w:left="120" w:right="180" w:firstLine="551"/>
        <w:spacing w:after="0" w:line="243" w:lineRule="auto"/>
        <w:rPr>
          <w:sz w:val="20"/>
          <w:szCs w:val="20"/>
          <w:color w:val="auto"/>
        </w:rPr>
      </w:pPr>
      <w:r>
        <w:rPr>
          <w:rFonts w:ascii="Arial" w:cs="Arial" w:eastAsia="Arial" w:hAnsi="Arial"/>
          <w:sz w:val="18"/>
          <w:szCs w:val="18"/>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have been highly volatile as a result of the COVID-19 pandemic. In addition, broad market and industry factors may negatively affect the market price of our common stock, regardless of our actual operating performance. If the market price of our common stock after this offering does not exceed the initial public offering price, you may not</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5" w:right="4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8" w:lineRule="auto"/>
        <w:rPr>
          <w:sz w:val="20"/>
          <w:szCs w:val="20"/>
          <w:color w:val="auto"/>
        </w:rPr>
      </w:pPr>
      <w:r>
        <w:rPr>
          <w:rFonts w:ascii="Arial" w:cs="Arial" w:eastAsia="Arial" w:hAnsi="Arial"/>
          <w:sz w:val="18"/>
          <w:szCs w:val="18"/>
          <w:color w:val="auto"/>
        </w:rPr>
        <w:t>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materially adversely affect our business, financial condition and results of operation.</w:t>
      </w:r>
    </w:p>
    <w:p>
      <w:pPr>
        <w:spacing w:after="0" w:line="278"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21"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Prior to this offering, no public market for shares of our common stock existed and an active trading market for our common stock may never develop or be sustained following this offering. We will determine the initial public offering price for our common stock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284"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21"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The trading market for our common stock will be influenced by the research and reports that securities or industry analysts publish about us, our business or our market. We do not currently have and may never obtain research coverage by securities or industry analysts. If no or few securities or industry analysts commence coverage of us, the stock price would be negatively impacted. In the event we obtain securities or industry analyst coverage,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88" w:lineRule="exact"/>
        <w:rPr>
          <w:sz w:val="20"/>
          <w:szCs w:val="20"/>
          <w:color w:val="auto"/>
        </w:rPr>
      </w:pPr>
    </w:p>
    <w:p>
      <w:pPr>
        <w:ind w:left="120" w:right="400"/>
        <w:spacing w:after="0" w:line="285"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21"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alliances and licensing arrangements with third parties, we may have to relinquish valuable rights to our technologies or product candidates, or grant licenses on terms unfavorable to us.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5" w:right="4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85"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by our existing stockholders in the public market could cause our stock price to fall.</w:t>
      </w:r>
    </w:p>
    <w:p>
      <w:pPr>
        <w:spacing w:after="0" w:line="21" w:lineRule="exact"/>
        <w:rPr>
          <w:sz w:val="20"/>
          <w:szCs w:val="20"/>
          <w:color w:val="auto"/>
        </w:rPr>
      </w:pPr>
    </w:p>
    <w:p>
      <w:pPr>
        <w:ind w:left="120" w:right="160" w:firstLine="551"/>
        <w:spacing w:after="0" w:line="262"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w:t>
      </w:r>
    </w:p>
    <w:p>
      <w:pPr>
        <w:ind w:left="120" w:right="20"/>
        <w:spacing w:after="0" w:line="234" w:lineRule="auto"/>
        <w:rPr>
          <w:sz w:val="20"/>
          <w:szCs w:val="20"/>
          <w:color w:val="auto"/>
        </w:rPr>
      </w:pPr>
      <w:r>
        <w:rPr>
          <w:rFonts w:ascii="Arial" w:cs="Arial" w:eastAsia="Arial" w:hAnsi="Arial"/>
          <w:sz w:val="18"/>
          <w:szCs w:val="18"/>
          <w:color w:val="auto"/>
        </w:rPr>
        <w:t>stock. After this offering, we will have outstanding shares of common stock, based on the number of shares outstanding as of June 30, 2020, assuming: (1) no exercise of the underwriters’ option to purchase additional shares and (2) the conversion of all outstanding shares of our convertible preferred stock into shares of common stock immediately prior to the closing of this offering. This includes the shares that we sell in this offering, which may be resold in the public market immediately without restriction, unless purchased</w:t>
      </w:r>
    </w:p>
    <w:p>
      <w:pPr>
        <w:spacing w:after="0" w:line="3" w:lineRule="exact"/>
        <w:rPr>
          <w:sz w:val="20"/>
          <w:szCs w:val="20"/>
          <w:color w:val="auto"/>
        </w:rPr>
      </w:pPr>
    </w:p>
    <w:p>
      <w:pPr>
        <w:ind w:left="120" w:right="80"/>
        <w:spacing w:after="0" w:line="234" w:lineRule="auto"/>
        <w:rPr>
          <w:sz w:val="20"/>
          <w:szCs w:val="20"/>
          <w:color w:val="auto"/>
        </w:rPr>
      </w:pPr>
      <w:r>
        <w:rPr>
          <w:rFonts w:ascii="Arial" w:cs="Arial" w:eastAsia="Arial" w:hAnsi="Arial"/>
          <w:sz w:val="18"/>
          <w:szCs w:val="18"/>
          <w:color w:val="auto"/>
        </w:rPr>
        <w:t>by our affiliates. Of the remaining shares, shares of our common stock are currently restricted as a result of securities laws or lock-up agreements but will be able to be sold after this offering as described in the “Shares Eligible for Future Sale” section of this prospectus. Moreover, after this offering, holders of an aggregate of shares of our common stock will have rights, subject to certain</w:t>
      </w:r>
    </w:p>
    <w:p>
      <w:pPr>
        <w:spacing w:after="0" w:line="2"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conditions, to require us to file registration statements covering their shares or to include their shares in registration statements that we may file for ourselves or other stockholders. We also intend to register all shares of common stock that we may issue under our equity incentive plans. Once we register these shares, they can be freely sold in the public market upon issuance, subject to volume limitations applicable to affiliates and the lock-up agreements described in the “Underwriting” section of this prospectus.</w:t>
      </w:r>
    </w:p>
    <w:p>
      <w:pPr>
        <w:spacing w:after="0" w:line="176"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Our executive officers, directors and the holders of substantially all of our capital stock and securities convertible into or exchangeable for our capital stock have entered into lock-up agreements with the underwriters under which they have agreed, subject to specific exceptions described in the section titled “Underwriting,” not to sell, directly or indirectly, any shares of common stock without the permission of the underwriters for a period of 180 days following the date of this prospectus. We refer to such period as the lock-up period. When the lock-up period expires, we and our securityholders subject to a lock-up agreement will be able to sell our shares in the public market. In addition, the underwriters may, in their sole discretion, release all or some portion of the shares subject to lock-up agreements at any time and for any reason. See the description of the lock-up agreement with the underwriters in the section of this prospectus titled “Shares Eligible for Future Sale” for more information. Sales of a substantial number of such shares upon expiration of the lock-up agreements, the perception that such sales may occur, or early release of these agreements, could cause our market price to fall or make it more difficult for you to sell your common stock at a time and price that you deem appropriate.</w:t>
      </w:r>
    </w:p>
    <w:p>
      <w:pPr>
        <w:spacing w:after="0" w:line="288" w:lineRule="exact"/>
        <w:rPr>
          <w:sz w:val="20"/>
          <w:szCs w:val="20"/>
          <w:color w:val="auto"/>
        </w:rPr>
      </w:pPr>
    </w:p>
    <w:p>
      <w:pPr>
        <w:ind w:left="120" w:right="560"/>
        <w:spacing w:after="0" w:line="285"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21"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Prior to this offering, our executive officers, directors, holders of % or more of our capital stock and their respective affiliates beneficially owned approximately % of our voting stock and, upon the closing of this offering, that same group will beneficially own approximately % of our outstanding voting stock (based on the number of shares of common stock outstanding as of June 30, 2020 assuming no exercise of the underwriters’ option to purchase additional shares, no exercise of outstanding options or the warrant and no purchases of shares in this offering by any of this group), in each case assuming the conversion of all outstanding shares of our convertible preferred stock into shares of our common stock immediately prior to the closing of this offering. These stockholders, acting together,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5" w:right="4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77" w:lineRule="auto"/>
        <w:rPr>
          <w:sz w:val="20"/>
          <w:szCs w:val="20"/>
          <w:color w:val="auto"/>
        </w:rPr>
      </w:pPr>
      <w:r>
        <w:rPr>
          <w:rFonts w:ascii="Arial" w:cs="Arial" w:eastAsia="Arial" w:hAnsi="Arial"/>
          <w:sz w:val="17"/>
          <w:szCs w:val="17"/>
          <w:color w:val="auto"/>
        </w:rPr>
        <w:t>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55" w:lineRule="exact"/>
        <w:rPr>
          <w:sz w:val="20"/>
          <w:szCs w:val="20"/>
          <w:color w:val="auto"/>
        </w:rPr>
      </w:pPr>
    </w:p>
    <w:p>
      <w:pPr>
        <w:ind w:left="120" w:right="140"/>
        <w:spacing w:after="0" w:line="285"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21"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2020, as amended, or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69" w:lineRule="exact"/>
        <w:rPr>
          <w:sz w:val="20"/>
          <w:szCs w:val="20"/>
          <w:color w:val="auto"/>
        </w:rPr>
      </w:pPr>
    </w:p>
    <w:p>
      <w:pPr>
        <w:ind w:left="880" w:right="200" w:hanging="224"/>
        <w:spacing w:after="0" w:line="255"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69"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or Sarbanes-Oxley Act;</w:t>
      </w:r>
    </w:p>
    <w:p>
      <w:pPr>
        <w:spacing w:after="0" w:line="50" w:lineRule="exact"/>
        <w:rPr>
          <w:rFonts w:ascii="Arial" w:cs="Arial" w:eastAsia="Arial" w:hAnsi="Arial"/>
          <w:sz w:val="18"/>
          <w:szCs w:val="18"/>
          <w:color w:val="auto"/>
        </w:rPr>
      </w:pPr>
    </w:p>
    <w:p>
      <w:pPr>
        <w:ind w:left="880" w:right="300" w:hanging="224"/>
        <w:spacing w:after="0" w:line="255"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9" w:lineRule="exact"/>
        <w:rPr>
          <w:rFonts w:ascii="Arial" w:cs="Arial" w:eastAsia="Arial" w:hAnsi="Arial"/>
          <w:sz w:val="18"/>
          <w:szCs w:val="18"/>
          <w:color w:val="auto"/>
        </w:rPr>
      </w:pPr>
    </w:p>
    <w:p>
      <w:pPr>
        <w:ind w:left="880" w:right="820" w:hanging="224"/>
        <w:spacing w:after="0" w:line="27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this prospectus and our periodic reports and proxy statements; and</w:t>
      </w:r>
    </w:p>
    <w:p>
      <w:pPr>
        <w:spacing w:after="0" w:line="50"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145"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w:t>
      </w:r>
    </w:p>
    <w:p>
      <w:pPr>
        <w:spacing w:after="0" w:line="172"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70"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this prospectus and our periodic reports and proxy statements.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5" w:right="4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72" w:lineRule="exact"/>
        <w:rPr>
          <w:sz w:val="20"/>
          <w:szCs w:val="20"/>
          <w:color w:val="auto"/>
        </w:rPr>
      </w:pPr>
    </w:p>
    <w:p>
      <w:pPr>
        <w:ind w:left="120" w:right="200"/>
        <w:spacing w:after="0" w:line="285"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2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We will be subject to the reporting requirements of the Securities Exchange Act of 1934, as amended, or Exchange Act, which will require, among other things, that we file with the SEC annual, quarterly and current reports with respect to our business and financial condition. In addition, the Sarbanes-Oxley Act, as well as rules subsequently adopted by the SEC and the Nasdaq Global Market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this offering. We intend to take advantage of this new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77"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04" w:lineRule="exact"/>
        <w:rPr>
          <w:sz w:val="20"/>
          <w:szCs w:val="20"/>
          <w:color w:val="auto"/>
        </w:rPr>
      </w:pPr>
    </w:p>
    <w:p>
      <w:pPr>
        <w:ind w:left="120" w:right="120" w:firstLine="551"/>
        <w:spacing w:after="0" w:line="243"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the section entitled “Use of Proceeds,” and you will be relying on the judgment of our management regarding the application of these proceeds. You will not have the opportunity, as part of your investment decision, to assess whether the net proceeds are being used appropriately. Our management might not apply the net proceeds in ways that ultimately increase or maintain the value of your investment. If we do not invest or apply the net proceeds from this offering in ways that enhance stockholder value, we may fail to achieve expected financial results, which could cause our stock price to decline.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5" w:right="4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intend to pay dividends on our capital stock, so any returns will be limited to the value of our stock.</w:t>
      </w:r>
    </w:p>
    <w:p>
      <w:pPr>
        <w:spacing w:after="0" w:line="104"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We have never declared or paid any cash dividends on our capital stock. 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capital stock. Any return to stockholders will therefore be limited to any appreciation in the value of their stock.</w:t>
      </w:r>
    </w:p>
    <w:p>
      <w:pPr>
        <w:spacing w:after="0" w:line="280"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43" w:lineRule="exact"/>
        <w:rPr>
          <w:sz w:val="20"/>
          <w:szCs w:val="20"/>
          <w:color w:val="auto"/>
        </w:rPr>
      </w:pPr>
    </w:p>
    <w:p>
      <w:pPr>
        <w:jc w:val="both"/>
        <w:ind w:left="120" w:right="140" w:firstLine="551"/>
        <w:spacing w:after="0" w:line="255" w:lineRule="auto"/>
        <w:rPr>
          <w:sz w:val="20"/>
          <w:szCs w:val="20"/>
          <w:color w:val="auto"/>
        </w:rPr>
      </w:pPr>
      <w:r>
        <w:rPr>
          <w:rFonts w:ascii="Arial" w:cs="Arial" w:eastAsia="Arial" w:hAnsi="Arial"/>
          <w:sz w:val="18"/>
          <w:szCs w:val="18"/>
          <w:color w:val="auto"/>
        </w:rPr>
        <w:t>Our amended and restated certificate of incorporation and amended and restated bylaws, as they will be in effect upon closing of this offering, will contain provisions that could delay or prevent a change of control of our company or changes in our board of directors that our stockholders might consider favorable. These provisions will, among other things:</w:t>
      </w:r>
    </w:p>
    <w:p>
      <w:pPr>
        <w:spacing w:after="0" w:line="69" w:lineRule="exact"/>
        <w:rPr>
          <w:sz w:val="20"/>
          <w:szCs w:val="20"/>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880" w:right="280" w:hanging="224"/>
        <w:spacing w:after="0" w:line="27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880" w:right="1000" w:hanging="224"/>
        <w:spacing w:after="0" w:line="27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117" w:lineRule="exact"/>
        <w:rPr>
          <w:rFonts w:ascii="Arial" w:cs="Arial" w:eastAsia="Arial" w:hAnsi="Arial"/>
          <w:sz w:val="18"/>
          <w:szCs w:val="18"/>
          <w:color w:val="auto"/>
        </w:rPr>
      </w:pPr>
    </w:p>
    <w:p>
      <w:pPr>
        <w:ind w:left="880" w:right="20" w:hanging="224"/>
        <w:spacing w:after="0" w:line="27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provisions described above.</w:t>
      </w:r>
    </w:p>
    <w:p>
      <w:pPr>
        <w:spacing w:after="0" w:line="212" w:lineRule="exact"/>
        <w:rPr>
          <w:sz w:val="20"/>
          <w:szCs w:val="20"/>
          <w:color w:val="auto"/>
        </w:rPr>
      </w:pPr>
    </w:p>
    <w:p>
      <w:pPr>
        <w:ind w:left="120" w:right="180" w:firstLine="551"/>
        <w:spacing w:after="0" w:line="268" w:lineRule="auto"/>
        <w:rPr>
          <w:sz w:val="20"/>
          <w:szCs w:val="20"/>
          <w:color w:val="auto"/>
        </w:rPr>
      </w:pPr>
      <w:r>
        <w:rPr>
          <w:rFonts w:ascii="Arial" w:cs="Arial" w:eastAsia="Arial" w:hAnsi="Arial"/>
          <w:sz w:val="17"/>
          <w:szCs w:val="17"/>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53" w:lineRule="exact"/>
        <w:rPr>
          <w:sz w:val="20"/>
          <w:szCs w:val="20"/>
          <w:color w:val="auto"/>
        </w:rPr>
      </w:pPr>
    </w:p>
    <w:p>
      <w:pPr>
        <w:jc w:val="both"/>
        <w:ind w:left="120" w:firstLine="551"/>
        <w:spacing w:after="0" w:line="255"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40"/>
          </w:cols>
          <w:pgMar w:left="320" w:top="455" w:right="5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51" w:lineRule="auto"/>
        <w:rPr>
          <w:sz w:val="20"/>
          <w:szCs w:val="20"/>
          <w:color w:val="auto"/>
        </w:rPr>
      </w:pPr>
      <w:r>
        <w:rPr>
          <w:rFonts w:ascii="Arial" w:cs="Arial" w:eastAsia="Arial" w:hAnsi="Arial"/>
          <w:sz w:val="18"/>
          <w:szCs w:val="18"/>
          <w:b w:val="1"/>
          <w:bCs w:val="1"/>
          <w:i w:val="1"/>
          <w:iCs w:val="1"/>
          <w:color w:val="auto"/>
        </w:rPr>
        <w:t>Our amended and restated bylaws that will become effective upon the closing of this offering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52"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Our amended and restated bylaws that will become effective upon the closing of this offering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79" w:lineRule="exact"/>
        <w:rPr>
          <w:sz w:val="20"/>
          <w:szCs w:val="20"/>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17"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12" w:lineRule="exact"/>
        <w:rPr>
          <w:sz w:val="20"/>
          <w:szCs w:val="20"/>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This provision would not apply to suits brought to enforce a duty or liability created by the Securities Act of 1933, as amended, or Securities Act, the Exchange Act or any other claim for which the U.S. federal courts have exclusive jurisdiction.</w:t>
      </w:r>
    </w:p>
    <w:p>
      <w:pPr>
        <w:spacing w:after="0" w:line="145" w:lineRule="exact"/>
        <w:rPr>
          <w:sz w:val="20"/>
          <w:szCs w:val="20"/>
          <w:color w:val="auto"/>
        </w:rPr>
      </w:pPr>
    </w:p>
    <w:p>
      <w:pPr>
        <w:ind w:left="120" w:right="360" w:firstLine="551"/>
        <w:spacing w:after="0" w:line="255"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of America will be the exclusive forum for resolving any complaint asserting a cause of action arising under the Securities Act. We note that investors cannot waive compliance with the federal securities laws and the rules and regulations thereunder.</w:t>
      </w:r>
    </w:p>
    <w:p>
      <w:pPr>
        <w:spacing w:after="0" w:line="16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these types of provisions to be inapplicable or unenforceable, and if a court were to find the exclusive forum provision in our amended and restated bylaws to be inapplicable or unenforceable in an action, we may incur additional costs associated with resolving the dispute in other jurisdictions, which could materially adversely affect our business.</w:t>
      </w:r>
    </w:p>
    <w:p>
      <w:pPr>
        <w:spacing w:after="0" w:line="284" w:lineRule="exact"/>
        <w:rPr>
          <w:sz w:val="20"/>
          <w:szCs w:val="20"/>
          <w:color w:val="auto"/>
        </w:rPr>
      </w:pPr>
    </w:p>
    <w:p>
      <w:pPr>
        <w:ind w:left="120" w:right="140"/>
        <w:spacing w:after="0" w:line="285"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21" w:lineRule="exact"/>
        <w:rPr>
          <w:sz w:val="20"/>
          <w:szCs w:val="20"/>
          <w:color w:val="auto"/>
        </w:rPr>
      </w:pPr>
    </w:p>
    <w:p>
      <w:pPr>
        <w:ind w:left="120" w:right="400" w:firstLine="551"/>
        <w:spacing w:after="0" w:line="276"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we will indemnify our directors and officers, in each case to the fullest extent permitted by Delaware law.</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5" w:right="4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firstLine="551"/>
        <w:spacing w:after="0" w:line="306" w:lineRule="auto"/>
        <w:rPr>
          <w:sz w:val="20"/>
          <w:szCs w:val="20"/>
          <w:color w:val="auto"/>
        </w:rPr>
      </w:pPr>
      <w:r>
        <w:rPr>
          <w:rFonts w:ascii="Arial" w:cs="Arial" w:eastAsia="Arial" w:hAnsi="Arial"/>
          <w:sz w:val="17"/>
          <w:szCs w:val="17"/>
          <w:color w:val="auto"/>
        </w:rPr>
        <w:t>In addition, as permitted by Section 145 of the DGCL, our amended and restated bylaws to be effective immediately prior to the completion of this offering and our indemnification agreements that we have entered into with our directors and officers will provide that:</w:t>
      </w:r>
    </w:p>
    <w:p>
      <w:pPr>
        <w:spacing w:after="0" w:line="28" w:lineRule="exact"/>
        <w:rPr>
          <w:sz w:val="20"/>
          <w:szCs w:val="20"/>
          <w:color w:val="auto"/>
        </w:rPr>
      </w:pPr>
    </w:p>
    <w:p>
      <w:pPr>
        <w:ind w:left="880" w:hanging="224"/>
        <w:spacing w:after="0" w:line="245"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7" w:lineRule="exact"/>
        <w:rPr>
          <w:rFonts w:ascii="Arial" w:cs="Arial" w:eastAsia="Arial" w:hAnsi="Arial"/>
          <w:sz w:val="18"/>
          <w:szCs w:val="18"/>
          <w:color w:val="auto"/>
        </w:rPr>
      </w:pPr>
    </w:p>
    <w:p>
      <w:pPr>
        <w:ind w:left="880" w:right="660" w:hanging="224"/>
        <w:spacing w:after="0" w:line="27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50" w:lineRule="exact"/>
        <w:rPr>
          <w:rFonts w:ascii="Arial" w:cs="Arial" w:eastAsia="Arial" w:hAnsi="Arial"/>
          <w:sz w:val="18"/>
          <w:szCs w:val="18"/>
          <w:color w:val="auto"/>
        </w:rPr>
      </w:pPr>
    </w:p>
    <w:p>
      <w:pPr>
        <w:ind w:left="880" w:right="60" w:hanging="224"/>
        <w:spacing w:after="0" w:line="255"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69" w:lineRule="exact"/>
        <w:rPr>
          <w:rFonts w:ascii="Arial" w:cs="Arial" w:eastAsia="Arial" w:hAnsi="Arial"/>
          <w:sz w:val="18"/>
          <w:szCs w:val="18"/>
          <w:color w:val="auto"/>
        </w:rPr>
      </w:pPr>
    </w:p>
    <w:p>
      <w:pPr>
        <w:ind w:left="880" w:hanging="224"/>
        <w:spacing w:after="0" w:line="255"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69" w:lineRule="exact"/>
        <w:rPr>
          <w:rFonts w:ascii="Arial" w:cs="Arial" w:eastAsia="Arial" w:hAnsi="Arial"/>
          <w:sz w:val="18"/>
          <w:szCs w:val="18"/>
          <w:color w:val="auto"/>
        </w:rPr>
      </w:pPr>
    </w:p>
    <w:p>
      <w:pPr>
        <w:ind w:left="880" w:right="220" w:hanging="224"/>
        <w:spacing w:after="0" w:line="306" w:lineRule="auto"/>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28" w:lineRule="exact"/>
        <w:rPr>
          <w:rFonts w:ascii="Arial" w:cs="Arial" w:eastAsia="Arial" w:hAnsi="Arial"/>
          <w:sz w:val="17"/>
          <w:szCs w:val="17"/>
          <w:color w:val="auto"/>
        </w:rPr>
      </w:pPr>
    </w:p>
    <w:p>
      <w:pPr>
        <w:ind w:left="880" w:right="700" w:hanging="224"/>
        <w:spacing w:after="0" w:line="27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45"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While we maintain a directors’ and officers’ insurance policy, such insurance may not be adequate to cover all liabilities that we may incur, which may reduce our available funds to satisfy third-party claims and may materially adversely affect our cash position.</w:t>
      </w:r>
    </w:p>
    <w:p>
      <w:pPr>
        <w:spacing w:after="0" w:line="253"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43"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After this offering, we will be subject to Section 404 of the Sarbanes-Oxley Act and the related rules of the SEC, which generally require our management and independent registered public accounting firm to report on the effectiveness of our internal control over financial reporting. Beginning with the second annual report that we will be required to file with the SEC, Section 404 requires an annual management assessment of the effectiveness of our internal control over financial reporting. We will also be required to disclose changes made in our internal controls and procedures on a quarterly basis. However, for so long as we remain an emerging growth company as defined in the JOBS Act, we intend to take advantage of certain exemptions from various reporting requirements that are applicable to public companies that are not emerging growth companies,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 over financial reporting. An independent assessment of the effectiveness of our internal controls over financial reporting could detect problems that our management’s assessment might not.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5" w:right="4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 addition, undetected material weaknesses in our internal controls over financial reporting could lead to restatements of our financial statements and require us to incur the expense of remediation. Inferior internal controls could also cause investors to lose confidence in our reported financial information, which could have a material adverse effect on the trading price of our stock.</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4" w:lineRule="exact"/>
        <w:rPr>
          <w:sz w:val="20"/>
          <w:szCs w:val="20"/>
          <w:color w:val="auto"/>
        </w:rPr>
      </w:pPr>
    </w:p>
    <w:p>
      <w:pPr>
        <w:ind w:left="120" w:right="120" w:firstLine="551"/>
        <w:spacing w:after="0" w:line="243" w:lineRule="auto"/>
        <w:rPr>
          <w:sz w:val="20"/>
          <w:szCs w:val="20"/>
          <w:color w:val="auto"/>
        </w:rPr>
      </w:pPr>
      <w:r>
        <w:rPr>
          <w:rFonts w:ascii="Arial" w:cs="Arial" w:eastAsia="Arial" w:hAnsi="Arial"/>
          <w:sz w:val="18"/>
          <w:szCs w:val="18"/>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78" w:lineRule="exact"/>
        <w:rPr>
          <w:sz w:val="20"/>
          <w:szCs w:val="20"/>
          <w:color w:val="auto"/>
        </w:rPr>
      </w:pPr>
    </w:p>
    <w:p>
      <w:pPr>
        <w:ind w:left="120" w:right="100"/>
        <w:spacing w:after="0" w:line="285" w:lineRule="auto"/>
        <w:rPr>
          <w:sz w:val="20"/>
          <w:szCs w:val="20"/>
          <w:color w:val="auto"/>
        </w:rPr>
      </w:pPr>
      <w:r>
        <w:rPr>
          <w:rFonts w:ascii="Arial" w:cs="Arial" w:eastAsia="Arial" w:hAnsi="Arial"/>
          <w:sz w:val="18"/>
          <w:szCs w:val="18"/>
          <w:b w:val="1"/>
          <w:bCs w:val="1"/>
          <w:i w:val="1"/>
          <w:iCs w:val="1"/>
          <w:color w:val="auto"/>
        </w:rPr>
        <w:t>After the completion of this offering, we may be at an increased risk of securities class action litigation, which is expensive and could divert management attention.</w:t>
      </w:r>
    </w:p>
    <w:p>
      <w:pPr>
        <w:spacing w:after="0" w:line="21" w:lineRule="exact"/>
        <w:rPr>
          <w:sz w:val="20"/>
          <w:szCs w:val="20"/>
          <w:color w:val="auto"/>
        </w:rPr>
      </w:pPr>
    </w:p>
    <w:p>
      <w:pPr>
        <w:jc w:val="both"/>
        <w:ind w:left="120" w:right="40" w:firstLine="551"/>
        <w:spacing w:after="0" w:line="245" w:lineRule="auto"/>
        <w:rPr>
          <w:sz w:val="20"/>
          <w:szCs w:val="20"/>
          <w:color w:val="auto"/>
        </w:rPr>
      </w:pPr>
      <w:r>
        <w:rPr>
          <w:rFonts w:ascii="Arial" w:cs="Arial" w:eastAsia="Arial" w:hAnsi="Arial"/>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This risk is especially relevant for us because biotechnology and pharmaceutical companies have experienced significant stock price volatility in recent years. Securities litigation against us could result in substantial costs and divert our management’s attention from other business concerns, which could materially adversely affect our business.</w:t>
      </w:r>
    </w:p>
    <w:p>
      <w:pPr>
        <w:spacing w:after="0" w:line="280" w:lineRule="exact"/>
        <w:rPr>
          <w:sz w:val="20"/>
          <w:szCs w:val="20"/>
          <w:color w:val="auto"/>
        </w:rPr>
      </w:pPr>
    </w:p>
    <w:p>
      <w:pPr>
        <w:ind w:left="120" w:right="200"/>
        <w:spacing w:after="0" w:line="285"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21" w:lineRule="exact"/>
        <w:rPr>
          <w:sz w:val="20"/>
          <w:szCs w:val="20"/>
          <w:color w:val="auto"/>
        </w:rPr>
      </w:pPr>
    </w:p>
    <w:p>
      <w:pPr>
        <w:ind w:left="120" w:right="420" w:firstLine="551"/>
        <w:spacing w:after="0" w:line="245"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5" w:right="47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firstLine="551"/>
        <w:spacing w:after="0" w:line="268" w:lineRule="auto"/>
        <w:rPr>
          <w:sz w:val="20"/>
          <w:szCs w:val="20"/>
          <w:color w:val="auto"/>
        </w:rPr>
      </w:pPr>
      <w:r>
        <w:rPr>
          <w:rFonts w:ascii="Arial" w:cs="Arial" w:eastAsia="Arial" w:hAnsi="Arial"/>
          <w:sz w:val="17"/>
          <w:szCs w:val="17"/>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after the closing of this offering, our underlying stock price and stock price volatility, the magnitude of the expense that we must recognize may vary significantly.</w:t>
      </w:r>
    </w:p>
    <w:p>
      <w:pPr>
        <w:spacing w:after="0" w:line="153"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50" w:lineRule="exact"/>
        <w:rPr>
          <w:sz w:val="20"/>
          <w:szCs w:val="20"/>
          <w:color w:val="auto"/>
        </w:rPr>
      </w:pPr>
    </w:p>
    <w:p>
      <w:pPr>
        <w:ind w:left="880" w:right="60" w:hanging="224"/>
        <w:spacing w:after="0" w:line="276"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the timing of enrollment;</w:t>
      </w:r>
    </w:p>
    <w:p>
      <w:pPr>
        <w:spacing w:after="0" w:line="117" w:lineRule="exact"/>
        <w:rPr>
          <w:rFonts w:ascii="Arial" w:cs="Arial" w:eastAsia="Arial" w:hAnsi="Arial"/>
          <w:sz w:val="18"/>
          <w:szCs w:val="18"/>
          <w:color w:val="auto"/>
        </w:rPr>
      </w:pPr>
    </w:p>
    <w:p>
      <w:pPr>
        <w:ind w:left="880" w:right="40" w:hanging="224"/>
        <w:spacing w:after="0" w:line="255"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 of manufacturing our current product candidates and any future product candidates, which may vary depending on FDA or other comparable foreign regulatory authority guidelines and requirements, the quantity of production and the terms of our agreements with manufacturers;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and outcomes of clinical trials for our future product candidates, or competing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117" w:lineRule="exact"/>
        <w:rPr>
          <w:rFonts w:ascii="Arial" w:cs="Arial" w:eastAsia="Arial" w:hAnsi="Arial"/>
          <w:sz w:val="18"/>
          <w:szCs w:val="18"/>
          <w:color w:val="auto"/>
        </w:rPr>
      </w:pPr>
    </w:p>
    <w:p>
      <w:pPr>
        <w:ind w:left="880" w:right="180" w:hanging="224"/>
        <w:spacing w:after="0" w:line="255"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competition from existing and potential future products that compete with our product candidates and any of our future product candidates, and changes in the competitive landscape of our industry, including consolidation among our competitors or partners;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delays in regulatory review or approval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level of demand for our future product candidates, if approved, which may fluctuate significantly and be difficult to predict;</w:t>
      </w:r>
    </w:p>
    <w:p>
      <w:pPr>
        <w:spacing w:after="0" w:line="117" w:lineRule="exact"/>
        <w:rPr>
          <w:rFonts w:ascii="Arial" w:cs="Arial" w:eastAsia="Arial" w:hAnsi="Arial"/>
          <w:sz w:val="18"/>
          <w:szCs w:val="18"/>
          <w:color w:val="auto"/>
        </w:rPr>
      </w:pPr>
    </w:p>
    <w:p>
      <w:pPr>
        <w:ind w:left="880" w:right="320" w:hanging="224"/>
        <w:spacing w:after="0" w:line="276"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our product candidates;</w:t>
      </w:r>
    </w:p>
    <w:p>
      <w:pPr>
        <w:spacing w:after="0" w:line="50"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 inside and outside of the United States, either independently or working with third parties;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establish and maintain future collaborations, licensing or other arrangements;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changing and volatile global economic and political environment.</w:t>
      </w:r>
    </w:p>
    <w:p>
      <w:pPr>
        <w:spacing w:after="0" w:line="212" w:lineRule="exact"/>
        <w:rPr>
          <w:sz w:val="20"/>
          <w:szCs w:val="20"/>
          <w:color w:val="auto"/>
        </w:rPr>
      </w:pPr>
    </w:p>
    <w:p>
      <w:pPr>
        <w:jc w:val="both"/>
        <w:ind w:left="120" w:right="180" w:firstLine="551"/>
        <w:spacing w:after="0" w:line="255" w:lineRule="auto"/>
        <w:rPr>
          <w:sz w:val="20"/>
          <w:szCs w:val="20"/>
          <w:color w:val="auto"/>
        </w:rPr>
      </w:pPr>
      <w:r>
        <w:rPr>
          <w:rFonts w:ascii="Arial" w:cs="Arial" w:eastAsia="Arial" w:hAnsi="Arial"/>
          <w:sz w:val="18"/>
          <w:szCs w:val="18"/>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w:t>
      </w:r>
    </w:p>
    <w:p>
      <w:pPr>
        <w:spacing w:after="0" w:line="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80"/>
          </w:cols>
          <w:pgMar w:left="320" w:top="455" w:right="49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48" w:lineRule="auto"/>
        <w:rPr>
          <w:sz w:val="20"/>
          <w:szCs w:val="20"/>
          <w:color w:val="auto"/>
        </w:rPr>
      </w:pPr>
      <w:r>
        <w:rPr>
          <w:rFonts w:ascii="Arial" w:cs="Arial" w:eastAsia="Arial" w:hAnsi="Arial"/>
          <w:sz w:val="18"/>
          <w:szCs w:val="18"/>
          <w:color w:val="auto"/>
        </w:rPr>
        <w:t>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78" w:lineRule="exact"/>
        <w:rPr>
          <w:sz w:val="20"/>
          <w:szCs w:val="20"/>
          <w:color w:val="auto"/>
        </w:rPr>
      </w:pPr>
    </w:p>
    <w:p>
      <w:pPr>
        <w:ind w:left="120" w:right="300"/>
        <w:spacing w:after="0" w:line="285" w:lineRule="auto"/>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 in the book value of your shares.</w:t>
      </w:r>
    </w:p>
    <w:p>
      <w:pPr>
        <w:spacing w:after="0" w:line="21" w:lineRule="exact"/>
        <w:rPr>
          <w:sz w:val="20"/>
          <w:szCs w:val="20"/>
          <w:color w:val="auto"/>
        </w:rPr>
      </w:pPr>
    </w:p>
    <w:p>
      <w:pPr>
        <w:ind w:left="120" w:right="420" w:firstLine="551"/>
        <w:spacing w:after="0" w:line="257" w:lineRule="auto"/>
        <w:rPr>
          <w:sz w:val="20"/>
          <w:szCs w:val="20"/>
          <w:color w:val="auto"/>
        </w:rPr>
      </w:pPr>
      <w:r>
        <w:rPr>
          <w:rFonts w:ascii="Arial" w:cs="Arial" w:eastAsia="Arial" w:hAnsi="Arial"/>
          <w:sz w:val="17"/>
          <w:szCs w:val="17"/>
          <w:color w:val="auto"/>
        </w:rPr>
        <w:t>The initial public offering price will be substantially higher than the net tangible book value per share of our common stock. Investors purchasing common stock in this offering will pay a price per share that substantially exceeds the book value of our tangible assets after subtracting our liabilities. As a result, investors purchasing common stock in this offering will incur immediate dilution of</w:t>
      </w:r>
    </w:p>
    <w:p>
      <w:pPr>
        <w:spacing w:after="0" w:line="2" w:lineRule="exact"/>
        <w:rPr>
          <w:sz w:val="20"/>
          <w:szCs w:val="20"/>
          <w:color w:val="auto"/>
        </w:rPr>
      </w:pPr>
    </w:p>
    <w:p>
      <w:pPr>
        <w:ind w:left="120"/>
        <w:spacing w:after="0" w:line="234" w:lineRule="auto"/>
        <w:rPr>
          <w:sz w:val="20"/>
          <w:szCs w:val="20"/>
          <w:color w:val="auto"/>
        </w:rPr>
      </w:pPr>
      <w:r>
        <w:rPr>
          <w:rFonts w:ascii="Arial" w:cs="Arial" w:eastAsia="Arial" w:hAnsi="Arial"/>
          <w:sz w:val="18"/>
          <w:szCs w:val="18"/>
          <w:color w:val="auto"/>
        </w:rPr>
        <w:t>approximately $ per share, representing the difference between the assumed initial public offering price of $ per share, which is the midpoint of the estimated offering price range set forth on the cover page of this prospectus, after deducting the estimated underwriting discounts and commissions and estimated offering expenses payable by us, and our pro forma as adjusted net tangible book value per share as of June 30, 2020, after giving effect to this offering and the automatic conversion of all outstanding shares of our</w:t>
      </w:r>
    </w:p>
    <w:p>
      <w:pPr>
        <w:spacing w:after="0" w:line="3" w:lineRule="exact"/>
        <w:rPr>
          <w:sz w:val="20"/>
          <w:szCs w:val="20"/>
          <w:color w:val="auto"/>
        </w:rPr>
      </w:pPr>
    </w:p>
    <w:p>
      <w:pPr>
        <w:ind w:left="120" w:right="60"/>
        <w:spacing w:after="0" w:line="234" w:lineRule="auto"/>
        <w:rPr>
          <w:sz w:val="20"/>
          <w:szCs w:val="20"/>
          <w:color w:val="auto"/>
        </w:rPr>
      </w:pPr>
      <w:r>
        <w:rPr>
          <w:rFonts w:ascii="Arial" w:cs="Arial" w:eastAsia="Arial" w:hAnsi="Arial"/>
          <w:sz w:val="18"/>
          <w:szCs w:val="18"/>
          <w:color w:val="auto"/>
        </w:rPr>
        <w:t>convertible preferred stock immediately prior to the closing of this offering. As of June 30, 2020, there were shares subject to outstanding options with a weighted-average exercise price of $ per share. To the extent these outstanding securities are ultimately</w:t>
      </w:r>
    </w:p>
    <w:p>
      <w:pPr>
        <w:spacing w:after="0" w:line="1" w:lineRule="exact"/>
        <w:rPr>
          <w:sz w:val="20"/>
          <w:szCs w:val="20"/>
          <w:color w:val="auto"/>
        </w:rPr>
      </w:pPr>
    </w:p>
    <w:p>
      <w:pPr>
        <w:jc w:val="both"/>
        <w:ind w:left="120" w:right="40"/>
        <w:spacing w:after="0" w:line="242" w:lineRule="auto"/>
        <w:rPr>
          <w:sz w:val="20"/>
          <w:szCs w:val="20"/>
          <w:color w:val="auto"/>
        </w:rPr>
      </w:pPr>
      <w:r>
        <w:rPr>
          <w:rFonts w:ascii="Arial" w:cs="Arial" w:eastAsia="Arial" w:hAnsi="Arial"/>
          <w:sz w:val="18"/>
          <w:szCs w:val="18"/>
          <w:color w:val="auto"/>
        </w:rPr>
        <w:t>exercised, investors purchasing common stock in this offering will incur further dilution. See “Dilution” for a more detailed description of the dilution to new investors in the offering. For a further description of the dilution that you will experience immediately after this offering, see the section titled “Dilution.”</w:t>
      </w:r>
    </w:p>
    <w:p>
      <w:pPr>
        <w:spacing w:after="0" w:line="283" w:lineRule="exact"/>
        <w:rPr>
          <w:sz w:val="20"/>
          <w:szCs w:val="20"/>
          <w:color w:val="auto"/>
        </w:rPr>
      </w:pPr>
    </w:p>
    <w:p>
      <w:pPr>
        <w:ind w:left="120" w:right="620"/>
        <w:spacing w:after="0" w:line="285" w:lineRule="auto"/>
        <w:rPr>
          <w:sz w:val="20"/>
          <w:szCs w:val="20"/>
          <w:color w:val="auto"/>
        </w:rPr>
      </w:pPr>
      <w:r>
        <w:rPr>
          <w:rFonts w:ascii="Arial" w:cs="Arial" w:eastAsia="Arial" w:hAnsi="Arial"/>
          <w:sz w:val="18"/>
          <w:szCs w:val="18"/>
          <w:b w:val="1"/>
          <w:bCs w:val="1"/>
          <w:i w:val="1"/>
          <w:iCs w:val="1"/>
          <w:color w:val="auto"/>
        </w:rPr>
        <w:t>Participation in this offering by our existing stockholders and/or their affiliated entities may reduce the public float for our common stock.</w:t>
      </w:r>
    </w:p>
    <w:p>
      <w:pPr>
        <w:spacing w:after="0" w:line="21"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5" w:right="4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4"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This prospectus contains forward-looking statements. All statements other than statements of historical facts contained in this prospectus, including statements regarding our future results of operations and financial position, business strategy, plans for our product candidates, planned preclinical studies and clinical trials, results of clinical trials, future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79" w:lineRule="exact"/>
        <w:rPr>
          <w:sz w:val="20"/>
          <w:szCs w:val="20"/>
          <w:color w:val="auto"/>
        </w:rPr>
      </w:pPr>
    </w:p>
    <w:p>
      <w:pPr>
        <w:jc w:val="both"/>
        <w:ind w:left="120" w:firstLine="551"/>
        <w:spacing w:after="0" w:line="277" w:lineRule="auto"/>
        <w:rPr>
          <w:sz w:val="20"/>
          <w:szCs w:val="20"/>
          <w:color w:val="auto"/>
        </w:rPr>
      </w:pPr>
      <w:r>
        <w:rPr>
          <w:rFonts w:ascii="Arial" w:cs="Arial" w:eastAsia="Arial" w:hAnsi="Arial"/>
          <w:sz w:val="17"/>
          <w:szCs w:val="17"/>
          <w:color w:val="auto"/>
        </w:rPr>
        <w:t>In some cases, you can identify forward-looking statements by terms such as “may,” “should,” “would,” “expect,” “plan,” “anticipate,” “could,” “intend,” “target,” “project,” “contemplate,” “believe,” “estimate,” “predict,” “potential” or “continue” or the negative of these terms or other similar expressions. Forward-looking statements contained in this prospectus include, but are not limited to, statements about:</w:t>
      </w:r>
    </w:p>
    <w:p>
      <w:pPr>
        <w:spacing w:after="0" w:line="52" w:lineRule="exact"/>
        <w:rPr>
          <w:sz w:val="20"/>
          <w:szCs w:val="20"/>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880" w:right="20" w:hanging="224"/>
        <w:spacing w:after="0" w:line="27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sufficiency of our existing cash, cash equivalents and short-term marketable securities to fund our future operating expenses and capital expenditure requirements;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need to raise additional funding before we can expect to generate any revenues from product sales;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880" w:right="500" w:hanging="224"/>
        <w:spacing w:after="0" w:line="27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anticipated use of our existing cash, cash equivalents and short-term marketable securities and the proceeds from this offering;</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and our ability to maximize those opportunities;</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preclinical studies, any clinical trials and, investigational new drug application, or IND, and other regulatory submissions;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17" w:lineRule="exact"/>
        <w:rPr>
          <w:rFonts w:ascii="Arial" w:cs="Arial" w:eastAsia="Arial" w:hAnsi="Arial"/>
          <w:sz w:val="18"/>
          <w:szCs w:val="18"/>
          <w:color w:val="auto"/>
        </w:rPr>
      </w:pPr>
    </w:p>
    <w:p>
      <w:pPr>
        <w:ind w:left="880" w:right="220" w:hanging="224"/>
        <w:spacing w:after="0" w:line="27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estimates of the number of patients expected to have certain p53 mutants and the number of participants that will enroll in our clinical trials;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safety and efficacy of our product candidates, and other favorable results;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plans relating to the clinical development of our product candidates, including the disease areas to be evaluated;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progress and focus of our clinical trials, and the reporting of data from those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17" w:lineRule="exact"/>
        <w:rPr>
          <w:rFonts w:ascii="Arial" w:cs="Arial" w:eastAsia="Arial" w:hAnsi="Arial"/>
          <w:sz w:val="18"/>
          <w:szCs w:val="18"/>
          <w:color w:val="auto"/>
        </w:rPr>
      </w:pPr>
    </w:p>
    <w:p>
      <w:pPr>
        <w:ind w:left="880" w:right="440" w:hanging="224"/>
        <w:spacing w:after="0" w:line="27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expected benefits of potential future strategic collaborations with third parties and our ability to attract collaborators with development, regulatory and commercialization expertise;</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80"/>
          </w:cols>
          <w:pgMar w:left="320" w:top="455" w:right="49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our expectation to seek special designations, such as orphan drug designation, for our product candidates;</w:t>
      </w:r>
    </w:p>
    <w:p>
      <w:pPr>
        <w:spacing w:after="0" w:line="50"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for additional indications that we may pursue;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plan to rely on third parties to conduct and support preclinical and clinical development;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personnel and to identify, hire, and then retain additional qualified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impact of the ongoing COVID-19 pandemic or other related disruptions on our business; and</w:t>
      </w:r>
    </w:p>
    <w:p>
      <w:pPr>
        <w:spacing w:after="0" w:line="117" w:lineRule="exact"/>
        <w:rPr>
          <w:rFonts w:ascii="Arial" w:cs="Arial" w:eastAsia="Arial" w:hAnsi="Arial"/>
          <w:sz w:val="18"/>
          <w:szCs w:val="18"/>
          <w:color w:val="auto"/>
        </w:rPr>
      </w:pPr>
    </w:p>
    <w:p>
      <w:pPr>
        <w:ind w:left="880" w:right="400" w:hanging="224"/>
        <w:spacing w:after="0" w:line="276"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 as amended.</w:t>
      </w:r>
    </w:p>
    <w:p>
      <w:pPr>
        <w:spacing w:after="0" w:line="145" w:lineRule="exact"/>
        <w:rPr>
          <w:sz w:val="20"/>
          <w:szCs w:val="20"/>
          <w:color w:val="auto"/>
        </w:rPr>
      </w:pPr>
    </w:p>
    <w:p>
      <w:pPr>
        <w:ind w:left="120" w:right="100" w:firstLine="551"/>
        <w:spacing w:after="0" w:line="23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80" w:lineRule="exact"/>
        <w:rPr>
          <w:sz w:val="20"/>
          <w:szCs w:val="20"/>
          <w:color w:val="auto"/>
        </w:rPr>
      </w:pPr>
    </w:p>
    <w:p>
      <w:pPr>
        <w:ind w:left="120" w:right="220" w:firstLine="551"/>
        <w:spacing w:after="0" w:line="245"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72" w:lineRule="exact"/>
        <w:rPr>
          <w:sz w:val="20"/>
          <w:szCs w:val="20"/>
          <w:color w:val="auto"/>
        </w:rPr>
      </w:pPr>
    </w:p>
    <w:p>
      <w:pPr>
        <w:ind w:left="120" w:right="480" w:firstLine="551"/>
        <w:spacing w:after="0" w:line="248"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1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We estimate that the net proceeds to us from the sale of the shares of our common stock in this offering will be approximately $ million, or approximately $ million if the underwriters exercise their option to purchase additional shares in full, based upon the assumed initial public offering price of $ per share, which is the midpoint of the estimated offering price range set forth on the cover page of this prospectus, and after deducting estimated underwriting discounts and commissions and estimated offering expenses payable by us.</w:t>
      </w:r>
    </w:p>
    <w:p>
      <w:pPr>
        <w:spacing w:after="0" w:line="383" w:lineRule="exact"/>
        <w:rPr>
          <w:sz w:val="20"/>
          <w:szCs w:val="20"/>
          <w:color w:val="auto"/>
        </w:rPr>
      </w:pPr>
    </w:p>
    <w:p>
      <w:pPr>
        <w:jc w:val="both"/>
        <w:ind w:left="120" w:right="120" w:firstLine="551"/>
        <w:spacing w:after="0" w:line="247" w:lineRule="auto"/>
        <w:rPr>
          <w:sz w:val="20"/>
          <w:szCs w:val="20"/>
          <w:color w:val="auto"/>
        </w:rPr>
      </w:pPr>
      <w:r>
        <w:rPr>
          <w:rFonts w:ascii="Arial" w:cs="Arial" w:eastAsia="Arial" w:hAnsi="Arial"/>
          <w:sz w:val="18"/>
          <w:szCs w:val="18"/>
          <w:color w:val="auto"/>
        </w:rPr>
        <w:t>Each $1.00 increase or decrease in the assumed initial public offering price of $ per share would increase or decrease the net proceeds to us from this offering by approximately $ million, assuming the number of shares offered by us, as set forth on the</w:t>
      </w:r>
    </w:p>
    <w:p>
      <w:pPr>
        <w:spacing w:after="0" w:line="1" w:lineRule="exact"/>
        <w:rPr>
          <w:sz w:val="20"/>
          <w:szCs w:val="20"/>
          <w:color w:val="auto"/>
        </w:rPr>
      </w:pPr>
    </w:p>
    <w:p>
      <w:pPr>
        <w:ind w:left="120" w:right="160"/>
        <w:spacing w:after="0" w:line="248" w:lineRule="auto"/>
        <w:rPr>
          <w:sz w:val="20"/>
          <w:szCs w:val="20"/>
          <w:color w:val="auto"/>
        </w:rPr>
      </w:pPr>
      <w:r>
        <w:rPr>
          <w:rFonts w:ascii="Arial" w:cs="Arial" w:eastAsia="Arial" w:hAnsi="Arial"/>
          <w:sz w:val="17"/>
          <w:szCs w:val="17"/>
          <w:color w:val="auto"/>
        </w:rPr>
        <w:t>cover page of this prospectus, remains the same, and after deducting estimated underwriting discounts and commissions and estimated offering expenses payable by us. Similarly, each increase or decrease of 1.0 million shares in the number of shares offered by us would</w:t>
      </w:r>
    </w:p>
    <w:p>
      <w:pPr>
        <w:spacing w:after="0" w:line="1" w:lineRule="exact"/>
        <w:rPr>
          <w:sz w:val="20"/>
          <w:szCs w:val="20"/>
          <w:color w:val="auto"/>
        </w:rPr>
      </w:pPr>
    </w:p>
    <w:p>
      <w:pPr>
        <w:jc w:val="both"/>
        <w:ind w:left="120" w:right="40"/>
        <w:spacing w:after="0" w:line="239" w:lineRule="auto"/>
        <w:rPr>
          <w:sz w:val="20"/>
          <w:szCs w:val="20"/>
          <w:color w:val="auto"/>
        </w:rPr>
      </w:pPr>
      <w:r>
        <w:rPr>
          <w:rFonts w:ascii="Arial" w:cs="Arial" w:eastAsia="Arial" w:hAnsi="Arial"/>
          <w:sz w:val="18"/>
          <w:szCs w:val="18"/>
          <w:color w:val="auto"/>
        </w:rPr>
        <w:t>increase or decrease the net proceeds to us from this offering by approximately $ million, assuming that the assumed initial public offering price remains the same, and after deducting estimated underwriting discounts and commissions and estimated offering expenses payable by us. We do not expect that a change in the initial public offering price or the number of shares by these amounts would have a material effect on our uses of the proceeds from this offering, although it may accelerate the time at which we will need to seek additional capital.</w:t>
      </w:r>
    </w:p>
    <w:p>
      <w:pPr>
        <w:spacing w:after="0" w:line="176"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establish a public market for our common stock and facilitate our future access to the public capital markets. We currently anticipate that we will use the net proceeds from this offering, together with our existing cash, cash equivalents and short-term marketable securities, as follows:</w:t>
      </w:r>
    </w:p>
    <w:p>
      <w:pPr>
        <w:spacing w:after="0" w:line="69" w:lineRule="exact"/>
        <w:rPr>
          <w:sz w:val="20"/>
          <w:szCs w:val="20"/>
          <w:color w:val="auto"/>
        </w:rPr>
      </w:pPr>
    </w:p>
    <w:p>
      <w:pPr>
        <w:ind w:left="88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7"/>
          <w:szCs w:val="17"/>
          <w:color w:val="auto"/>
        </w:rPr>
        <w:t>million to fund the Phase 1/2 development of PC14586;</w:t>
      </w:r>
    </w:p>
    <w:p>
      <w:pPr>
        <w:spacing w:after="0" w:line="117" w:lineRule="exact"/>
        <w:rPr>
          <w:rFonts w:ascii="Arial" w:cs="Arial" w:eastAsia="Arial" w:hAnsi="Arial"/>
          <w:sz w:val="18"/>
          <w:szCs w:val="18"/>
          <w:color w:val="auto"/>
        </w:rPr>
      </w:pPr>
    </w:p>
    <w:p>
      <w:pPr>
        <w:ind w:left="880" w:right="680" w:hanging="224"/>
        <w:spacing w:after="0" w:line="276"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approximately $ million to support the development of our next p53 hotspot mutation product candidate, including IND-enabling studies;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approximately $million for the development of our pipeline discovery programs; and</w:t>
      </w:r>
    </w:p>
    <w:p>
      <w:pPr>
        <w:spacing w:after="0" w:line="117" w:lineRule="exact"/>
        <w:rPr>
          <w:rFonts w:ascii="Arial" w:cs="Arial" w:eastAsia="Arial" w:hAnsi="Arial"/>
          <w:sz w:val="18"/>
          <w:szCs w:val="18"/>
          <w:color w:val="auto"/>
        </w:rPr>
      </w:pPr>
    </w:p>
    <w:p>
      <w:pPr>
        <w:ind w:left="880" w:right="680" w:hanging="224"/>
        <w:spacing w:after="0" w:line="276"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remaining proceeds, if any, for other research and development opportunities, working capital and general corporate purposes.</w:t>
      </w:r>
    </w:p>
    <w:p>
      <w:pPr>
        <w:spacing w:after="0" w:line="145" w:lineRule="exact"/>
        <w:rPr>
          <w:sz w:val="20"/>
          <w:szCs w:val="20"/>
          <w:color w:val="auto"/>
        </w:rPr>
      </w:pPr>
    </w:p>
    <w:p>
      <w:pPr>
        <w:ind w:left="120" w:right="240" w:firstLine="551"/>
        <w:spacing w:after="0" w:line="262" w:lineRule="auto"/>
        <w:rPr>
          <w:sz w:val="20"/>
          <w:szCs w:val="20"/>
          <w:color w:val="auto"/>
        </w:rPr>
      </w:pPr>
      <w:r>
        <w:rPr>
          <w:rFonts w:ascii="Arial" w:cs="Arial" w:eastAsia="Arial" w:hAnsi="Arial"/>
          <w:sz w:val="17"/>
          <w:szCs w:val="17"/>
          <w:color w:val="auto"/>
        </w:rPr>
        <w:t>Based upon our current operating plan, we believe that the anticipated net proceeds from this offering, together with our existing cash, cash equivalents and short-term marketable securities, will enable us to fund our operating expenses and capital expenditure</w:t>
      </w:r>
    </w:p>
    <w:p>
      <w:pPr>
        <w:ind w:left="120" w:right="180"/>
        <w:spacing w:after="0" w:line="250" w:lineRule="auto"/>
        <w:rPr>
          <w:sz w:val="20"/>
          <w:szCs w:val="20"/>
          <w:color w:val="auto"/>
        </w:rPr>
      </w:pPr>
      <w:r>
        <w:rPr>
          <w:rFonts w:ascii="Arial" w:cs="Arial" w:eastAsia="Arial" w:hAnsi="Arial"/>
          <w:sz w:val="18"/>
          <w:szCs w:val="18"/>
          <w:color w:val="auto"/>
        </w:rPr>
        <w:t>requirements through . The expected net proceeds of this offering will not be sufficient for us to complete the development and commercialization of our product candidates, and we will need to raise substantial additional capital.</w:t>
      </w:r>
    </w:p>
    <w:p>
      <w:pPr>
        <w:spacing w:after="0" w:line="168"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expected use of the net proceeds from the offering represents our intentions based upon our current plans and business conditions. Changing circumstances, some of which may be beyond our control, could cause us to consume capital significantly faster than we currently anticipate, and we may need to seek additional funds sooner than planned. In addition, we believe opportunities may exist from time to time to expand our current business through license or acquisitions of, or investments in, complementary businesses, products or technologies. While we have no current agreements, commitments or understandings for any specific licenses, acquisitions or investments at this time, we may use a portion of the net proceeds for these purposes.</w:t>
      </w:r>
    </w:p>
    <w:p>
      <w:pPr>
        <w:spacing w:after="0" w:line="174"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Our management will have broad discretion over the use of the net proceeds from this offering, and our investors will be relying on the judgment of our management regarding the application of the net proceeds of this offering. The amounts and timing of our expenditures will depend upon numerous</w:t>
      </w:r>
    </w:p>
    <w:p>
      <w:pPr>
        <w:spacing w:after="0" w:line="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80"/>
          </w:cols>
          <w:pgMar w:left="320" w:top="455" w:right="49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factors including the results of our research and development efforts, the timing and success of preclinical studies and any ongoing clinical trials or clinical trials we may commence in the future, the timing of regulatory submissions, the amount of cash obtained through our future collaborations, if any, and any unforeseen cash needs.</w:t>
      </w:r>
    </w:p>
    <w:p>
      <w:pPr>
        <w:spacing w:after="0" w:line="164"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Pending their uses, we plan to invest the net proceeds of this offering in short-term, interest-bearing, investment-grade instruments, certificates of deposit or direct or guaranteed obligations of the U.S. government.</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00"/>
          </w:cols>
          <w:pgMar w:left="320" w:top="455" w:right="47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DIVIDEND POLICY</w:t>
      </w:r>
    </w:p>
    <w:p>
      <w:pPr>
        <w:spacing w:after="0" w:line="21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800"/>
          </w:cols>
          <w:pgMar w:left="320" w:top="455" w:right="77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CAPITALIZATION</w:t>
      </w:r>
    </w:p>
    <w:p>
      <w:pPr>
        <w:spacing w:after="0" w:line="214" w:lineRule="exact"/>
        <w:rPr>
          <w:sz w:val="20"/>
          <w:szCs w:val="20"/>
          <w:color w:val="auto"/>
        </w:rPr>
      </w:pPr>
    </w:p>
    <w:p>
      <w:pPr>
        <w:ind w:left="120" w:right="280" w:firstLine="551"/>
        <w:spacing w:after="0" w:line="276" w:lineRule="auto"/>
        <w:rPr>
          <w:sz w:val="20"/>
          <w:szCs w:val="20"/>
          <w:color w:val="auto"/>
        </w:rPr>
      </w:pPr>
      <w:r>
        <w:rPr>
          <w:rFonts w:ascii="Arial" w:cs="Arial" w:eastAsia="Arial" w:hAnsi="Arial"/>
          <w:sz w:val="18"/>
          <w:szCs w:val="18"/>
          <w:color w:val="auto"/>
        </w:rPr>
        <w:t>The following table sets forth our cash, cash equivalents and short-term marketable securities and capitalization as of June 30, 2020, as follows:</w:t>
      </w:r>
    </w:p>
    <w:p>
      <w:pPr>
        <w:spacing w:after="0" w:line="50" w:lineRule="exact"/>
        <w:rPr>
          <w:sz w:val="20"/>
          <w:szCs w:val="20"/>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on a pro forma basis to reflect (i) the conversion of all outstanding shares of our convertible preferred stock as of June 30, 2020</w:t>
      </w:r>
    </w:p>
    <w:p>
      <w:pPr>
        <w:spacing w:after="0" w:line="29" w:lineRule="exact"/>
        <w:rPr>
          <w:sz w:val="20"/>
          <w:szCs w:val="20"/>
          <w:color w:val="auto"/>
        </w:rPr>
      </w:pPr>
    </w:p>
    <w:p>
      <w:pPr>
        <w:ind w:left="880" w:right="20"/>
        <w:spacing w:after="0" w:line="242" w:lineRule="auto"/>
        <w:rPr>
          <w:sz w:val="20"/>
          <w:szCs w:val="20"/>
          <w:color w:val="auto"/>
        </w:rPr>
      </w:pPr>
      <w:r>
        <w:rPr>
          <w:rFonts w:ascii="Arial" w:cs="Arial" w:eastAsia="Arial" w:hAnsi="Arial"/>
          <w:sz w:val="18"/>
          <w:szCs w:val="18"/>
          <w:color w:val="auto"/>
        </w:rPr>
        <w:t>into an aggregate of shares of common stock, which will occur immediately prior to the completion of this offering, and the resulting reclassification of the convertible preferred stock and (ii) the filing and effectiveness of our amended and restated certificate of incorporation, which will occur immediately prior to the completion of this offering; and</w:t>
      </w:r>
    </w:p>
    <w:p>
      <w:pPr>
        <w:spacing w:after="0" w:line="81" w:lineRule="exact"/>
        <w:rPr>
          <w:sz w:val="20"/>
          <w:szCs w:val="20"/>
          <w:color w:val="auto"/>
        </w:rPr>
      </w:pPr>
    </w:p>
    <w:p>
      <w:pPr>
        <w:jc w:val="both"/>
        <w:ind w:left="880" w:right="100" w:hanging="219"/>
        <w:spacing w:after="0" w:line="247" w:lineRule="auto"/>
        <w:tabs>
          <w:tab w:leader="none" w:pos="860" w:val="left"/>
        </w:tabs>
        <w:rPr>
          <w:sz w:val="20"/>
          <w:szCs w:val="20"/>
          <w:color w:val="auto"/>
        </w:rPr>
      </w:pPr>
      <w:r>
        <w:rPr>
          <w:rFonts w:ascii="Arial" w:cs="Arial" w:eastAsia="Arial" w:hAnsi="Arial"/>
          <w:sz w:val="18"/>
          <w:szCs w:val="18"/>
          <w:color w:val="auto"/>
        </w:rPr>
        <w:t>•</w:t>
        <w:tab/>
        <w:t>on a pro forma as adjusted basis to further reflect our issuance and sale of        shares of common stock in this offering at the assumed initial public offering price of $        per share, which is the midpoint of the estimated offering price range set</w:t>
      </w:r>
    </w:p>
    <w:p>
      <w:pPr>
        <w:spacing w:after="0" w:line="1" w:lineRule="exact"/>
        <w:rPr>
          <w:sz w:val="20"/>
          <w:szCs w:val="20"/>
          <w:color w:val="auto"/>
        </w:rPr>
      </w:pPr>
    </w:p>
    <w:p>
      <w:pPr>
        <w:ind w:left="880" w:right="240"/>
        <w:spacing w:after="0" w:line="250" w:lineRule="auto"/>
        <w:rPr>
          <w:sz w:val="20"/>
          <w:szCs w:val="20"/>
          <w:color w:val="auto"/>
        </w:rPr>
      </w:pPr>
      <w:r>
        <w:rPr>
          <w:rFonts w:ascii="Arial" w:cs="Arial" w:eastAsia="Arial" w:hAnsi="Arial"/>
          <w:sz w:val="18"/>
          <w:szCs w:val="18"/>
          <w:color w:val="auto"/>
        </w:rPr>
        <w:t>forth on the cover page of this prospectus, after deducting estimated underwriting discounts and commissions and estimated offering expenses payable by us.</w:t>
      </w:r>
    </w:p>
    <w:p>
      <w:pPr>
        <w:spacing w:after="0" w:line="10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320" w:top="455" w:right="57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You should read this information in conjunction with our financial statements and the related notes (including Note 8 as it relates to the calculation of our outstanding shares of common stock) appearing elsewhere in this prospectus, as well as the sections of this prospectus titled “Selected Financial Data” and “Management’s Discussion and Analysis of Financial Condition and Results of Operations.”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ind w:left="135"/>
              <w:spacing w:after="0"/>
              <w:rPr>
                <w:sz w:val="20"/>
                <w:szCs w:val="20"/>
                <w:color w:val="auto"/>
              </w:rPr>
            </w:pPr>
            <w:r>
              <w:rPr>
                <w:rFonts w:ascii="Arial" w:cs="Arial" w:eastAsia="Arial" w:hAnsi="Arial"/>
                <w:sz w:val="14"/>
                <w:szCs w:val="14"/>
                <w:b w:val="1"/>
                <w:bCs w:val="1"/>
                <w:color w:val="auto"/>
              </w:rPr>
              <w:t>As of June 30, 2020</w:t>
            </w:r>
          </w:p>
        </w:tc>
        <w:tc>
          <w:tcPr>
            <w:tcW w:w="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37"/>
        </w:trPr>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Pro Forma as</w:t>
            </w:r>
          </w:p>
        </w:tc>
        <w:tc>
          <w:tcPr>
            <w:tcW w:w="60" w:type="dxa"/>
            <w:vAlign w:val="bottom"/>
          </w:tcPr>
          <w:p>
            <w:pPr>
              <w:spacing w:after="0"/>
              <w:rPr>
                <w:sz w:val="11"/>
                <w:szCs w:val="11"/>
                <w:color w:val="auto"/>
              </w:rPr>
            </w:pPr>
          </w:p>
        </w:tc>
      </w:tr>
      <w:tr>
        <w:trPr>
          <w:trHeight w:val="181"/>
        </w:trPr>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5"/>
                <w:szCs w:val="15"/>
                <w:color w:val="auto"/>
              </w:rPr>
            </w:pPr>
          </w:p>
        </w:tc>
        <w:tc>
          <w:tcPr>
            <w:tcW w:w="1000" w:type="dxa"/>
            <w:vAlign w:val="bottom"/>
            <w:gridSpan w:val="2"/>
          </w:tcPr>
          <w:p>
            <w:pPr>
              <w:jc w:val="right"/>
              <w:ind w:right="140"/>
              <w:spacing w:after="0" w:line="181" w:lineRule="exact"/>
              <w:rPr>
                <w:sz w:val="20"/>
                <w:szCs w:val="20"/>
                <w:color w:val="auto"/>
              </w:rPr>
            </w:pPr>
            <w:r>
              <w:rPr>
                <w:rFonts w:ascii="Arial" w:cs="Arial" w:eastAsia="Arial" w:hAnsi="Arial"/>
                <w:sz w:val="12"/>
                <w:szCs w:val="12"/>
                <w:b w:val="1"/>
                <w:bCs w:val="1"/>
                <w:color w:val="auto"/>
              </w:rPr>
              <w:t>Adjusted</w:t>
            </w:r>
            <w:r>
              <w:rPr>
                <w:rFonts w:ascii="Arial" w:cs="Arial" w:eastAsia="Arial" w:hAnsi="Arial"/>
                <w:sz w:val="20"/>
                <w:szCs w:val="20"/>
                <w:b w:val="1"/>
                <w:bCs w:val="1"/>
                <w:color w:val="auto"/>
                <w:vertAlign w:val="superscript"/>
              </w:rPr>
              <w:t>(1)</w:t>
            </w:r>
          </w:p>
        </w:tc>
      </w:tr>
      <w:tr>
        <w:trPr>
          <w:trHeight w:val="140"/>
        </w:trPr>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400" w:type="dxa"/>
            <w:vAlign w:val="bottom"/>
            <w:tcBorders>
              <w:top w:val="single" w:sz="8" w:color="auto"/>
            </w:tcBorders>
            <w:gridSpan w:val="7"/>
          </w:tcPr>
          <w:p>
            <w:pPr>
              <w:jc w:val="center"/>
              <w:spacing w:after="0" w:line="141" w:lineRule="exact"/>
              <w:rPr>
                <w:sz w:val="20"/>
                <w:szCs w:val="20"/>
                <w:color w:val="auto"/>
              </w:rPr>
            </w:pPr>
            <w:r>
              <w:rPr>
                <w:rFonts w:ascii="Arial" w:cs="Arial" w:eastAsia="Arial" w:hAnsi="Arial"/>
                <w:sz w:val="14"/>
                <w:szCs w:val="14"/>
                <w:b w:val="1"/>
                <w:bCs w:val="1"/>
                <w:color w:val="auto"/>
              </w:rPr>
              <w:t>(in thousands except per share data)</w:t>
            </w:r>
          </w:p>
        </w:tc>
        <w:tc>
          <w:tcPr>
            <w:tcW w:w="60" w:type="dxa"/>
            <w:vAlign w:val="bottom"/>
          </w:tcPr>
          <w:p>
            <w:pPr>
              <w:spacing w:after="0"/>
              <w:rPr>
                <w:sz w:val="12"/>
                <w:szCs w:val="12"/>
                <w:color w:val="auto"/>
              </w:rPr>
            </w:pPr>
          </w:p>
        </w:tc>
      </w:tr>
      <w:tr>
        <w:trPr>
          <w:trHeight w:val="177"/>
        </w:trPr>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(unaudited)</w:t>
            </w: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5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cash equivalents and short-term marketable securities</w:t>
            </w:r>
          </w:p>
        </w:tc>
        <w:tc>
          <w:tcPr>
            <w:tcW w:w="7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1220" w:type="dxa"/>
            <w:vAlign w:val="bottom"/>
            <w:gridSpan w:val="3"/>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4"/>
        </w:trPr>
        <w:tc>
          <w:tcPr>
            <w:tcW w:w="7560" w:type="dxa"/>
            <w:vAlign w:val="bottom"/>
            <w:gridSpan w:val="6"/>
          </w:tcPr>
          <w:p>
            <w:pPr>
              <w:spacing w:after="0" w:line="174" w:lineRule="exact"/>
              <w:rPr>
                <w:sz w:val="20"/>
                <w:szCs w:val="20"/>
                <w:color w:val="auto"/>
              </w:rPr>
            </w:pPr>
            <w:r>
              <w:rPr>
                <w:rFonts w:ascii="Arial" w:cs="Arial" w:eastAsia="Arial" w:hAnsi="Arial"/>
                <w:sz w:val="18"/>
                <w:szCs w:val="18"/>
                <w:color w:val="auto"/>
              </w:rPr>
              <w:t>Convertible preferred stock, $0.00001 par value per share; 120,483,538 shares</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160" w:type="dxa"/>
            <w:vAlign w:val="bottom"/>
          </w:tcPr>
          <w:p>
            <w:pPr>
              <w:spacing w:after="0"/>
              <w:rPr>
                <w:sz w:val="17"/>
                <w:szCs w:val="17"/>
                <w:color w:val="auto"/>
              </w:rPr>
            </w:pPr>
          </w:p>
        </w:tc>
        <w:tc>
          <w:tcPr>
            <w:tcW w:w="8060" w:type="dxa"/>
            <w:vAlign w:val="bottom"/>
            <w:gridSpan w:val="6"/>
          </w:tcPr>
          <w:p>
            <w:pPr>
              <w:ind w:left="20"/>
              <w:spacing w:after="0" w:line="202" w:lineRule="exact"/>
              <w:rPr>
                <w:sz w:val="20"/>
                <w:szCs w:val="20"/>
                <w:color w:val="auto"/>
              </w:rPr>
            </w:pPr>
            <w:r>
              <w:rPr>
                <w:rFonts w:ascii="Arial" w:cs="Arial" w:eastAsia="Arial" w:hAnsi="Arial"/>
                <w:sz w:val="18"/>
                <w:szCs w:val="18"/>
                <w:color w:val="auto"/>
              </w:rPr>
              <w:t>authorized, 120,393,150 shares issued and outstanding, actual; no shares authorized,</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160" w:type="dxa"/>
            <w:vAlign w:val="bottom"/>
          </w:tcPr>
          <w:p>
            <w:pPr>
              <w:spacing w:after="0"/>
              <w:rPr>
                <w:sz w:val="19"/>
                <w:szCs w:val="19"/>
                <w:color w:val="auto"/>
              </w:rPr>
            </w:pPr>
          </w:p>
        </w:tc>
        <w:tc>
          <w:tcPr>
            <w:tcW w:w="4900" w:type="dxa"/>
            <w:vAlign w:val="bottom"/>
            <w:gridSpan w:val="3"/>
          </w:tcPr>
          <w:p>
            <w:pPr>
              <w:ind w:left="20"/>
              <w:spacing w:after="0"/>
              <w:rPr>
                <w:sz w:val="20"/>
                <w:szCs w:val="20"/>
                <w:color w:val="auto"/>
              </w:rPr>
            </w:pPr>
            <w:r>
              <w:rPr>
                <w:rFonts w:ascii="Arial" w:cs="Arial" w:eastAsia="Arial" w:hAnsi="Arial"/>
                <w:sz w:val="18"/>
                <w:szCs w:val="18"/>
                <w:color w:val="auto"/>
              </w:rPr>
              <w:t>issued or outstanding pro forma and pro forma as adjusted</w:t>
            </w:r>
          </w:p>
        </w:tc>
        <w:tc>
          <w:tcPr>
            <w:tcW w:w="7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50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Stockholders’ equity (deficit):</w:t>
            </w:r>
          </w:p>
        </w:tc>
        <w:tc>
          <w:tcPr>
            <w:tcW w:w="7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80"/>
        </w:trPr>
        <w:tc>
          <w:tcPr>
            <w:tcW w:w="160" w:type="dxa"/>
            <w:vAlign w:val="bottom"/>
          </w:tcPr>
          <w:p>
            <w:pPr>
              <w:spacing w:after="0"/>
              <w:rPr>
                <w:sz w:val="15"/>
                <w:szCs w:val="15"/>
                <w:color w:val="auto"/>
              </w:rPr>
            </w:pPr>
          </w:p>
        </w:tc>
        <w:tc>
          <w:tcPr>
            <w:tcW w:w="8060" w:type="dxa"/>
            <w:vAlign w:val="bottom"/>
            <w:gridSpan w:val="6"/>
          </w:tcPr>
          <w:p>
            <w:pPr>
              <w:ind w:left="200"/>
              <w:spacing w:after="0" w:line="180" w:lineRule="exact"/>
              <w:rPr>
                <w:sz w:val="20"/>
                <w:szCs w:val="20"/>
                <w:color w:val="auto"/>
              </w:rPr>
            </w:pPr>
            <w:r>
              <w:rPr>
                <w:rFonts w:ascii="Arial" w:cs="Arial" w:eastAsia="Arial" w:hAnsi="Arial"/>
                <w:sz w:val="18"/>
                <w:szCs w:val="18"/>
                <w:color w:val="auto"/>
              </w:rPr>
              <w:t>Preferred stock, $0.00001 par value; no shares authorized, issued or outstanding,</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160" w:type="dxa"/>
            <w:vAlign w:val="bottom"/>
          </w:tcPr>
          <w:p>
            <w:pPr>
              <w:spacing w:after="0"/>
              <w:rPr>
                <w:sz w:val="17"/>
                <w:szCs w:val="17"/>
                <w:color w:val="auto"/>
              </w:rPr>
            </w:pPr>
          </w:p>
        </w:tc>
        <w:tc>
          <w:tcPr>
            <w:tcW w:w="960" w:type="dxa"/>
            <w:vAlign w:val="bottom"/>
          </w:tcPr>
          <w:p>
            <w:pPr>
              <w:ind w:left="380"/>
              <w:spacing w:after="0" w:line="202" w:lineRule="exact"/>
              <w:rPr>
                <w:sz w:val="20"/>
                <w:szCs w:val="20"/>
                <w:color w:val="auto"/>
              </w:rPr>
            </w:pPr>
            <w:r>
              <w:rPr>
                <w:rFonts w:ascii="Arial" w:cs="Arial" w:eastAsia="Arial" w:hAnsi="Arial"/>
                <w:sz w:val="18"/>
                <w:szCs w:val="18"/>
                <w:color w:val="auto"/>
              </w:rPr>
              <w:t>actual;</w:t>
            </w:r>
          </w:p>
        </w:tc>
        <w:tc>
          <w:tcPr>
            <w:tcW w:w="100" w:type="dxa"/>
            <w:vAlign w:val="bottom"/>
          </w:tcPr>
          <w:p>
            <w:pPr>
              <w:spacing w:after="0"/>
              <w:rPr>
                <w:sz w:val="17"/>
                <w:szCs w:val="17"/>
                <w:color w:val="auto"/>
              </w:rPr>
            </w:pPr>
          </w:p>
        </w:tc>
        <w:tc>
          <w:tcPr>
            <w:tcW w:w="7000" w:type="dxa"/>
            <w:vAlign w:val="bottom"/>
            <w:gridSpan w:val="4"/>
          </w:tcPr>
          <w:p>
            <w:pPr>
              <w:jc w:val="right"/>
              <w:ind w:right="1179"/>
              <w:spacing w:after="0" w:line="202" w:lineRule="exact"/>
              <w:rPr>
                <w:sz w:val="20"/>
                <w:szCs w:val="20"/>
                <w:color w:val="auto"/>
              </w:rPr>
            </w:pPr>
            <w:r>
              <w:rPr>
                <w:rFonts w:ascii="Arial" w:cs="Arial" w:eastAsia="Arial" w:hAnsi="Arial"/>
                <w:sz w:val="18"/>
                <w:szCs w:val="18"/>
                <w:color w:val="auto"/>
              </w:rPr>
              <w:t>shares authorized and no shares issued or outstanding, pro forma</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160" w:type="dxa"/>
            <w:vAlign w:val="bottom"/>
          </w:tcPr>
          <w:p>
            <w:pPr>
              <w:spacing w:after="0"/>
              <w:rPr>
                <w:sz w:val="19"/>
                <w:szCs w:val="19"/>
                <w:color w:val="auto"/>
              </w:rPr>
            </w:pPr>
          </w:p>
        </w:tc>
        <w:tc>
          <w:tcPr>
            <w:tcW w:w="4900" w:type="dxa"/>
            <w:vAlign w:val="bottom"/>
            <w:gridSpan w:val="3"/>
          </w:tcPr>
          <w:p>
            <w:pPr>
              <w:ind w:left="380"/>
              <w:spacing w:after="0"/>
              <w:rPr>
                <w:sz w:val="20"/>
                <w:szCs w:val="20"/>
                <w:color w:val="auto"/>
              </w:rPr>
            </w:pPr>
            <w:r>
              <w:rPr>
                <w:rFonts w:ascii="Arial" w:cs="Arial" w:eastAsia="Arial" w:hAnsi="Arial"/>
                <w:sz w:val="18"/>
                <w:szCs w:val="18"/>
                <w:color w:val="auto"/>
              </w:rPr>
              <w:t>and pro forma as adjusted</w:t>
            </w:r>
          </w:p>
        </w:tc>
        <w:tc>
          <w:tcPr>
            <w:tcW w:w="7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80"/>
        </w:trPr>
        <w:tc>
          <w:tcPr>
            <w:tcW w:w="160" w:type="dxa"/>
            <w:vAlign w:val="bottom"/>
            <w:shd w:val="clear" w:color="auto" w:fill="CCEEFF"/>
          </w:tcPr>
          <w:p>
            <w:pPr>
              <w:spacing w:after="0"/>
              <w:rPr>
                <w:sz w:val="15"/>
                <w:szCs w:val="15"/>
                <w:color w:val="auto"/>
              </w:rPr>
            </w:pPr>
          </w:p>
        </w:tc>
        <w:tc>
          <w:tcPr>
            <w:tcW w:w="8060" w:type="dxa"/>
            <w:vAlign w:val="bottom"/>
            <w:gridSpan w:val="6"/>
            <w:shd w:val="clear" w:color="auto" w:fill="CCEEFF"/>
          </w:tcPr>
          <w:p>
            <w:pPr>
              <w:ind w:left="200"/>
              <w:spacing w:after="0" w:line="180" w:lineRule="exact"/>
              <w:rPr>
                <w:sz w:val="20"/>
                <w:szCs w:val="20"/>
                <w:color w:val="auto"/>
              </w:rPr>
            </w:pPr>
            <w:r>
              <w:rPr>
                <w:rFonts w:ascii="Arial" w:cs="Arial" w:eastAsia="Arial" w:hAnsi="Arial"/>
                <w:sz w:val="18"/>
                <w:szCs w:val="18"/>
                <w:color w:val="auto"/>
              </w:rPr>
              <w:t>Common stock, $0.00001 par value per share; 175,068,944 shares authorized,</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160" w:type="dxa"/>
            <w:vAlign w:val="bottom"/>
            <w:shd w:val="clear" w:color="auto" w:fill="CCEEFF"/>
          </w:tcPr>
          <w:p>
            <w:pPr>
              <w:spacing w:after="0"/>
              <w:rPr>
                <w:sz w:val="17"/>
                <w:szCs w:val="17"/>
                <w:color w:val="auto"/>
              </w:rPr>
            </w:pPr>
          </w:p>
        </w:tc>
        <w:tc>
          <w:tcPr>
            <w:tcW w:w="4900" w:type="dxa"/>
            <w:vAlign w:val="bottom"/>
            <w:gridSpan w:val="3"/>
            <w:shd w:val="clear" w:color="auto" w:fill="CCEEFF"/>
          </w:tcPr>
          <w:p>
            <w:pPr>
              <w:ind w:left="380"/>
              <w:spacing w:after="0" w:line="202" w:lineRule="exact"/>
              <w:rPr>
                <w:sz w:val="20"/>
                <w:szCs w:val="20"/>
                <w:color w:val="auto"/>
              </w:rPr>
            </w:pPr>
            <w:r>
              <w:rPr>
                <w:rFonts w:ascii="Arial" w:cs="Arial" w:eastAsia="Arial" w:hAnsi="Arial"/>
                <w:sz w:val="18"/>
                <w:szCs w:val="18"/>
                <w:color w:val="auto"/>
              </w:rPr>
              <w:t>16,038,590 shares issued and outstanding, actual;</w:t>
            </w:r>
          </w:p>
        </w:tc>
        <w:tc>
          <w:tcPr>
            <w:tcW w:w="3160" w:type="dxa"/>
            <w:vAlign w:val="bottom"/>
            <w:gridSpan w:val="3"/>
            <w:shd w:val="clear" w:color="auto" w:fill="CCEEFF"/>
          </w:tcPr>
          <w:p>
            <w:pPr>
              <w:jc w:val="right"/>
              <w:ind w:right="1399"/>
              <w:spacing w:after="0" w:line="202" w:lineRule="exact"/>
              <w:rPr>
                <w:sz w:val="20"/>
                <w:szCs w:val="20"/>
                <w:color w:val="auto"/>
              </w:rPr>
            </w:pPr>
            <w:r>
              <w:rPr>
                <w:rFonts w:ascii="Arial" w:cs="Arial" w:eastAsia="Arial" w:hAnsi="Arial"/>
                <w:sz w:val="18"/>
                <w:szCs w:val="18"/>
                <w:color w:val="auto"/>
              </w:rPr>
              <w:t>shares authorized,</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100" w:type="dxa"/>
            <w:vAlign w:val="bottom"/>
            <w:gridSpan w:val="5"/>
            <w:shd w:val="clear" w:color="auto" w:fill="CCEEFF"/>
          </w:tcPr>
          <w:p>
            <w:pPr>
              <w:ind w:left="60"/>
              <w:spacing w:after="0" w:line="202" w:lineRule="exact"/>
              <w:rPr>
                <w:sz w:val="20"/>
                <w:szCs w:val="20"/>
                <w:color w:val="auto"/>
              </w:rPr>
            </w:pPr>
            <w:r>
              <w:rPr>
                <w:rFonts w:ascii="Arial" w:cs="Arial" w:eastAsia="Arial" w:hAnsi="Arial"/>
                <w:sz w:val="18"/>
                <w:szCs w:val="18"/>
                <w:color w:val="auto"/>
              </w:rPr>
              <w:t>shares issued and outstanding, pro forma (unaudited); shares authorized,</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5"/>
        </w:trPr>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10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shares issued and outstanding, pro forma as adjusted (unaudited)</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3"/>
        </w:trPr>
        <w:tc>
          <w:tcPr>
            <w:tcW w:w="5060" w:type="dxa"/>
            <w:vAlign w:val="bottom"/>
            <w:gridSpan w:val="4"/>
          </w:tcPr>
          <w:p>
            <w:pPr>
              <w:spacing w:after="0" w:line="202" w:lineRule="exact"/>
              <w:rPr>
                <w:sz w:val="20"/>
                <w:szCs w:val="20"/>
                <w:color w:val="auto"/>
              </w:rPr>
            </w:pPr>
            <w:r>
              <w:rPr>
                <w:rFonts w:ascii="Arial" w:cs="Arial" w:eastAsia="Arial" w:hAnsi="Arial"/>
                <w:sz w:val="18"/>
                <w:szCs w:val="18"/>
                <w:color w:val="auto"/>
              </w:rPr>
              <w:t>Additional paid-in capital</w:t>
            </w:r>
          </w:p>
        </w:tc>
        <w:tc>
          <w:tcPr>
            <w:tcW w:w="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0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7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160" w:type="dxa"/>
            <w:vAlign w:val="bottom"/>
          </w:tcPr>
          <w:p>
            <w:pPr>
              <w:spacing w:after="0"/>
              <w:rPr>
                <w:sz w:val="18"/>
                <w:szCs w:val="18"/>
                <w:color w:val="auto"/>
              </w:rPr>
            </w:pPr>
          </w:p>
        </w:tc>
        <w:tc>
          <w:tcPr>
            <w:tcW w:w="4900" w:type="dxa"/>
            <w:vAlign w:val="bottom"/>
            <w:gridSpan w:val="3"/>
          </w:tcPr>
          <w:p>
            <w:pPr>
              <w:ind w:left="200"/>
              <w:spacing w:after="0"/>
              <w:rPr>
                <w:sz w:val="20"/>
                <w:szCs w:val="20"/>
                <w:color w:val="auto"/>
              </w:rPr>
            </w:pPr>
            <w:r>
              <w:rPr>
                <w:rFonts w:ascii="Arial" w:cs="Arial" w:eastAsia="Arial" w:hAnsi="Arial"/>
                <w:sz w:val="18"/>
                <w:szCs w:val="18"/>
                <w:color w:val="auto"/>
              </w:rPr>
              <w:t>Total stockholders’ (deficit) equity</w:t>
            </w:r>
          </w:p>
        </w:tc>
        <w:tc>
          <w:tcPr>
            <w:tcW w:w="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160" w:type="dxa"/>
            <w:vAlign w:val="bottom"/>
            <w:shd w:val="clear" w:color="auto" w:fill="CCEEFF"/>
          </w:tcPr>
          <w:p>
            <w:pPr>
              <w:spacing w:after="0"/>
              <w:rPr>
                <w:sz w:val="17"/>
                <w:szCs w:val="17"/>
                <w:color w:val="auto"/>
              </w:rPr>
            </w:pPr>
          </w:p>
        </w:tc>
        <w:tc>
          <w:tcPr>
            <w:tcW w:w="490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capitalization</w:t>
            </w:r>
          </w:p>
        </w:tc>
        <w:tc>
          <w:tcPr>
            <w:tcW w:w="7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79"/>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88"/>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spacing w:after="0"/>
              <w:rPr>
                <w:sz w:val="11"/>
                <w:szCs w:val="11"/>
                <w:color w:val="auto"/>
              </w:rPr>
            </w:pPr>
          </w:p>
        </w:tc>
        <w:tc>
          <w:tcPr>
            <w:tcW w:w="4560" w:type="dxa"/>
            <w:vAlign w:val="bottom"/>
            <w:gridSpan w:val="2"/>
          </w:tcPr>
          <w:p>
            <w:pPr>
              <w:spacing w:after="0"/>
              <w:rPr>
                <w:sz w:val="11"/>
                <w:szCs w:val="11"/>
                <w:color w:val="auto"/>
              </w:rPr>
            </w:pPr>
          </w:p>
        </w:tc>
        <w:tc>
          <w:tcPr>
            <w:tcW w:w="5240" w:type="dxa"/>
            <w:vAlign w:val="bottom"/>
            <w:gridSpan w:val="9"/>
          </w:tcPr>
          <w:p>
            <w:pPr>
              <w:spacing w:after="0"/>
              <w:rPr>
                <w:sz w:val="11"/>
                <w:szCs w:val="11"/>
                <w:color w:val="auto"/>
              </w:rPr>
            </w:pPr>
          </w:p>
        </w:tc>
      </w:tr>
      <w:tr>
        <w:trPr>
          <w:trHeight w:val="183"/>
        </w:trPr>
        <w:tc>
          <w:tcPr>
            <w:tcW w:w="160" w:type="dxa"/>
            <w:vAlign w:val="bottom"/>
          </w:tcPr>
          <w:p>
            <w:pPr>
              <w:spacing w:after="0"/>
              <w:rPr>
                <w:sz w:val="20"/>
                <w:szCs w:val="20"/>
                <w:color w:val="auto"/>
              </w:rPr>
            </w:pPr>
            <w:r>
              <w:rPr>
                <w:rFonts w:ascii="Arial" w:cs="Arial" w:eastAsia="Arial" w:hAnsi="Arial"/>
                <w:sz w:val="12"/>
                <w:szCs w:val="12"/>
                <w:color w:val="auto"/>
                <w:w w:val="95"/>
              </w:rPr>
              <w:t>(1)</w:t>
            </w:r>
          </w:p>
        </w:tc>
        <w:tc>
          <w:tcPr>
            <w:tcW w:w="5620" w:type="dxa"/>
            <w:vAlign w:val="bottom"/>
            <w:gridSpan w:val="4"/>
          </w:tcPr>
          <w:p>
            <w:pPr>
              <w:ind w:left="380"/>
              <w:spacing w:after="0"/>
              <w:rPr>
                <w:sz w:val="20"/>
                <w:szCs w:val="20"/>
                <w:color w:val="auto"/>
              </w:rPr>
            </w:pPr>
            <w:r>
              <w:rPr>
                <w:rFonts w:ascii="Arial" w:cs="Arial" w:eastAsia="Arial" w:hAnsi="Arial"/>
                <w:sz w:val="14"/>
                <w:szCs w:val="14"/>
                <w:color w:val="auto"/>
              </w:rPr>
              <w:t>Each $1.00 increase or decrease in the assumed initial public offering price of $</w:t>
            </w:r>
          </w:p>
        </w:tc>
        <w:tc>
          <w:tcPr>
            <w:tcW w:w="5240" w:type="dxa"/>
            <w:vAlign w:val="bottom"/>
            <w:gridSpan w:val="9"/>
          </w:tcPr>
          <w:p>
            <w:pPr>
              <w:ind w:left="460"/>
              <w:spacing w:after="0"/>
              <w:rPr>
                <w:sz w:val="20"/>
                <w:szCs w:val="20"/>
                <w:color w:val="auto"/>
              </w:rPr>
            </w:pPr>
            <w:r>
              <w:rPr>
                <w:rFonts w:ascii="Arial" w:cs="Arial" w:eastAsia="Arial" w:hAnsi="Arial"/>
                <w:sz w:val="14"/>
                <w:szCs w:val="14"/>
                <w:color w:val="auto"/>
              </w:rPr>
              <w:t>per share, which is the midpoint of the estimated offering price range set</w:t>
            </w:r>
          </w:p>
        </w:tc>
      </w:tr>
      <w:tr>
        <w:trPr>
          <w:trHeight w:val="162"/>
        </w:trPr>
        <w:tc>
          <w:tcPr>
            <w:tcW w:w="160" w:type="dxa"/>
            <w:vAlign w:val="bottom"/>
          </w:tcPr>
          <w:p>
            <w:pPr>
              <w:spacing w:after="0"/>
              <w:rPr>
                <w:sz w:val="14"/>
                <w:szCs w:val="14"/>
                <w:color w:val="auto"/>
              </w:rPr>
            </w:pPr>
          </w:p>
        </w:tc>
        <w:tc>
          <w:tcPr>
            <w:tcW w:w="10860" w:type="dxa"/>
            <w:vAlign w:val="bottom"/>
            <w:gridSpan w:val="13"/>
          </w:tcPr>
          <w:p>
            <w:pPr>
              <w:ind w:left="380"/>
              <w:spacing w:after="0"/>
              <w:rPr>
                <w:sz w:val="20"/>
                <w:szCs w:val="20"/>
                <w:color w:val="auto"/>
              </w:rPr>
            </w:pPr>
            <w:r>
              <w:rPr>
                <w:rFonts w:ascii="Arial" w:cs="Arial" w:eastAsia="Arial" w:hAnsi="Arial"/>
                <w:sz w:val="14"/>
                <w:szCs w:val="14"/>
                <w:color w:val="auto"/>
              </w:rPr>
              <w:t>forth on the cover page of this prospectus, would increase or decrease, as applicable, our pro forma as adjusted cash, cash equivalents and short-term marketable</w:t>
            </w:r>
          </w:p>
        </w:tc>
      </w:tr>
      <w:tr>
        <w:trPr>
          <w:trHeight w:val="162"/>
        </w:trPr>
        <w:tc>
          <w:tcPr>
            <w:tcW w:w="160" w:type="dxa"/>
            <w:vAlign w:val="bottom"/>
          </w:tcPr>
          <w:p>
            <w:pPr>
              <w:spacing w:after="0"/>
              <w:rPr>
                <w:sz w:val="14"/>
                <w:szCs w:val="14"/>
                <w:color w:val="auto"/>
              </w:rPr>
            </w:pPr>
          </w:p>
        </w:tc>
        <w:tc>
          <w:tcPr>
            <w:tcW w:w="8060" w:type="dxa"/>
            <w:vAlign w:val="bottom"/>
            <w:gridSpan w:val="6"/>
          </w:tcPr>
          <w:p>
            <w:pPr>
              <w:ind w:left="380"/>
              <w:spacing w:after="0"/>
              <w:rPr>
                <w:sz w:val="20"/>
                <w:szCs w:val="20"/>
                <w:color w:val="auto"/>
              </w:rPr>
            </w:pPr>
            <w:r>
              <w:rPr>
                <w:rFonts w:ascii="Arial" w:cs="Arial" w:eastAsia="Arial" w:hAnsi="Arial"/>
                <w:sz w:val="14"/>
                <w:szCs w:val="14"/>
                <w:color w:val="auto"/>
              </w:rPr>
              <w:t>securities, additional paid-in capital, total stockholders’ equity (deficit) and total capitalization by approximately $</w:t>
            </w:r>
          </w:p>
        </w:tc>
        <w:tc>
          <w:tcPr>
            <w:tcW w:w="2800" w:type="dxa"/>
            <w:vAlign w:val="bottom"/>
            <w:gridSpan w:val="7"/>
          </w:tcPr>
          <w:p>
            <w:pPr>
              <w:ind w:left="60"/>
              <w:spacing w:after="0"/>
              <w:rPr>
                <w:sz w:val="20"/>
                <w:szCs w:val="20"/>
                <w:color w:val="auto"/>
              </w:rPr>
            </w:pPr>
            <w:r>
              <w:rPr>
                <w:rFonts w:ascii="Arial" w:cs="Arial" w:eastAsia="Arial" w:hAnsi="Arial"/>
                <w:sz w:val="14"/>
                <w:szCs w:val="14"/>
                <w:color w:val="auto"/>
              </w:rPr>
              <w:t>million, assuming that the number of</w:t>
            </w:r>
          </w:p>
        </w:tc>
      </w:tr>
      <w:tr>
        <w:trPr>
          <w:trHeight w:val="162"/>
        </w:trPr>
        <w:tc>
          <w:tcPr>
            <w:tcW w:w="160" w:type="dxa"/>
            <w:vAlign w:val="bottom"/>
          </w:tcPr>
          <w:p>
            <w:pPr>
              <w:spacing w:after="0"/>
              <w:rPr>
                <w:sz w:val="14"/>
                <w:szCs w:val="14"/>
                <w:color w:val="auto"/>
              </w:rPr>
            </w:pPr>
          </w:p>
        </w:tc>
        <w:tc>
          <w:tcPr>
            <w:tcW w:w="10860" w:type="dxa"/>
            <w:vAlign w:val="bottom"/>
            <w:gridSpan w:val="13"/>
          </w:tcPr>
          <w:p>
            <w:pPr>
              <w:ind w:left="380"/>
              <w:spacing w:after="0"/>
              <w:rPr>
                <w:sz w:val="20"/>
                <w:szCs w:val="20"/>
                <w:color w:val="auto"/>
              </w:rPr>
            </w:pPr>
            <w:r>
              <w:rPr>
                <w:rFonts w:ascii="Arial" w:cs="Arial" w:eastAsia="Arial" w:hAnsi="Arial"/>
                <w:sz w:val="14"/>
                <w:szCs w:val="14"/>
                <w:color w:val="auto"/>
              </w:rPr>
              <w:t>shares of common stock offered by us, as set forth on the cover page of this prospectus, remains the same, and after deducting estimated underwriting discounts</w:t>
            </w:r>
          </w:p>
        </w:tc>
      </w:tr>
      <w:tr>
        <w:trPr>
          <w:trHeight w:val="162"/>
        </w:trPr>
        <w:tc>
          <w:tcPr>
            <w:tcW w:w="160" w:type="dxa"/>
            <w:vAlign w:val="bottom"/>
          </w:tcPr>
          <w:p>
            <w:pPr>
              <w:spacing w:after="0"/>
              <w:rPr>
                <w:sz w:val="14"/>
                <w:szCs w:val="14"/>
                <w:color w:val="auto"/>
              </w:rPr>
            </w:pPr>
          </w:p>
        </w:tc>
        <w:tc>
          <w:tcPr>
            <w:tcW w:w="10860" w:type="dxa"/>
            <w:vAlign w:val="bottom"/>
            <w:gridSpan w:val="13"/>
          </w:tcPr>
          <w:p>
            <w:pPr>
              <w:ind w:left="380"/>
              <w:spacing w:after="0"/>
              <w:rPr>
                <w:sz w:val="20"/>
                <w:szCs w:val="20"/>
                <w:color w:val="auto"/>
              </w:rPr>
            </w:pPr>
            <w:r>
              <w:rPr>
                <w:rFonts w:ascii="Arial" w:cs="Arial" w:eastAsia="Arial" w:hAnsi="Arial"/>
                <w:sz w:val="14"/>
                <w:szCs w:val="14"/>
                <w:color w:val="auto"/>
              </w:rPr>
              <w:t>and commissions and estimated offering expenses payable by us. Each increase or decrease of 1.0 million shares in the number of shares of common stock offered</w:t>
            </w:r>
          </w:p>
        </w:tc>
      </w:tr>
      <w:tr>
        <w:trPr>
          <w:trHeight w:val="162"/>
        </w:trPr>
        <w:tc>
          <w:tcPr>
            <w:tcW w:w="160" w:type="dxa"/>
            <w:vAlign w:val="bottom"/>
          </w:tcPr>
          <w:p>
            <w:pPr>
              <w:spacing w:after="0"/>
              <w:rPr>
                <w:sz w:val="14"/>
                <w:szCs w:val="14"/>
                <w:color w:val="auto"/>
              </w:rPr>
            </w:pPr>
          </w:p>
        </w:tc>
        <w:tc>
          <w:tcPr>
            <w:tcW w:w="10860" w:type="dxa"/>
            <w:vAlign w:val="bottom"/>
            <w:gridSpan w:val="13"/>
          </w:tcPr>
          <w:p>
            <w:pPr>
              <w:ind w:left="380"/>
              <w:spacing w:after="0"/>
              <w:rPr>
                <w:sz w:val="20"/>
                <w:szCs w:val="20"/>
                <w:color w:val="auto"/>
              </w:rPr>
            </w:pPr>
            <w:r>
              <w:rPr>
                <w:rFonts w:ascii="Arial" w:cs="Arial" w:eastAsia="Arial" w:hAnsi="Arial"/>
                <w:sz w:val="14"/>
                <w:szCs w:val="14"/>
                <w:color w:val="auto"/>
              </w:rPr>
              <w:t>by us would increase or decrease, as applicable, our pro forma as adjusted cash, cash equivalents and short-term marketable securities, additional paid-in capital,</w:t>
            </w:r>
          </w:p>
        </w:tc>
      </w:tr>
      <w:tr>
        <w:trPr>
          <w:trHeight w:val="162"/>
        </w:trPr>
        <w:tc>
          <w:tcPr>
            <w:tcW w:w="160" w:type="dxa"/>
            <w:vAlign w:val="bottom"/>
          </w:tcPr>
          <w:p>
            <w:pPr>
              <w:spacing w:after="0"/>
              <w:rPr>
                <w:sz w:val="14"/>
                <w:szCs w:val="14"/>
                <w:color w:val="auto"/>
              </w:rPr>
            </w:pPr>
          </w:p>
        </w:tc>
        <w:tc>
          <w:tcPr>
            <w:tcW w:w="5620" w:type="dxa"/>
            <w:vAlign w:val="bottom"/>
            <w:gridSpan w:val="4"/>
          </w:tcPr>
          <w:p>
            <w:pPr>
              <w:ind w:left="380"/>
              <w:spacing w:after="0"/>
              <w:rPr>
                <w:sz w:val="20"/>
                <w:szCs w:val="20"/>
                <w:color w:val="auto"/>
              </w:rPr>
            </w:pPr>
            <w:r>
              <w:rPr>
                <w:rFonts w:ascii="Arial" w:cs="Arial" w:eastAsia="Arial" w:hAnsi="Arial"/>
                <w:sz w:val="14"/>
                <w:szCs w:val="14"/>
                <w:color w:val="auto"/>
              </w:rPr>
              <w:t>total stockholders’ equity (deficit) and total capitalization by approximately $</w:t>
            </w:r>
          </w:p>
        </w:tc>
        <w:tc>
          <w:tcPr>
            <w:tcW w:w="4200" w:type="dxa"/>
            <w:vAlign w:val="bottom"/>
            <w:gridSpan w:val="6"/>
          </w:tcPr>
          <w:p>
            <w:pPr>
              <w:ind w:left="200"/>
              <w:spacing w:after="0"/>
              <w:rPr>
                <w:sz w:val="20"/>
                <w:szCs w:val="20"/>
                <w:color w:val="auto"/>
              </w:rPr>
            </w:pPr>
            <w:r>
              <w:rPr>
                <w:rFonts w:ascii="Arial" w:cs="Arial" w:eastAsia="Arial" w:hAnsi="Arial"/>
                <w:sz w:val="14"/>
                <w:szCs w:val="14"/>
                <w:color w:val="auto"/>
              </w:rPr>
              <w:t>million, assuming the assumed initial public offering price of $</w:t>
            </w:r>
          </w:p>
        </w:tc>
        <w:tc>
          <w:tcPr>
            <w:tcW w:w="40" w:type="dxa"/>
            <w:vAlign w:val="bottom"/>
          </w:tcPr>
          <w:p>
            <w:pPr>
              <w:spacing w:after="0"/>
              <w:rPr>
                <w:sz w:val="14"/>
                <w:szCs w:val="14"/>
                <w:color w:val="auto"/>
              </w:rPr>
            </w:pPr>
          </w:p>
        </w:tc>
        <w:tc>
          <w:tcPr>
            <w:tcW w:w="1000" w:type="dxa"/>
            <w:vAlign w:val="bottom"/>
            <w:gridSpan w:val="2"/>
          </w:tcPr>
          <w:p>
            <w:pPr>
              <w:ind w:left="500"/>
              <w:spacing w:after="0"/>
              <w:rPr>
                <w:sz w:val="20"/>
                <w:szCs w:val="20"/>
                <w:color w:val="auto"/>
              </w:rPr>
            </w:pPr>
            <w:r>
              <w:rPr>
                <w:rFonts w:ascii="Arial" w:cs="Arial" w:eastAsia="Arial" w:hAnsi="Arial"/>
                <w:sz w:val="14"/>
                <w:szCs w:val="14"/>
                <w:color w:val="auto"/>
              </w:rPr>
              <w:t>per</w:t>
            </w:r>
          </w:p>
        </w:tc>
      </w:tr>
      <w:tr>
        <w:trPr>
          <w:trHeight w:val="162"/>
        </w:trPr>
        <w:tc>
          <w:tcPr>
            <w:tcW w:w="160" w:type="dxa"/>
            <w:vAlign w:val="bottom"/>
          </w:tcPr>
          <w:p>
            <w:pPr>
              <w:spacing w:after="0"/>
              <w:rPr>
                <w:sz w:val="14"/>
                <w:szCs w:val="14"/>
                <w:color w:val="auto"/>
              </w:rPr>
            </w:pPr>
          </w:p>
        </w:tc>
        <w:tc>
          <w:tcPr>
            <w:tcW w:w="10860" w:type="dxa"/>
            <w:vAlign w:val="bottom"/>
            <w:gridSpan w:val="13"/>
          </w:tcPr>
          <w:p>
            <w:pPr>
              <w:ind w:left="380"/>
              <w:spacing w:after="0"/>
              <w:rPr>
                <w:sz w:val="20"/>
                <w:szCs w:val="20"/>
                <w:color w:val="auto"/>
              </w:rPr>
            </w:pPr>
            <w:r>
              <w:rPr>
                <w:rFonts w:ascii="Arial" w:cs="Arial" w:eastAsia="Arial" w:hAnsi="Arial"/>
                <w:sz w:val="14"/>
                <w:szCs w:val="14"/>
                <w:color w:val="auto"/>
              </w:rPr>
              <w:t>share, which is the midpoint of the estimated offering price range set forth on the cover page of this prospectus, remains the same, and after deducting estimated</w:t>
            </w:r>
          </w:p>
        </w:tc>
      </w:tr>
      <w:tr>
        <w:trPr>
          <w:trHeight w:val="162"/>
        </w:trPr>
        <w:tc>
          <w:tcPr>
            <w:tcW w:w="160" w:type="dxa"/>
            <w:vAlign w:val="bottom"/>
          </w:tcPr>
          <w:p>
            <w:pPr>
              <w:spacing w:after="0"/>
              <w:rPr>
                <w:sz w:val="14"/>
                <w:szCs w:val="14"/>
                <w:color w:val="auto"/>
              </w:rPr>
            </w:pPr>
          </w:p>
        </w:tc>
        <w:tc>
          <w:tcPr>
            <w:tcW w:w="10860" w:type="dxa"/>
            <w:vAlign w:val="bottom"/>
            <w:gridSpan w:val="13"/>
          </w:tcPr>
          <w:p>
            <w:pPr>
              <w:ind w:left="380"/>
              <w:spacing w:after="0"/>
              <w:rPr>
                <w:sz w:val="20"/>
                <w:szCs w:val="20"/>
                <w:color w:val="auto"/>
              </w:rPr>
            </w:pPr>
            <w:r>
              <w:rPr>
                <w:rFonts w:ascii="Arial" w:cs="Arial" w:eastAsia="Arial" w:hAnsi="Arial"/>
                <w:sz w:val="14"/>
                <w:szCs w:val="14"/>
                <w:color w:val="auto"/>
              </w:rPr>
              <w:t>underwriting discounts and commissions and estimated offering expenses payable by us. The pro forma as adjusted information discussed above is illustrative only</w:t>
            </w:r>
          </w:p>
        </w:tc>
      </w:tr>
      <w:tr>
        <w:trPr>
          <w:trHeight w:val="194"/>
        </w:trPr>
        <w:tc>
          <w:tcPr>
            <w:tcW w:w="160" w:type="dxa"/>
            <w:vAlign w:val="bottom"/>
          </w:tcPr>
          <w:p>
            <w:pPr>
              <w:spacing w:after="0"/>
              <w:rPr>
                <w:sz w:val="16"/>
                <w:szCs w:val="16"/>
                <w:color w:val="auto"/>
              </w:rPr>
            </w:pPr>
          </w:p>
        </w:tc>
        <w:tc>
          <w:tcPr>
            <w:tcW w:w="8060" w:type="dxa"/>
            <w:vAlign w:val="bottom"/>
            <w:gridSpan w:val="6"/>
          </w:tcPr>
          <w:p>
            <w:pPr>
              <w:ind w:left="380"/>
              <w:spacing w:after="0"/>
              <w:rPr>
                <w:sz w:val="20"/>
                <w:szCs w:val="20"/>
                <w:color w:val="auto"/>
              </w:rPr>
            </w:pPr>
            <w:r>
              <w:rPr>
                <w:rFonts w:ascii="Arial" w:cs="Arial" w:eastAsia="Arial" w:hAnsi="Arial"/>
                <w:sz w:val="14"/>
                <w:szCs w:val="14"/>
                <w:color w:val="auto"/>
              </w:rPr>
              <w:t>and will be adjusted based on the actual public offering price and other terms of this offering determined at pricing.</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77"/>
        </w:trPr>
        <w:tc>
          <w:tcPr>
            <w:tcW w:w="160" w:type="dxa"/>
            <w:vAlign w:val="bottom"/>
          </w:tcPr>
          <w:p>
            <w:pPr>
              <w:spacing w:after="0"/>
              <w:rPr>
                <w:sz w:val="24"/>
                <w:szCs w:val="24"/>
                <w:color w:val="auto"/>
              </w:rPr>
            </w:pPr>
          </w:p>
        </w:tc>
        <w:tc>
          <w:tcPr>
            <w:tcW w:w="8060" w:type="dxa"/>
            <w:vAlign w:val="bottom"/>
            <w:gridSpan w:val="6"/>
          </w:tcPr>
          <w:p>
            <w:pPr>
              <w:ind w:left="380"/>
              <w:spacing w:after="0"/>
              <w:rPr>
                <w:sz w:val="20"/>
                <w:szCs w:val="20"/>
                <w:color w:val="auto"/>
              </w:rPr>
            </w:pPr>
            <w:r>
              <w:rPr>
                <w:rFonts w:ascii="Arial" w:cs="Arial" w:eastAsia="Arial" w:hAnsi="Arial"/>
                <w:sz w:val="18"/>
                <w:szCs w:val="18"/>
                <w:color w:val="auto"/>
              </w:rPr>
              <w:t>The number of shares of our common stock to be outstanding after this offering is based on</w:t>
            </w:r>
          </w:p>
        </w:tc>
        <w:tc>
          <w:tcPr>
            <w:tcW w:w="120" w:type="dxa"/>
            <w:vAlign w:val="bottom"/>
          </w:tcPr>
          <w:p>
            <w:pPr>
              <w:spacing w:after="0"/>
              <w:rPr>
                <w:sz w:val="24"/>
                <w:szCs w:val="24"/>
                <w:color w:val="auto"/>
              </w:rPr>
            </w:pPr>
          </w:p>
        </w:tc>
        <w:tc>
          <w:tcPr>
            <w:tcW w:w="2680" w:type="dxa"/>
            <w:vAlign w:val="bottom"/>
            <w:gridSpan w:val="6"/>
          </w:tcPr>
          <w:p>
            <w:pPr>
              <w:jc w:val="right"/>
              <w:ind w:right="140"/>
              <w:spacing w:after="0"/>
              <w:rPr>
                <w:sz w:val="20"/>
                <w:szCs w:val="20"/>
                <w:color w:val="auto"/>
              </w:rPr>
            </w:pPr>
            <w:r>
              <w:rPr>
                <w:rFonts w:ascii="Arial" w:cs="Arial" w:eastAsia="Arial" w:hAnsi="Arial"/>
                <w:sz w:val="18"/>
                <w:szCs w:val="18"/>
                <w:color w:val="auto"/>
              </w:rPr>
              <w:t>shares of our common stock</w:t>
            </w:r>
          </w:p>
        </w:tc>
      </w:tr>
      <w:tr>
        <w:trPr>
          <w:trHeight w:val="225"/>
        </w:trPr>
        <w:tc>
          <w:tcPr>
            <w:tcW w:w="5060" w:type="dxa"/>
            <w:vAlign w:val="bottom"/>
            <w:gridSpan w:val="4"/>
          </w:tcPr>
          <w:p>
            <w:pPr>
              <w:spacing w:after="0"/>
              <w:rPr>
                <w:sz w:val="20"/>
                <w:szCs w:val="20"/>
                <w:color w:val="auto"/>
              </w:rPr>
            </w:pPr>
            <w:r>
              <w:rPr>
                <w:rFonts w:ascii="Arial" w:cs="Arial" w:eastAsia="Arial" w:hAnsi="Arial"/>
                <w:sz w:val="18"/>
                <w:szCs w:val="18"/>
                <w:color w:val="auto"/>
              </w:rPr>
              <w:t>outstanding as of June 30, 2020 (including an aggregate of</w:t>
            </w:r>
          </w:p>
        </w:tc>
        <w:tc>
          <w:tcPr>
            <w:tcW w:w="5960" w:type="dxa"/>
            <w:vAlign w:val="bottom"/>
            <w:gridSpan w:val="10"/>
          </w:tcPr>
          <w:p>
            <w:pPr>
              <w:ind w:left="420"/>
              <w:spacing w:after="0"/>
              <w:rPr>
                <w:sz w:val="20"/>
                <w:szCs w:val="20"/>
                <w:color w:val="auto"/>
              </w:rPr>
            </w:pPr>
            <w:r>
              <w:rPr>
                <w:rFonts w:ascii="Arial" w:cs="Arial" w:eastAsia="Arial" w:hAnsi="Arial"/>
                <w:sz w:val="18"/>
                <w:szCs w:val="18"/>
                <w:color w:val="auto"/>
                <w:w w:val="99"/>
              </w:rPr>
              <w:t>shares of common stock issuable upon conversion of our outstanding</w:t>
            </w:r>
          </w:p>
        </w:tc>
      </w:tr>
    </w:tbl>
    <w:p>
      <w:pPr>
        <w:ind w:left="120"/>
        <w:spacing w:after="0"/>
        <w:rPr>
          <w:sz w:val="20"/>
          <w:szCs w:val="20"/>
          <w:color w:val="auto"/>
        </w:rPr>
      </w:pPr>
      <w:r>
        <w:rPr>
          <w:rFonts w:ascii="Arial" w:cs="Arial" w:eastAsia="Arial" w:hAnsi="Arial"/>
          <w:sz w:val="18"/>
          <w:szCs w:val="18"/>
          <w:color w:val="auto"/>
        </w:rPr>
        <w:t>convertible preferred stock as of June 30, 2020), and excludes the following:</w:t>
      </w:r>
    </w:p>
    <w:p>
      <w:pPr>
        <w:spacing w:after="0" w:line="95" w:lineRule="exact"/>
        <w:rPr>
          <w:sz w:val="20"/>
          <w:szCs w:val="20"/>
          <w:color w:val="auto"/>
        </w:rPr>
      </w:pPr>
    </w:p>
    <w:p>
      <w:pPr>
        <w:ind w:left="1480" w:hanging="824"/>
        <w:spacing w:after="0"/>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shares of common stock issuable upon exercise of options to purchase shares of our common stock outstanding as of</w:t>
      </w:r>
    </w:p>
    <w:p>
      <w:pPr>
        <w:spacing w:after="0" w:line="18" w:lineRule="exact"/>
        <w:rPr>
          <w:sz w:val="20"/>
          <w:szCs w:val="20"/>
          <w:color w:val="auto"/>
        </w:rPr>
      </w:pPr>
    </w:p>
    <w:p>
      <w:pPr>
        <w:ind w:left="880"/>
        <w:spacing w:after="0"/>
        <w:tabs>
          <w:tab w:leader="none" w:pos="6360" w:val="left"/>
        </w:tabs>
        <w:rPr>
          <w:sz w:val="20"/>
          <w:szCs w:val="20"/>
          <w:color w:val="auto"/>
        </w:rPr>
      </w:pPr>
      <w:r>
        <w:rPr>
          <w:rFonts w:ascii="Arial" w:cs="Arial" w:eastAsia="Arial" w:hAnsi="Arial"/>
          <w:sz w:val="18"/>
          <w:szCs w:val="18"/>
          <w:color w:val="auto"/>
        </w:rPr>
        <w:t>June 30, 2020, with a weighted-average exercise price of $</w:t>
      </w:r>
      <w:r>
        <w:rPr>
          <w:sz w:val="20"/>
          <w:szCs w:val="20"/>
          <w:color w:val="auto"/>
        </w:rPr>
        <w:tab/>
      </w:r>
      <w:r>
        <w:rPr>
          <w:rFonts w:ascii="Arial" w:cs="Arial" w:eastAsia="Arial" w:hAnsi="Arial"/>
          <w:sz w:val="17"/>
          <w:szCs w:val="17"/>
          <w:color w:val="auto"/>
        </w:rPr>
        <w:t>per share;</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5" w:right="4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480" w:hanging="824"/>
        <w:spacing w:after="0"/>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shares of common stock issuable upon exercise of options to purchase shares of our common stock that we granted</w:t>
      </w:r>
    </w:p>
    <w:p>
      <w:pPr>
        <w:spacing w:after="0" w:line="18" w:lineRule="exact"/>
        <w:rPr>
          <w:sz w:val="20"/>
          <w:szCs w:val="20"/>
          <w:color w:val="auto"/>
        </w:rPr>
      </w:pPr>
    </w:p>
    <w:p>
      <w:pPr>
        <w:ind w:left="880"/>
        <w:spacing w:after="0"/>
        <w:tabs>
          <w:tab w:leader="none" w:pos="6760" w:val="left"/>
        </w:tabs>
        <w:rPr>
          <w:sz w:val="20"/>
          <w:szCs w:val="20"/>
          <w:color w:val="auto"/>
        </w:rPr>
      </w:pPr>
      <w:r>
        <w:rPr>
          <w:rFonts w:ascii="Arial" w:cs="Arial" w:eastAsia="Arial" w:hAnsi="Arial"/>
          <w:sz w:val="18"/>
          <w:szCs w:val="18"/>
          <w:color w:val="auto"/>
        </w:rPr>
        <w:t>after June 30, 2020, with a weighted-average exercise price of $</w:t>
      </w:r>
      <w:r>
        <w:rPr>
          <w:sz w:val="20"/>
          <w:szCs w:val="20"/>
          <w:color w:val="auto"/>
        </w:rPr>
        <w:tab/>
      </w:r>
      <w:r>
        <w:rPr>
          <w:rFonts w:ascii="Arial" w:cs="Arial" w:eastAsia="Arial" w:hAnsi="Arial"/>
          <w:sz w:val="18"/>
          <w:szCs w:val="18"/>
          <w:color w:val="auto"/>
        </w:rPr>
        <w:t>per share;</w:t>
      </w:r>
    </w:p>
    <w:p>
      <w:pPr>
        <w:spacing w:after="0" w:line="95" w:lineRule="exact"/>
        <w:rPr>
          <w:sz w:val="20"/>
          <w:szCs w:val="20"/>
          <w:color w:val="auto"/>
        </w:rPr>
      </w:pPr>
    </w:p>
    <w:p>
      <w:pPr>
        <w:ind w:left="880" w:right="260" w:hanging="224"/>
        <w:spacing w:after="0" w:line="306" w:lineRule="auto"/>
        <w:tabs>
          <w:tab w:leader="none" w:pos="1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shares of common stock reserved for future issuance under our 2013 Equity Incentive Plan, as amended, which shares will be added to the shares to be reserved under our 2020 Equity Incentive Plan, or 2020 Plan, upon its effectiveness;</w:t>
      </w:r>
    </w:p>
    <w:p>
      <w:pPr>
        <w:spacing w:after="0" w:line="28" w:lineRule="exact"/>
        <w:rPr>
          <w:rFonts w:ascii="Arial" w:cs="Arial" w:eastAsia="Arial" w:hAnsi="Arial"/>
          <w:sz w:val="17"/>
          <w:szCs w:val="17"/>
          <w:color w:val="auto"/>
        </w:rPr>
      </w:pPr>
    </w:p>
    <w:p>
      <w:pPr>
        <w:jc w:val="both"/>
        <w:ind w:left="880" w:hanging="224"/>
        <w:spacing w:after="0" w:line="255"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warrant to purchase an aggregate of 56,866 shares of our convertible preferred stock outstanding as of June 30, 2020 that will be converted into a warrant to purchase an aggregate of 56,866 shares of our common stock, with an exercise price of $0.3517 per share, upon the completion of this offering; and</w:t>
      </w:r>
    </w:p>
    <w:p>
      <w:pPr>
        <w:spacing w:after="0" w:line="69" w:lineRule="exact"/>
        <w:rPr>
          <w:rFonts w:ascii="Arial" w:cs="Arial" w:eastAsia="Arial" w:hAnsi="Arial"/>
          <w:sz w:val="18"/>
          <w:szCs w:val="18"/>
          <w:color w:val="auto"/>
        </w:rPr>
      </w:pPr>
    </w:p>
    <w:p>
      <w:pPr>
        <w:ind w:left="880" w:right="60" w:hanging="224"/>
        <w:spacing w:after="0" w:line="255" w:lineRule="auto"/>
        <w:tabs>
          <w:tab w:leader="none" w:pos="153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2020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60"/>
          </w:cols>
          <w:pgMar w:left="320" w:top="455" w:right="51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14" w:lineRule="exact"/>
        <w:rPr>
          <w:sz w:val="20"/>
          <w:szCs w:val="20"/>
          <w:color w:val="auto"/>
        </w:rPr>
      </w:pPr>
    </w:p>
    <w:p>
      <w:pPr>
        <w:jc w:val="both"/>
        <w:ind w:left="120" w:right="100" w:firstLine="551"/>
        <w:spacing w:after="0" w:line="255"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64" w:lineRule="exact"/>
        <w:rPr>
          <w:sz w:val="20"/>
          <w:szCs w:val="20"/>
          <w:color w:val="auto"/>
        </w:rPr>
      </w:pPr>
    </w:p>
    <w:p>
      <w:pPr>
        <w:ind w:left="120" w:right="520" w:firstLine="551"/>
        <w:spacing w:after="0" w:line="248" w:lineRule="auto"/>
        <w:rPr>
          <w:sz w:val="20"/>
          <w:szCs w:val="20"/>
          <w:color w:val="auto"/>
        </w:rPr>
      </w:pPr>
      <w:r>
        <w:rPr>
          <w:rFonts w:ascii="Arial" w:cs="Arial" w:eastAsia="Arial" w:hAnsi="Arial"/>
          <w:sz w:val="18"/>
          <w:szCs w:val="18"/>
          <w:color w:val="auto"/>
        </w:rPr>
        <w:t>Our historical net tangible book value (deficit) as of June 30, 2020 was approximately $ million, or $ per share of our common stock. Our historical net tangible book value (deficit) is the amount of our total tangible assets less our total liabilities and convertible preferred stock. Historical net tangible book value (deficit) per share represents historical net tangible book value (deficit) divided by the number of shares of our common stock outstanding as of June 30, 2020.</w:t>
      </w:r>
    </w:p>
    <w:p>
      <w:pPr>
        <w:spacing w:after="0" w:line="170"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Our pro forma net tangible book value (deficit) as of June 30, 2020 was approximately $ million, or $ per share of our common stock. Pro forma net tangible book value (deficit) represents the amount of our total tangible assets less our total liabilities. Pro forma net tangible book value (deficit) per share represents pro forma net tangible book value divided by the total number of shares of our common stock outstanding as of June 30, 2020, after giving effect to the conversion of all outstanding shares of our convertible</w:t>
      </w:r>
    </w:p>
    <w:p>
      <w:pPr>
        <w:spacing w:after="0" w:line="1" w:lineRule="exact"/>
        <w:rPr>
          <w:sz w:val="20"/>
          <w:szCs w:val="20"/>
          <w:color w:val="auto"/>
        </w:rPr>
      </w:pPr>
    </w:p>
    <w:p>
      <w:pPr>
        <w:ind w:left="120" w:right="400"/>
        <w:spacing w:after="0" w:line="245" w:lineRule="auto"/>
        <w:rPr>
          <w:sz w:val="20"/>
          <w:szCs w:val="20"/>
          <w:color w:val="auto"/>
        </w:rPr>
      </w:pPr>
      <w:r>
        <w:rPr>
          <w:rFonts w:ascii="Arial" w:cs="Arial" w:eastAsia="Arial" w:hAnsi="Arial"/>
          <w:sz w:val="18"/>
          <w:szCs w:val="18"/>
          <w:color w:val="auto"/>
        </w:rPr>
        <w:t>preferred stock into an aggregate of shares of our common stock, which will occur immediately prior to the completion of this offering.</w:t>
      </w:r>
    </w:p>
    <w:p>
      <w:pPr>
        <w:spacing w:after="0" w:line="388"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color w:val="auto"/>
        </w:rPr>
        <w:t>After giving further effect to our sale of shares of common stock in this offering at the assumed initial public offering price of $ per share, which is the midpoint of the estimated offering price range set forth on the cover page of this prospectus, and</w:t>
      </w:r>
    </w:p>
    <w:p>
      <w:pPr>
        <w:ind w:left="120"/>
        <w:spacing w:after="0" w:line="235" w:lineRule="auto"/>
        <w:rPr>
          <w:sz w:val="20"/>
          <w:szCs w:val="20"/>
          <w:color w:val="auto"/>
        </w:rPr>
      </w:pPr>
      <w:r>
        <w:rPr>
          <w:rFonts w:ascii="Arial" w:cs="Arial" w:eastAsia="Arial" w:hAnsi="Arial"/>
          <w:sz w:val="18"/>
          <w:szCs w:val="18"/>
          <w:color w:val="auto"/>
        </w:rPr>
        <w:t>after deducting estimated underwriting discounts and commissions and estimated offering expenses payable by us, our pro forma as</w:t>
      </w:r>
    </w:p>
    <w:tbl>
      <w:tblPr>
        <w:tblLayout w:type="fixed"/>
        <w:tblInd w:w="120" w:type="dxa"/>
        <w:tblCellMar>
          <w:top w:w="0" w:type="dxa"/>
          <w:left w:w="0" w:type="dxa"/>
          <w:bottom w:w="0" w:type="dxa"/>
          <w:right w:w="0" w:type="dxa"/>
        </w:tblCellMar>
      </w:tblPr>
      <w:tr>
        <w:trPr>
          <w:trHeight w:val="181"/>
        </w:trPr>
        <w:tc>
          <w:tcPr>
            <w:tcW w:w="7380" w:type="dxa"/>
            <w:vAlign w:val="bottom"/>
          </w:tcPr>
          <w:p>
            <w:pPr>
              <w:spacing w:after="0" w:line="182" w:lineRule="exact"/>
              <w:rPr>
                <w:sz w:val="20"/>
                <w:szCs w:val="20"/>
                <w:color w:val="auto"/>
              </w:rPr>
            </w:pPr>
            <w:r>
              <w:rPr>
                <w:rFonts w:ascii="Arial" w:cs="Arial" w:eastAsia="Arial" w:hAnsi="Arial"/>
                <w:sz w:val="18"/>
                <w:szCs w:val="18"/>
                <w:color w:val="auto"/>
              </w:rPr>
              <w:t>adjusted net tangible book value as of June 30, 2020 would have been approximately $</w:t>
            </w:r>
          </w:p>
        </w:tc>
        <w:tc>
          <w:tcPr>
            <w:tcW w:w="1660" w:type="dxa"/>
            <w:vAlign w:val="bottom"/>
            <w:gridSpan w:val="2"/>
          </w:tcPr>
          <w:p>
            <w:pPr>
              <w:ind w:left="360"/>
              <w:spacing w:after="0" w:line="182" w:lineRule="exact"/>
              <w:rPr>
                <w:sz w:val="20"/>
                <w:szCs w:val="20"/>
                <w:color w:val="auto"/>
              </w:rPr>
            </w:pPr>
            <w:r>
              <w:rPr>
                <w:rFonts w:ascii="Arial" w:cs="Arial" w:eastAsia="Arial" w:hAnsi="Arial"/>
                <w:sz w:val="18"/>
                <w:szCs w:val="18"/>
                <w:color w:val="auto"/>
              </w:rPr>
              <w:t>million, or $</w:t>
            </w:r>
          </w:p>
        </w:tc>
        <w:tc>
          <w:tcPr>
            <w:tcW w:w="1980" w:type="dxa"/>
            <w:vAlign w:val="bottom"/>
            <w:gridSpan w:val="5"/>
          </w:tcPr>
          <w:p>
            <w:pPr>
              <w:jc w:val="right"/>
              <w:ind w:right="320"/>
              <w:spacing w:after="0" w:line="182" w:lineRule="exact"/>
              <w:rPr>
                <w:sz w:val="20"/>
                <w:szCs w:val="20"/>
                <w:color w:val="auto"/>
              </w:rPr>
            </w:pPr>
            <w:r>
              <w:rPr>
                <w:rFonts w:ascii="Arial" w:cs="Arial" w:eastAsia="Arial" w:hAnsi="Arial"/>
                <w:sz w:val="18"/>
                <w:szCs w:val="18"/>
                <w:color w:val="auto"/>
              </w:rPr>
              <w:t>per share. This</w:t>
            </w:r>
          </w:p>
        </w:tc>
      </w:tr>
      <w:tr>
        <w:trPr>
          <w:trHeight w:val="203"/>
        </w:trPr>
        <w:tc>
          <w:tcPr>
            <w:tcW w:w="7880" w:type="dxa"/>
            <w:vAlign w:val="bottom"/>
            <w:gridSpan w:val="2"/>
          </w:tcPr>
          <w:p>
            <w:pPr>
              <w:spacing w:after="0" w:line="202" w:lineRule="exact"/>
              <w:rPr>
                <w:sz w:val="20"/>
                <w:szCs w:val="20"/>
                <w:color w:val="auto"/>
              </w:rPr>
            </w:pPr>
            <w:r>
              <w:rPr>
                <w:rFonts w:ascii="Arial" w:cs="Arial" w:eastAsia="Arial" w:hAnsi="Arial"/>
                <w:sz w:val="18"/>
                <w:szCs w:val="18"/>
                <w:color w:val="auto"/>
              </w:rPr>
              <w:t>represents an immediate increase in pro forma as adjusted net tangible book value per share of $</w:t>
            </w:r>
          </w:p>
        </w:tc>
        <w:tc>
          <w:tcPr>
            <w:tcW w:w="3140" w:type="dxa"/>
            <w:vAlign w:val="bottom"/>
            <w:gridSpan w:val="6"/>
          </w:tcPr>
          <w:p>
            <w:pPr>
              <w:ind w:left="720"/>
              <w:spacing w:after="0" w:line="202" w:lineRule="exact"/>
              <w:rPr>
                <w:sz w:val="20"/>
                <w:szCs w:val="20"/>
                <w:color w:val="auto"/>
              </w:rPr>
            </w:pPr>
            <w:r>
              <w:rPr>
                <w:rFonts w:ascii="Arial" w:cs="Arial" w:eastAsia="Arial" w:hAnsi="Arial"/>
                <w:sz w:val="18"/>
                <w:szCs w:val="18"/>
                <w:color w:val="auto"/>
              </w:rPr>
              <w:t>to our existing stockholders</w:t>
            </w:r>
          </w:p>
        </w:tc>
      </w:tr>
      <w:tr>
        <w:trPr>
          <w:trHeight w:val="203"/>
        </w:trPr>
        <w:tc>
          <w:tcPr>
            <w:tcW w:w="7380" w:type="dxa"/>
            <w:vAlign w:val="bottom"/>
          </w:tcPr>
          <w:p>
            <w:pPr>
              <w:spacing w:after="0" w:line="202" w:lineRule="exact"/>
              <w:rPr>
                <w:sz w:val="20"/>
                <w:szCs w:val="20"/>
                <w:color w:val="auto"/>
              </w:rPr>
            </w:pPr>
            <w:r>
              <w:rPr>
                <w:rFonts w:ascii="Arial" w:cs="Arial" w:eastAsia="Arial" w:hAnsi="Arial"/>
                <w:sz w:val="18"/>
                <w:szCs w:val="18"/>
                <w:color w:val="auto"/>
              </w:rPr>
              <w:t>and an immediate dilution in pro forma as adjusted net tangible book value per share of $</w:t>
            </w:r>
          </w:p>
        </w:tc>
        <w:tc>
          <w:tcPr>
            <w:tcW w:w="500" w:type="dxa"/>
            <w:vAlign w:val="bottom"/>
          </w:tcPr>
          <w:p>
            <w:pPr>
              <w:spacing w:after="0"/>
              <w:rPr>
                <w:sz w:val="17"/>
                <w:szCs w:val="17"/>
                <w:color w:val="auto"/>
              </w:rPr>
            </w:pPr>
          </w:p>
        </w:tc>
        <w:tc>
          <w:tcPr>
            <w:tcW w:w="3140" w:type="dxa"/>
            <w:vAlign w:val="bottom"/>
            <w:gridSpan w:val="6"/>
          </w:tcPr>
          <w:p>
            <w:pPr>
              <w:spacing w:after="0" w:line="202" w:lineRule="exact"/>
              <w:rPr>
                <w:sz w:val="20"/>
                <w:szCs w:val="20"/>
                <w:color w:val="auto"/>
              </w:rPr>
            </w:pPr>
            <w:r>
              <w:rPr>
                <w:rFonts w:ascii="Arial" w:cs="Arial" w:eastAsia="Arial" w:hAnsi="Arial"/>
                <w:sz w:val="18"/>
                <w:szCs w:val="18"/>
                <w:color w:val="auto"/>
              </w:rPr>
              <w:t>to new investors purchasing common</w:t>
            </w:r>
          </w:p>
        </w:tc>
      </w:tr>
      <w:tr>
        <w:trPr>
          <w:trHeight w:val="243"/>
        </w:trPr>
        <w:tc>
          <w:tcPr>
            <w:tcW w:w="7380" w:type="dxa"/>
            <w:vAlign w:val="bottom"/>
          </w:tcPr>
          <w:p>
            <w:pPr>
              <w:spacing w:after="0"/>
              <w:rPr>
                <w:sz w:val="20"/>
                <w:szCs w:val="20"/>
                <w:color w:val="auto"/>
              </w:rPr>
            </w:pPr>
            <w:r>
              <w:rPr>
                <w:rFonts w:ascii="Arial" w:cs="Arial" w:eastAsia="Arial" w:hAnsi="Arial"/>
                <w:sz w:val="18"/>
                <w:szCs w:val="18"/>
                <w:color w:val="auto"/>
              </w:rPr>
              <w:t>stock in this offering.</w:t>
            </w: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18"/>
        </w:trPr>
        <w:tc>
          <w:tcPr>
            <w:tcW w:w="7380" w:type="dxa"/>
            <w:vAlign w:val="bottom"/>
          </w:tcPr>
          <w:p>
            <w:pPr>
              <w:ind w:left="540"/>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5"/>
        </w:trPr>
        <w:tc>
          <w:tcPr>
            <w:tcW w:w="7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 initial public offering price per share</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920" w:type="dxa"/>
            <w:vAlign w:val="bottom"/>
            <w:gridSpan w:val="4"/>
            <w:shd w:val="clear" w:color="auto" w:fill="CCEEFF"/>
          </w:tcPr>
          <w:p>
            <w:pPr>
              <w:jc w:val="right"/>
              <w:ind w:right="607"/>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7380" w:type="dxa"/>
            <w:vAlign w:val="bottom"/>
          </w:tcPr>
          <w:p>
            <w:pPr>
              <w:ind w:left="360"/>
              <w:spacing w:after="0" w:line="202" w:lineRule="exact"/>
              <w:rPr>
                <w:sz w:val="20"/>
                <w:szCs w:val="20"/>
                <w:color w:val="auto"/>
              </w:rPr>
            </w:pPr>
            <w:r>
              <w:rPr>
                <w:rFonts w:ascii="Arial" w:cs="Arial" w:eastAsia="Arial" w:hAnsi="Arial"/>
                <w:sz w:val="18"/>
                <w:szCs w:val="18"/>
                <w:color w:val="auto"/>
              </w:rPr>
              <w:t>Historical net tangible book value (deficit) per share as of June 30, 2020</w:t>
            </w: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jc w:val="right"/>
              <w:ind w:right="590"/>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3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 forma increase in net tangible book value (deficit) per share as of June 30, 2020</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87"/>
        </w:trPr>
        <w:tc>
          <w:tcPr>
            <w:tcW w:w="9040" w:type="dxa"/>
            <w:vAlign w:val="bottom"/>
            <w:gridSpan w:val="3"/>
          </w:tcPr>
          <w:p>
            <w:pPr>
              <w:ind w:left="360"/>
              <w:spacing w:after="0" w:line="187" w:lineRule="exact"/>
              <w:rPr>
                <w:sz w:val="20"/>
                <w:szCs w:val="20"/>
                <w:color w:val="auto"/>
              </w:rPr>
            </w:pPr>
            <w:r>
              <w:rPr>
                <w:rFonts w:ascii="Arial" w:cs="Arial" w:eastAsia="Arial" w:hAnsi="Arial"/>
                <w:sz w:val="18"/>
                <w:szCs w:val="18"/>
                <w:color w:val="auto"/>
              </w:rPr>
              <w:t>Pro forma net tangible book value (deficit) per share as of June 30, 2020 Increase in pro forma net</w:t>
            </w: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2"/>
        </w:trPr>
        <w:tc>
          <w:tcPr>
            <w:tcW w:w="7880" w:type="dxa"/>
            <w:vAlign w:val="bottom"/>
            <w:gridSpan w:val="2"/>
          </w:tcPr>
          <w:p>
            <w:pPr>
              <w:ind w:left="540"/>
              <w:spacing w:after="0"/>
              <w:rPr>
                <w:sz w:val="20"/>
                <w:szCs w:val="20"/>
                <w:color w:val="auto"/>
              </w:rPr>
            </w:pPr>
            <w:r>
              <w:rPr>
                <w:rFonts w:ascii="Arial" w:cs="Arial" w:eastAsia="Arial" w:hAnsi="Arial"/>
                <w:sz w:val="18"/>
                <w:szCs w:val="18"/>
                <w:color w:val="auto"/>
                <w:w w:val="99"/>
              </w:rPr>
              <w:t>tangible book value per share attributable to new investors purchasing shares in this offering</w:t>
            </w:r>
          </w:p>
        </w:tc>
        <w:tc>
          <w:tcPr>
            <w:tcW w:w="11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3"/>
        </w:trPr>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as adjusted net tangible book value per share after this offering</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7380" w:type="dxa"/>
            <w:vAlign w:val="bottom"/>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7380" w:type="dxa"/>
            <w:vAlign w:val="bottom"/>
          </w:tcPr>
          <w:p>
            <w:pPr>
              <w:ind w:left="540"/>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3640" w:type="dxa"/>
            <w:vAlign w:val="bottom"/>
            <w:gridSpan w:val="7"/>
          </w:tcPr>
          <w:p>
            <w:pPr>
              <w:jc w:val="right"/>
              <w:ind w:right="320"/>
              <w:spacing w:after="0"/>
              <w:rPr>
                <w:sz w:val="20"/>
                <w:szCs w:val="20"/>
                <w:color w:val="auto"/>
              </w:rPr>
            </w:pPr>
            <w:r>
              <w:rPr>
                <w:rFonts w:ascii="Arial" w:cs="Arial" w:eastAsia="Arial" w:hAnsi="Arial"/>
                <w:sz w:val="18"/>
                <w:szCs w:val="18"/>
                <w:color w:val="auto"/>
              </w:rPr>
              <w:t>per share, which is the midpoint of the</w:t>
            </w:r>
          </w:p>
        </w:tc>
      </w:tr>
    </w:tbl>
    <w:p>
      <w:pPr>
        <w:ind w:left="120"/>
        <w:spacing w:after="0" w:line="234" w:lineRule="auto"/>
        <w:rPr>
          <w:sz w:val="20"/>
          <w:szCs w:val="20"/>
          <w:color w:val="auto"/>
        </w:rPr>
      </w:pPr>
      <w:r>
        <w:rPr>
          <w:rFonts w:ascii="Arial" w:cs="Arial" w:eastAsia="Arial" w:hAnsi="Arial"/>
          <w:sz w:val="18"/>
          <w:szCs w:val="18"/>
          <w:color w:val="auto"/>
        </w:rPr>
        <w:t>estimated offering price range set forth on the cover page of this prospectus, would increase or decrease, as applicable, the pro forma as</w:t>
      </w:r>
    </w:p>
    <w:p>
      <w:pPr>
        <w:spacing w:after="0" w:line="382"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adjusted net tangible book value per share after this offering by $ per share and the dilution to new investors purchasing common stock in this offering by $ per share, assuming the number of shares offered by us, as set forth on the cover page of this</w:t>
      </w:r>
    </w:p>
    <w:p>
      <w:pPr>
        <w:spacing w:after="0" w:line="1"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prospectus, remains the same, and after deducting estimated underwriting discounts and commissions and estimated offering expenses payable by us. An increase of 1.0 million shares in the number of shares offered by us would increase the pro forma as adjusted</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5" w:right="4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43" w:lineRule="auto"/>
        <w:rPr>
          <w:sz w:val="20"/>
          <w:szCs w:val="20"/>
          <w:color w:val="auto"/>
        </w:rPr>
      </w:pPr>
      <w:r>
        <w:rPr>
          <w:rFonts w:ascii="Arial" w:cs="Arial" w:eastAsia="Arial" w:hAnsi="Arial"/>
          <w:sz w:val="18"/>
          <w:szCs w:val="18"/>
          <w:color w:val="auto"/>
        </w:rPr>
        <w:t>net tangible book value per share after this offering by $ and decrease the dilution per share to new investors participating in this offering by $ . A decrease of 1.0 million shares in the number of shares offered by us would decrease the pro forma as adjusted net tangible book value per share after this offering by $ and increase the dilution per share to new investors participating in this offering by $ , assuming the assumed initial public offering price of $ per share, which is the midpoint of the estimated offering price range set forth on the cover page of this prospectus, remains the same, and after deducting estimated underwriting discounts and commissions and estimated offering expenses payable by us.</w:t>
      </w:r>
    </w:p>
    <w:p>
      <w:pPr>
        <w:spacing w:after="0" w:line="174" w:lineRule="exact"/>
        <w:rPr>
          <w:sz w:val="20"/>
          <w:szCs w:val="20"/>
          <w:color w:val="auto"/>
        </w:rPr>
      </w:pPr>
    </w:p>
    <w:p>
      <w:pPr>
        <w:ind w:left="120" w:right="360" w:firstLine="551"/>
        <w:spacing w:after="0" w:line="247" w:lineRule="auto"/>
        <w:rPr>
          <w:sz w:val="20"/>
          <w:szCs w:val="20"/>
          <w:color w:val="auto"/>
        </w:rPr>
      </w:pPr>
      <w:r>
        <w:rPr>
          <w:rFonts w:ascii="Arial" w:cs="Arial" w:eastAsia="Arial" w:hAnsi="Arial"/>
          <w:sz w:val="18"/>
          <w:szCs w:val="18"/>
          <w:color w:val="auto"/>
        </w:rPr>
        <w:t>If the underwriters exercise their option to purchase additional shares of common stock in this offering in full at the assumed initial public offering price of $ per share, which is the midpoint of the estimated offering price range set forth on the</w:t>
      </w:r>
    </w:p>
    <w:p>
      <w:pPr>
        <w:spacing w:after="0" w:line="1" w:lineRule="exact"/>
        <w:rPr>
          <w:sz w:val="20"/>
          <w:szCs w:val="20"/>
          <w:color w:val="auto"/>
        </w:rPr>
      </w:pPr>
    </w:p>
    <w:p>
      <w:pPr>
        <w:ind w:left="120" w:right="80"/>
        <w:spacing w:after="0" w:line="248" w:lineRule="auto"/>
        <w:rPr>
          <w:sz w:val="20"/>
          <w:szCs w:val="20"/>
          <w:color w:val="auto"/>
        </w:rPr>
      </w:pPr>
      <w:r>
        <w:rPr>
          <w:rFonts w:ascii="Arial" w:cs="Arial" w:eastAsia="Arial" w:hAnsi="Arial"/>
          <w:sz w:val="17"/>
          <w:szCs w:val="17"/>
          <w:color w:val="auto"/>
        </w:rPr>
        <w:t>cover of this prospectus, and assuming the number of shares offered by us, as set forth on the cover page of this prospectus, remains the same, and after deducting estimated underwriting discounts and commissions and estimated offering expenses payable by us, the pro</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0" w:right="440"/>
        <w:spacing w:after="0" w:line="276" w:lineRule="auto"/>
        <w:rPr>
          <w:sz w:val="20"/>
          <w:szCs w:val="20"/>
          <w:color w:val="auto"/>
        </w:rPr>
      </w:pPr>
      <w:r>
        <w:rPr>
          <w:rFonts w:ascii="Arial" w:cs="Arial" w:eastAsia="Arial" w:hAnsi="Arial"/>
          <w:sz w:val="18"/>
          <w:szCs w:val="18"/>
          <w:color w:val="auto"/>
        </w:rPr>
        <w:t>forma as adjusted net tangible book value per share after this offering would be $ per share, and the dilution in pro forma as adjusted net tangible book value per share to new investors purchasing common stock in this offering would be $ per share.</w:t>
      </w:r>
    </w:p>
    <w:p>
      <w:pPr>
        <w:spacing w:after="0" w:line="145" w:lineRule="exact"/>
        <w:rPr>
          <w:sz w:val="20"/>
          <w:szCs w:val="20"/>
          <w:color w:val="auto"/>
        </w:rPr>
      </w:pPr>
    </w:p>
    <w:p>
      <w:pPr>
        <w:ind w:left="120" w:right="60" w:firstLine="551"/>
        <w:spacing w:after="0" w:line="262" w:lineRule="auto"/>
        <w:rPr>
          <w:sz w:val="20"/>
          <w:szCs w:val="20"/>
          <w:color w:val="auto"/>
        </w:rPr>
      </w:pPr>
      <w:r>
        <w:rPr>
          <w:rFonts w:ascii="Arial" w:cs="Arial" w:eastAsia="Arial" w:hAnsi="Arial"/>
          <w:sz w:val="17"/>
          <w:szCs w:val="17"/>
          <w:color w:val="auto"/>
        </w:rPr>
        <w:t>The following table summarizes, on a pro forma as adjusted basis, as of June 30, 2020, the number of shares of common stock purchased from us on an as converted to common stock basis, the total consideration paid and the weighted-average price per share paid</w:t>
      </w:r>
    </w:p>
    <w:p>
      <w:pPr>
        <w:jc w:val="both"/>
        <w:ind w:left="120" w:right="160"/>
        <w:spacing w:after="0" w:line="242" w:lineRule="auto"/>
        <w:rPr>
          <w:sz w:val="20"/>
          <w:szCs w:val="20"/>
          <w:color w:val="auto"/>
        </w:rPr>
      </w:pPr>
      <w:r>
        <w:rPr>
          <w:rFonts w:ascii="Arial" w:cs="Arial" w:eastAsia="Arial" w:hAnsi="Arial"/>
          <w:sz w:val="18"/>
          <w:szCs w:val="18"/>
          <w:color w:val="auto"/>
        </w:rPr>
        <w:t>by existing stockholders and by new investors in this offering at the assumed initial public offering price of $ per share, which is the midpoint of the estimated offering price range set forth on the cover page of this prospectus, before deducting estimated underwriting discounts and commissions and estimated offering expenses payable by us.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20" w:type="dxa"/>
            <w:vAlign w:val="bottom"/>
            <w:gridSpan w:val="3"/>
            <w:vMerge w:val="restart"/>
          </w:tcPr>
          <w:p>
            <w:pPr>
              <w:jc w:val="center"/>
              <w:ind w:left="46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4"/>
            <w:vMerge w:val="restart"/>
          </w:tcPr>
          <w:p>
            <w:pPr>
              <w:jc w:val="right"/>
              <w:ind w:right="93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94"/>
        </w:trPr>
        <w:tc>
          <w:tcPr>
            <w:tcW w:w="15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6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68"/>
        </w:trPr>
        <w:tc>
          <w:tcPr>
            <w:tcW w:w="15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0" w:type="dxa"/>
            <w:vAlign w:val="bottom"/>
            <w:gridSpan w:val="4"/>
            <w:vMerge w:val="restart"/>
          </w:tcPr>
          <w:p>
            <w:pPr>
              <w:jc w:val="center"/>
              <w:ind w:left="268"/>
              <w:spacing w:after="0"/>
              <w:rPr>
                <w:sz w:val="20"/>
                <w:szCs w:val="20"/>
                <w:color w:val="auto"/>
              </w:rPr>
            </w:pPr>
            <w:r>
              <w:rPr>
                <w:rFonts w:ascii="Arial" w:cs="Arial" w:eastAsia="Arial" w:hAnsi="Arial"/>
                <w:sz w:val="14"/>
                <w:szCs w:val="14"/>
                <w:b w:val="1"/>
                <w:bCs w:val="1"/>
                <w:color w:val="auto"/>
              </w:rPr>
              <w:t>Purchased</w:t>
            </w: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00" w:type="dxa"/>
            <w:vAlign w:val="bottom"/>
            <w:gridSpan w:val="5"/>
            <w:vMerge w:val="restart"/>
          </w:tcPr>
          <w:p>
            <w:pPr>
              <w:jc w:val="right"/>
              <w:ind w:right="610"/>
              <w:spacing w:after="0"/>
              <w:rPr>
                <w:sz w:val="20"/>
                <w:szCs w:val="20"/>
                <w:color w:val="auto"/>
              </w:rPr>
            </w:pPr>
            <w:r>
              <w:rPr>
                <w:rFonts w:ascii="Arial" w:cs="Arial" w:eastAsia="Arial" w:hAnsi="Arial"/>
                <w:sz w:val="14"/>
                <w:szCs w:val="14"/>
                <w:b w:val="1"/>
                <w:bCs w:val="1"/>
                <w:color w:val="auto"/>
              </w:rPr>
              <w:t>Consideration</w:t>
            </w:r>
          </w:p>
        </w:tc>
        <w:tc>
          <w:tcPr>
            <w:tcW w:w="1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5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32"/>
        </w:trPr>
        <w:tc>
          <w:tcPr>
            <w:tcW w:w="15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15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Number</w:t>
            </w:r>
          </w:p>
        </w:tc>
        <w:tc>
          <w:tcPr>
            <w:tcW w:w="86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w w:val="97"/>
              </w:rPr>
              <w:t>Percent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5"/>
                <w:szCs w:val="15"/>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 before this offering</w:t>
            </w:r>
          </w:p>
        </w:tc>
        <w:tc>
          <w:tcPr>
            <w:tcW w:w="1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87"/>
              </w:rPr>
              <w:t>%</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604"/>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Investors participating in this offering</w:t>
            </w:r>
          </w:p>
        </w:tc>
        <w:tc>
          <w:tcPr>
            <w:tcW w:w="14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604"/>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0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100%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360" w:type="dxa"/>
            <w:vAlign w:val="bottom"/>
            <w:gridSpan w:val="4"/>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gridSpan w:val="3"/>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7000" w:type="dxa"/>
            <w:vAlign w:val="bottom"/>
            <w:gridSpan w:val="6"/>
          </w:tcPr>
          <w:p>
            <w:pPr>
              <w:ind w:left="540"/>
              <w:spacing w:after="0"/>
              <w:rPr>
                <w:sz w:val="20"/>
                <w:szCs w:val="20"/>
                <w:color w:val="auto"/>
              </w:rPr>
            </w:pPr>
            <w:r>
              <w:rPr>
                <w:rFonts w:ascii="Arial" w:cs="Arial" w:eastAsia="Arial" w:hAnsi="Arial"/>
                <w:sz w:val="18"/>
                <w:szCs w:val="18"/>
                <w:color w:val="auto"/>
              </w:rPr>
              <w:t>The table above assumes no exercise of the underwriters’ option to purchase</w:t>
            </w:r>
          </w:p>
        </w:tc>
        <w:tc>
          <w:tcPr>
            <w:tcW w:w="180" w:type="dxa"/>
            <w:vAlign w:val="bottom"/>
          </w:tcPr>
          <w:p>
            <w:pPr>
              <w:spacing w:after="0"/>
              <w:rPr>
                <w:sz w:val="24"/>
                <w:szCs w:val="24"/>
                <w:color w:val="auto"/>
              </w:rPr>
            </w:pPr>
          </w:p>
        </w:tc>
        <w:tc>
          <w:tcPr>
            <w:tcW w:w="3840" w:type="dxa"/>
            <w:vAlign w:val="bottom"/>
            <w:gridSpan w:val="12"/>
          </w:tcPr>
          <w:p>
            <w:pPr>
              <w:ind w:left="300"/>
              <w:spacing w:after="0"/>
              <w:rPr>
                <w:sz w:val="20"/>
                <w:szCs w:val="20"/>
                <w:color w:val="auto"/>
              </w:rPr>
            </w:pPr>
            <w:r>
              <w:rPr>
                <w:rFonts w:ascii="Arial" w:cs="Arial" w:eastAsia="Arial" w:hAnsi="Arial"/>
                <w:sz w:val="18"/>
                <w:szCs w:val="18"/>
                <w:color w:val="auto"/>
              </w:rPr>
              <w:t>additional shares in this offering. If the</w:t>
            </w:r>
          </w:p>
        </w:tc>
        <w:tc>
          <w:tcPr>
            <w:tcW w:w="0" w:type="dxa"/>
            <w:vAlign w:val="bottom"/>
          </w:tcPr>
          <w:p>
            <w:pPr>
              <w:spacing w:after="0"/>
              <w:rPr>
                <w:sz w:val="1"/>
                <w:szCs w:val="1"/>
                <w:color w:val="auto"/>
              </w:rPr>
            </w:pPr>
          </w:p>
        </w:tc>
      </w:tr>
      <w:tr>
        <w:trPr>
          <w:trHeight w:val="203"/>
        </w:trPr>
        <w:tc>
          <w:tcPr>
            <w:tcW w:w="11020" w:type="dxa"/>
            <w:vAlign w:val="bottom"/>
            <w:gridSpan w:val="19"/>
          </w:tcPr>
          <w:p>
            <w:pPr>
              <w:spacing w:after="0" w:line="202" w:lineRule="exact"/>
              <w:rPr>
                <w:sz w:val="20"/>
                <w:szCs w:val="20"/>
                <w:color w:val="auto"/>
              </w:rPr>
            </w:pPr>
            <w:r>
              <w:rPr>
                <w:rFonts w:ascii="Arial" w:cs="Arial" w:eastAsia="Arial" w:hAnsi="Arial"/>
                <w:sz w:val="18"/>
                <w:szCs w:val="18"/>
                <w:color w:val="auto"/>
              </w:rPr>
              <w:t>underwriters’ option to purchase additional shares is exercised in full, the number of shares of our common stock held by existing</w:t>
            </w: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stockholders would be reduced to approximately</w:t>
            </w:r>
          </w:p>
        </w:tc>
        <w:tc>
          <w:tcPr>
            <w:tcW w:w="6500" w:type="dxa"/>
            <w:vAlign w:val="bottom"/>
            <w:gridSpan w:val="17"/>
          </w:tcPr>
          <w:p>
            <w:pPr>
              <w:ind w:left="120"/>
              <w:spacing w:after="0" w:line="202" w:lineRule="exact"/>
              <w:rPr>
                <w:sz w:val="20"/>
                <w:szCs w:val="20"/>
                <w:color w:val="auto"/>
              </w:rPr>
            </w:pPr>
            <w:r>
              <w:rPr>
                <w:rFonts w:ascii="Arial" w:cs="Arial" w:eastAsia="Arial" w:hAnsi="Arial"/>
                <w:sz w:val="18"/>
                <w:szCs w:val="18"/>
                <w:color w:val="auto"/>
              </w:rPr>
              <w:t>% of the total number of shares of our common stock outstanding after this</w:t>
            </w:r>
          </w:p>
        </w:tc>
        <w:tc>
          <w:tcPr>
            <w:tcW w:w="0" w:type="dxa"/>
            <w:vAlign w:val="bottom"/>
          </w:tcPr>
          <w:p>
            <w:pPr>
              <w:spacing w:after="0"/>
              <w:rPr>
                <w:sz w:val="1"/>
                <w:szCs w:val="1"/>
                <w:color w:val="auto"/>
              </w:rPr>
            </w:pPr>
          </w:p>
        </w:tc>
      </w:tr>
      <w:tr>
        <w:trPr>
          <w:trHeight w:val="203"/>
        </w:trPr>
        <w:tc>
          <w:tcPr>
            <w:tcW w:w="10040" w:type="dxa"/>
            <w:vAlign w:val="bottom"/>
            <w:gridSpan w:val="16"/>
          </w:tcPr>
          <w:p>
            <w:pPr>
              <w:spacing w:after="0" w:line="202" w:lineRule="exact"/>
              <w:rPr>
                <w:sz w:val="20"/>
                <w:szCs w:val="20"/>
                <w:color w:val="auto"/>
              </w:rPr>
            </w:pPr>
            <w:r>
              <w:rPr>
                <w:rFonts w:ascii="Arial" w:cs="Arial" w:eastAsia="Arial" w:hAnsi="Arial"/>
                <w:sz w:val="18"/>
                <w:szCs w:val="18"/>
                <w:color w:val="auto"/>
              </w:rPr>
              <w:t>offering, and the number of shares of common stock held by new investors participating in the offering would be increased to</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rPr>
                <w:sz w:val="20"/>
                <w:szCs w:val="20"/>
                <w:color w:val="auto"/>
              </w:rPr>
            </w:pPr>
            <w:r>
              <w:rPr>
                <w:rFonts w:ascii="Arial" w:cs="Arial" w:eastAsia="Arial" w:hAnsi="Arial"/>
                <w:sz w:val="18"/>
                <w:szCs w:val="18"/>
                <w:color w:val="auto"/>
              </w:rPr>
              <w:t>approximately</w:t>
            </w:r>
          </w:p>
        </w:tc>
        <w:tc>
          <w:tcPr>
            <w:tcW w:w="5480" w:type="dxa"/>
            <w:vAlign w:val="bottom"/>
            <w:gridSpan w:val="5"/>
          </w:tcPr>
          <w:p>
            <w:pPr>
              <w:ind w:left="400"/>
              <w:spacing w:after="0"/>
              <w:rPr>
                <w:sz w:val="20"/>
                <w:szCs w:val="20"/>
                <w:color w:val="auto"/>
              </w:rPr>
            </w:pPr>
            <w:r>
              <w:rPr>
                <w:rFonts w:ascii="Arial" w:cs="Arial" w:eastAsia="Arial" w:hAnsi="Arial"/>
                <w:sz w:val="18"/>
                <w:szCs w:val="18"/>
                <w:color w:val="auto"/>
              </w:rPr>
              <w:t>% of the total number of shares outstanding after this offering.</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7000" w:type="dxa"/>
            <w:vAlign w:val="bottom"/>
            <w:gridSpan w:val="6"/>
          </w:tcPr>
          <w:p>
            <w:pPr>
              <w:ind w:left="540"/>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00" w:type="dxa"/>
            <w:vAlign w:val="bottom"/>
            <w:gridSpan w:val="11"/>
          </w:tcPr>
          <w:p>
            <w:pPr>
              <w:ind w:left="160"/>
              <w:spacing w:after="0"/>
              <w:rPr>
                <w:sz w:val="20"/>
                <w:szCs w:val="20"/>
                <w:color w:val="auto"/>
              </w:rPr>
            </w:pPr>
            <w:r>
              <w:rPr>
                <w:rFonts w:ascii="Arial" w:cs="Arial" w:eastAsia="Arial" w:hAnsi="Arial"/>
                <w:sz w:val="18"/>
                <w:szCs w:val="18"/>
                <w:color w:val="auto"/>
              </w:rPr>
              <w:t>per share, which is the midpoint of the</w:t>
            </w:r>
          </w:p>
        </w:tc>
        <w:tc>
          <w:tcPr>
            <w:tcW w:w="0" w:type="dxa"/>
            <w:vAlign w:val="bottom"/>
          </w:tcPr>
          <w:p>
            <w:pPr>
              <w:spacing w:after="0"/>
              <w:rPr>
                <w:sz w:val="1"/>
                <w:szCs w:val="1"/>
                <w:color w:val="auto"/>
              </w:rPr>
            </w:pPr>
          </w:p>
        </w:tc>
      </w:tr>
      <w:tr>
        <w:trPr>
          <w:trHeight w:val="203"/>
        </w:trPr>
        <w:tc>
          <w:tcPr>
            <w:tcW w:w="11020" w:type="dxa"/>
            <w:vAlign w:val="bottom"/>
            <w:gridSpan w:val="19"/>
          </w:tcPr>
          <w:p>
            <w:pPr>
              <w:spacing w:after="0" w:line="202" w:lineRule="exact"/>
              <w:rPr>
                <w:sz w:val="20"/>
                <w:szCs w:val="20"/>
                <w:color w:val="auto"/>
              </w:rPr>
            </w:pPr>
            <w:r>
              <w:rPr>
                <w:rFonts w:ascii="Arial" w:cs="Arial" w:eastAsia="Arial" w:hAnsi="Arial"/>
                <w:sz w:val="18"/>
                <w:szCs w:val="18"/>
                <w:color w:val="auto"/>
              </w:rPr>
              <w:t>estimated offering price range set forth on the cover page of this prospectus, would increase or decrease, as applicable, the total</w:t>
            </w:r>
          </w:p>
        </w:tc>
        <w:tc>
          <w:tcPr>
            <w:tcW w:w="0" w:type="dxa"/>
            <w:vAlign w:val="bottom"/>
          </w:tcPr>
          <w:p>
            <w:pPr>
              <w:spacing w:after="0"/>
              <w:rPr>
                <w:sz w:val="1"/>
                <w:szCs w:val="1"/>
                <w:color w:val="auto"/>
              </w:rPr>
            </w:pPr>
          </w:p>
        </w:tc>
      </w:tr>
      <w:tr>
        <w:trPr>
          <w:trHeight w:val="224"/>
        </w:trPr>
        <w:tc>
          <w:tcPr>
            <w:tcW w:w="4520" w:type="dxa"/>
            <w:vAlign w:val="bottom"/>
            <w:gridSpan w:val="2"/>
          </w:tcPr>
          <w:p>
            <w:pPr>
              <w:spacing w:after="0"/>
              <w:rPr>
                <w:sz w:val="20"/>
                <w:szCs w:val="20"/>
                <w:color w:val="auto"/>
              </w:rPr>
            </w:pPr>
            <w:r>
              <w:rPr>
                <w:rFonts w:ascii="Arial" w:cs="Arial" w:eastAsia="Arial" w:hAnsi="Arial"/>
                <w:sz w:val="18"/>
                <w:szCs w:val="18"/>
                <w:color w:val="auto"/>
              </w:rPr>
              <w:t>consideration paid by new investors by approximately $</w:t>
            </w:r>
          </w:p>
        </w:tc>
        <w:tc>
          <w:tcPr>
            <w:tcW w:w="6500" w:type="dxa"/>
            <w:vAlign w:val="bottom"/>
            <w:gridSpan w:val="17"/>
          </w:tcPr>
          <w:p>
            <w:pPr>
              <w:ind w:left="680"/>
              <w:spacing w:after="0"/>
              <w:rPr>
                <w:sz w:val="20"/>
                <w:szCs w:val="20"/>
                <w:color w:val="auto"/>
              </w:rPr>
            </w:pPr>
            <w:r>
              <w:rPr>
                <w:rFonts w:ascii="Arial" w:cs="Arial" w:eastAsia="Arial" w:hAnsi="Arial"/>
                <w:sz w:val="18"/>
                <w:szCs w:val="18"/>
                <w:color w:val="auto"/>
              </w:rPr>
              <w:t>million, assuming that the number of shares offered by us, as set forth</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Arial" w:cs="Arial" w:eastAsia="Arial" w:hAnsi="Arial"/>
          <w:sz w:val="18"/>
          <w:szCs w:val="18"/>
          <w:color w:val="auto"/>
        </w:rPr>
        <w:t>on the cover page of this prospectus, remains the same. An increase or decrease of 1.0 million shares in the number of shares offered by</w:t>
      </w:r>
    </w:p>
    <w:p>
      <w:pPr>
        <w:spacing w:after="0" w:line="38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us would increase or decrease, as applicable, the total consideration paid by new investors by approximately $ million, assuming the assumed initial public offering price of $ per share, which is the midpoint of the estimated offering price range set forth on the cover page of this prospectus, remains the same.</w:t>
      </w:r>
    </w:p>
    <w:p>
      <w:pPr>
        <w:sectPr>
          <w:pgSz w:w="11900" w:h="16838" w:orient="portrait"/>
          <w:cols w:equalWidth="0" w:num="1">
            <w:col w:w="11140"/>
          </w:cols>
          <w:pgMar w:left="320" w:top="455" w:right="439" w:bottom="1440" w:gutter="0" w:footer="0" w:header="0"/>
        </w:sectPr>
      </w:pPr>
    </w:p>
    <w:p>
      <w:pPr>
        <w:spacing w:after="0" w:line="164" w:lineRule="exact"/>
        <w:rPr>
          <w:sz w:val="20"/>
          <w:szCs w:val="20"/>
          <w:color w:val="auto"/>
        </w:rPr>
      </w:pPr>
    </w:p>
    <w:p>
      <w:pPr>
        <w:ind w:left="120" w:right="80" w:firstLine="551"/>
        <w:spacing w:after="0" w:line="276" w:lineRule="auto"/>
        <w:rPr>
          <w:sz w:val="20"/>
          <w:szCs w:val="20"/>
          <w:color w:val="auto"/>
        </w:rPr>
      </w:pPr>
      <w:r>
        <w:rPr>
          <w:rFonts w:ascii="Arial" w:cs="Arial" w:eastAsia="Arial" w:hAnsi="Arial"/>
          <w:sz w:val="18"/>
          <w:szCs w:val="18"/>
          <w:color w:val="auto"/>
        </w:rPr>
        <w:t>The number of shares of our common stock to be outstanding after this offering is based on outstanding as of June 30, 2020 (including an aggregate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w:t>
      </w:r>
    </w:p>
    <w:p>
      <w:pPr>
        <w:spacing w:after="0" w:line="357" w:lineRule="exact"/>
        <w:rPr>
          <w:sz w:val="20"/>
          <w:szCs w:val="20"/>
          <w:color w:val="auto"/>
        </w:rPr>
      </w:pPr>
    </w:p>
    <w:p>
      <w:pPr>
        <w:sectPr>
          <w:pgSz w:w="11900" w:h="16838" w:orient="portrait"/>
          <w:cols w:equalWidth="0" w:num="2">
            <w:col w:w="8020" w:space="720"/>
            <w:col w:w="2400"/>
          </w:cols>
          <w:pgMar w:left="320" w:top="455" w:right="439" w:bottom="1440" w:gutter="0" w:footer="0" w:header="0"/>
          <w:type w:val="continuous"/>
        </w:sectPr>
      </w:pPr>
    </w:p>
    <w:p>
      <w:pPr>
        <w:jc w:val="center"/>
        <w:ind w:right="-11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140"/>
          </w:cols>
          <w:pgMar w:left="320" w:top="455" w:right="439" w:bottom="1440" w:gutter="0" w:footer="0" w:header="0"/>
          <w:type w:val="continuous"/>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20"/>
        <w:spacing w:after="0" w:line="276" w:lineRule="auto"/>
        <w:rPr>
          <w:sz w:val="20"/>
          <w:szCs w:val="20"/>
          <w:color w:val="auto"/>
        </w:rPr>
      </w:pPr>
      <w:r>
        <w:rPr>
          <w:rFonts w:ascii="Arial" w:cs="Arial" w:eastAsia="Arial" w:hAnsi="Arial"/>
          <w:sz w:val="18"/>
          <w:szCs w:val="18"/>
          <w:color w:val="auto"/>
        </w:rPr>
        <w:t>of shares of common stock issuable upon conversion of our outstanding convertible preferred stock as of June 30, 2020), and excludes the following:</w:t>
      </w:r>
    </w:p>
    <w:p>
      <w:pPr>
        <w:spacing w:after="0" w:line="50" w:lineRule="exact"/>
        <w:rPr>
          <w:sz w:val="20"/>
          <w:szCs w:val="20"/>
          <w:color w:val="auto"/>
        </w:rPr>
      </w:pPr>
    </w:p>
    <w:p>
      <w:pPr>
        <w:ind w:left="1480" w:hanging="824"/>
        <w:spacing w:after="0"/>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of common stock issuable upon exercise of options to purchase shares of our common stock outstanding as of</w:t>
      </w:r>
    </w:p>
    <w:p>
      <w:pPr>
        <w:spacing w:after="0" w:line="18" w:lineRule="exact"/>
        <w:rPr>
          <w:sz w:val="20"/>
          <w:szCs w:val="20"/>
          <w:color w:val="auto"/>
        </w:rPr>
      </w:pPr>
    </w:p>
    <w:p>
      <w:pPr>
        <w:ind w:left="880"/>
        <w:spacing w:after="0"/>
        <w:tabs>
          <w:tab w:leader="none" w:pos="5760" w:val="left"/>
        </w:tabs>
        <w:rPr>
          <w:sz w:val="20"/>
          <w:szCs w:val="20"/>
          <w:color w:val="auto"/>
        </w:rPr>
      </w:pPr>
      <w:r>
        <w:rPr>
          <w:rFonts w:ascii="Arial" w:cs="Arial" w:eastAsia="Arial" w:hAnsi="Arial"/>
          <w:sz w:val="18"/>
          <w:szCs w:val="18"/>
          <w:color w:val="auto"/>
        </w:rPr>
        <w:t>June 30, 2020, with a weighted-average exercise price of $</w:t>
      </w:r>
      <w:r>
        <w:rPr>
          <w:sz w:val="20"/>
          <w:szCs w:val="20"/>
          <w:color w:val="auto"/>
        </w:rPr>
        <w:tab/>
      </w:r>
      <w:r>
        <w:rPr>
          <w:rFonts w:ascii="Arial" w:cs="Arial" w:eastAsia="Arial" w:hAnsi="Arial"/>
          <w:sz w:val="17"/>
          <w:szCs w:val="17"/>
          <w:color w:val="auto"/>
        </w:rPr>
        <w:t>per share;</w:t>
      </w:r>
    </w:p>
    <w:p>
      <w:pPr>
        <w:spacing w:after="0" w:line="95" w:lineRule="exact"/>
        <w:rPr>
          <w:sz w:val="20"/>
          <w:szCs w:val="20"/>
          <w:color w:val="auto"/>
        </w:rPr>
      </w:pPr>
    </w:p>
    <w:p>
      <w:pPr>
        <w:ind w:left="1480" w:hanging="824"/>
        <w:spacing w:after="0"/>
        <w:tabs>
          <w:tab w:leader="none" w:pos="1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shares of common stock issuable upon exercise of options to purchase shares of our common stock that we granted</w:t>
      </w:r>
    </w:p>
    <w:p>
      <w:pPr>
        <w:spacing w:after="0" w:line="18" w:lineRule="exact"/>
        <w:rPr>
          <w:sz w:val="20"/>
          <w:szCs w:val="20"/>
          <w:color w:val="auto"/>
        </w:rPr>
      </w:pPr>
    </w:p>
    <w:p>
      <w:pPr>
        <w:ind w:left="880"/>
        <w:spacing w:after="0"/>
        <w:tabs>
          <w:tab w:leader="none" w:pos="6160" w:val="left"/>
        </w:tabs>
        <w:rPr>
          <w:sz w:val="20"/>
          <w:szCs w:val="20"/>
          <w:color w:val="auto"/>
        </w:rPr>
      </w:pPr>
      <w:r>
        <w:rPr>
          <w:rFonts w:ascii="Arial" w:cs="Arial" w:eastAsia="Arial" w:hAnsi="Arial"/>
          <w:sz w:val="18"/>
          <w:szCs w:val="18"/>
          <w:color w:val="auto"/>
        </w:rPr>
        <w:t>after June 30, 2020, with a weighted-average exercise price of $</w:t>
        <w:tab/>
        <w:t>per share;</w:t>
      </w:r>
    </w:p>
    <w:p>
      <w:pPr>
        <w:spacing w:after="0" w:line="95" w:lineRule="exact"/>
        <w:rPr>
          <w:sz w:val="20"/>
          <w:szCs w:val="20"/>
          <w:color w:val="auto"/>
        </w:rPr>
      </w:pPr>
    </w:p>
    <w:p>
      <w:pPr>
        <w:ind w:left="880" w:right="120" w:hanging="224"/>
        <w:spacing w:after="0" w:line="276" w:lineRule="auto"/>
        <w:tabs>
          <w:tab w:leader="none" w:pos="1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2013 Equity Incentive Plan, as amended, which shares will be added to the shares to be reserved under our 2020 Equity Incentive Plan, or 2020 Plan, upon its effectiveness;</w:t>
      </w:r>
    </w:p>
    <w:p>
      <w:pPr>
        <w:spacing w:after="0" w:line="50" w:lineRule="exact"/>
        <w:rPr>
          <w:rFonts w:ascii="Arial" w:cs="Arial" w:eastAsia="Arial" w:hAnsi="Arial"/>
          <w:sz w:val="18"/>
          <w:szCs w:val="18"/>
          <w:color w:val="auto"/>
        </w:rPr>
      </w:pPr>
    </w:p>
    <w:p>
      <w:pPr>
        <w:jc w:val="both"/>
        <w:ind w:left="880" w:hanging="224"/>
        <w:spacing w:after="0" w:line="255"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warrant to purchase an aggregate of 56,866 shares of our convertible preferred stock outstanding as of June 30, 2020 that will be converted into a warrant to purchase an aggregate of 56,866 shares of our common stock, with an exercise price of $0.3517 per share, upon the completion of this offering; and</w:t>
      </w:r>
    </w:p>
    <w:p>
      <w:pPr>
        <w:spacing w:after="0" w:line="69" w:lineRule="exact"/>
        <w:rPr>
          <w:rFonts w:ascii="Arial" w:cs="Arial" w:eastAsia="Arial" w:hAnsi="Arial"/>
          <w:sz w:val="18"/>
          <w:szCs w:val="18"/>
          <w:color w:val="auto"/>
        </w:rPr>
      </w:pPr>
    </w:p>
    <w:p>
      <w:pPr>
        <w:ind w:left="880" w:right="60" w:hanging="224"/>
        <w:spacing w:after="0" w:line="255" w:lineRule="auto"/>
        <w:tabs>
          <w:tab w:leader="none" w:pos="153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2020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6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To the extent that any outstanding options or the warrant are exercised or new options are issued under the equity benefit plans, or we issue additional shares of common stock or other securities convertible into or exercisable or exchangeable for shares of our capital stock in the future, in each case at per share prices below the price to the public in this offering, there will be further dilution to investors participating in this offering.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60"/>
          </w:cols>
          <w:pgMar w:left="320" w:top="455" w:right="51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FINANCIAL DATA</w:t>
      </w:r>
    </w:p>
    <w:p>
      <w:pPr>
        <w:spacing w:after="0" w:line="21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following tables summarize our selected financial data for the periods and as of the dates indicated. We have derived our selected statements of operations data for the years ended December 31, 2018 and 2019 and the selected balance sheet data as of December 31, 2018 and 2019 from our audited financial statements and related notes included elsewhere in this prospectus. Our historical results are not necessarily indicative of the results that may be expected in the future. You should read the selected financial data below in conjunction with the section titled “Management’s Discussion and Analysis of Financial Condition and Results of Operations” and our financial statements and related notes included elsewhere in this prospectus. The selected financial data in this section are not intended to replace the financial statements and are qualified in their entirety by the financial statements and related notes included elsewhere in this prospectus.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7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9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2018</w:t>
            </w:r>
          </w:p>
        </w:tc>
        <w:tc>
          <w:tcPr>
            <w:tcW w:w="8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7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4"/>
          </w:tcPr>
          <w:p>
            <w:pPr>
              <w:jc w:val="center"/>
              <w:ind w:right="31"/>
              <w:spacing w:after="0" w:line="141" w:lineRule="exact"/>
              <w:rPr>
                <w:sz w:val="20"/>
                <w:szCs w:val="20"/>
                <w:color w:val="auto"/>
              </w:rPr>
            </w:pPr>
            <w:r>
              <w:rPr>
                <w:rFonts w:ascii="Arial" w:cs="Arial" w:eastAsia="Arial" w:hAnsi="Arial"/>
                <w:sz w:val="14"/>
                <w:szCs w:val="14"/>
                <w:b w:val="1"/>
                <w:bCs w:val="1"/>
                <w:color w:val="auto"/>
              </w:rPr>
              <w:t>(in thousands except share and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per share amounts)</w:t>
            </w:r>
          </w:p>
        </w:tc>
        <w:tc>
          <w:tcPr>
            <w:tcW w:w="0" w:type="dxa"/>
            <w:vAlign w:val="bottom"/>
          </w:tcPr>
          <w:p>
            <w:pPr>
              <w:spacing w:after="0"/>
              <w:rPr>
                <w:sz w:val="1"/>
                <w:szCs w:val="1"/>
                <w:color w:val="auto"/>
              </w:rPr>
            </w:pPr>
          </w:p>
        </w:tc>
      </w:tr>
      <w:tr>
        <w:trPr>
          <w:trHeight w:val="196"/>
        </w:trPr>
        <w:tc>
          <w:tcPr>
            <w:tcW w:w="7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Statements of Operations Data:</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13,853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20,759</w:t>
            </w:r>
          </w:p>
        </w:tc>
        <w:tc>
          <w:tcPr>
            <w:tcW w:w="0" w:type="dxa"/>
            <w:vAlign w:val="bottom"/>
          </w:tcPr>
          <w:p>
            <w:pPr>
              <w:spacing w:after="0"/>
              <w:rPr>
                <w:sz w:val="1"/>
                <w:szCs w:val="1"/>
                <w:color w:val="auto"/>
              </w:rPr>
            </w:pPr>
          </w:p>
        </w:tc>
      </w:tr>
      <w:tr>
        <w:trPr>
          <w:trHeight w:val="209"/>
        </w:trPr>
        <w:tc>
          <w:tcPr>
            <w:tcW w:w="796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5,039</w:t>
            </w:r>
          </w:p>
        </w:tc>
        <w:tc>
          <w:tcPr>
            <w:tcW w:w="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18,892</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26,637</w:t>
            </w:r>
          </w:p>
        </w:tc>
        <w:tc>
          <w:tcPr>
            <w:tcW w:w="0" w:type="dxa"/>
            <w:vAlign w:val="bottom"/>
          </w:tcPr>
          <w:p>
            <w:pPr>
              <w:spacing w:after="0"/>
              <w:rPr>
                <w:sz w:val="1"/>
                <w:szCs w:val="1"/>
                <w:color w:val="auto"/>
              </w:rPr>
            </w:pPr>
          </w:p>
        </w:tc>
      </w:tr>
      <w:tr>
        <w:trPr>
          <w:trHeight w:val="209"/>
        </w:trPr>
        <w:tc>
          <w:tcPr>
            <w:tcW w:w="796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(18,892)</w:t>
            </w:r>
          </w:p>
        </w:tc>
        <w:tc>
          <w:tcPr>
            <w:tcW w:w="8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100" w:type="dxa"/>
            <w:vAlign w:val="bottom"/>
          </w:tcPr>
          <w:p>
            <w:pPr>
              <w:spacing w:after="0"/>
              <w:rPr>
                <w:sz w:val="17"/>
                <w:szCs w:val="17"/>
                <w:color w:val="auto"/>
              </w:rPr>
            </w:pPr>
          </w:p>
        </w:tc>
        <w:tc>
          <w:tcPr>
            <w:tcW w:w="174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1,341</w:t>
            </w:r>
          </w:p>
        </w:tc>
        <w:tc>
          <w:tcPr>
            <w:tcW w:w="10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796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8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Loss before provision for income taxes</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(17,535)</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(25,344)</w:t>
            </w:r>
          </w:p>
        </w:tc>
        <w:tc>
          <w:tcPr>
            <w:tcW w:w="0" w:type="dxa"/>
            <w:vAlign w:val="bottom"/>
          </w:tcPr>
          <w:p>
            <w:pPr>
              <w:spacing w:after="0"/>
              <w:rPr>
                <w:sz w:val="1"/>
                <w:szCs w:val="1"/>
                <w:color w:val="auto"/>
              </w:rPr>
            </w:pPr>
          </w:p>
        </w:tc>
      </w:tr>
      <w:tr>
        <w:trPr>
          <w:trHeight w:val="210"/>
        </w:trPr>
        <w:tc>
          <w:tcPr>
            <w:tcW w:w="7960" w:type="dxa"/>
            <w:vAlign w:val="bottom"/>
          </w:tcPr>
          <w:p>
            <w:pPr>
              <w:ind w:left="720"/>
              <w:spacing w:after="0" w:line="202" w:lineRule="exact"/>
              <w:rPr>
                <w:sz w:val="20"/>
                <w:szCs w:val="20"/>
                <w:color w:val="auto"/>
              </w:rPr>
            </w:pPr>
            <w:r>
              <w:rPr>
                <w:rFonts w:ascii="Arial" w:cs="Arial" w:eastAsia="Arial" w:hAnsi="Arial"/>
                <w:sz w:val="18"/>
                <w:szCs w:val="18"/>
                <w:color w:val="auto"/>
              </w:rPr>
              <w:t>Provisions for income taxes</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(17,538)</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(25,352)</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360"/>
              <w:spacing w:after="0"/>
              <w:rPr>
                <w:sz w:val="20"/>
                <w:szCs w:val="20"/>
                <w:color w:val="auto"/>
              </w:rPr>
            </w:pPr>
            <w:r>
              <w:rPr>
                <w:rFonts w:ascii="Arial" w:cs="Arial" w:eastAsia="Arial" w:hAnsi="Arial"/>
                <w:sz w:val="18"/>
                <w:szCs w:val="18"/>
                <w:color w:val="auto"/>
              </w:rPr>
              <w:t>Net loss per share, basic and diluted</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c>
          <w:tcPr>
            <w:tcW w:w="82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Weighted-average number of shares outstanding, basic and diluted</w:t>
            </w: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w w:val="99"/>
              </w:rPr>
              <w:t>15,860,018</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15,980,859</w:t>
            </w:r>
          </w:p>
        </w:tc>
        <w:tc>
          <w:tcPr>
            <w:tcW w:w="0" w:type="dxa"/>
            <w:vAlign w:val="bottom"/>
          </w:tcPr>
          <w:p>
            <w:pPr>
              <w:spacing w:after="0"/>
              <w:rPr>
                <w:sz w:val="1"/>
                <w:szCs w:val="1"/>
                <w:color w:val="auto"/>
              </w:rPr>
            </w:pPr>
          </w:p>
        </w:tc>
      </w:tr>
      <w:tr>
        <w:trPr>
          <w:trHeight w:val="179"/>
        </w:trPr>
        <w:tc>
          <w:tcPr>
            <w:tcW w:w="7960" w:type="dxa"/>
            <w:vAlign w:val="bottom"/>
          </w:tcPr>
          <w:p>
            <w:pPr>
              <w:ind w:left="360"/>
              <w:spacing w:after="0" w:line="179" w:lineRule="exact"/>
              <w:rPr>
                <w:sz w:val="20"/>
                <w:szCs w:val="20"/>
                <w:color w:val="auto"/>
              </w:rPr>
            </w:pPr>
            <w:r>
              <w:rPr>
                <w:rFonts w:ascii="Arial" w:cs="Arial" w:eastAsia="Arial" w:hAnsi="Arial"/>
                <w:sz w:val="18"/>
                <w:szCs w:val="18"/>
                <w:color w:val="auto"/>
              </w:rPr>
              <w:t>Pro forma net loss per share attributable to common stockholders, basic and diluted</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960" w:type="dxa"/>
            <w:vAlign w:val="bottom"/>
          </w:tcPr>
          <w:p>
            <w:pPr>
              <w:ind w:left="54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179"/>
        </w:trPr>
        <w:tc>
          <w:tcPr>
            <w:tcW w:w="7960" w:type="dxa"/>
            <w:vAlign w:val="bottom"/>
            <w:shd w:val="clear" w:color="auto" w:fill="CCEEFF"/>
          </w:tcPr>
          <w:p>
            <w:pPr>
              <w:ind w:left="360"/>
              <w:spacing w:after="0" w:line="179" w:lineRule="exact"/>
              <w:rPr>
                <w:sz w:val="20"/>
                <w:szCs w:val="20"/>
                <w:color w:val="auto"/>
              </w:rPr>
            </w:pPr>
            <w:r>
              <w:rPr>
                <w:rFonts w:ascii="Arial" w:cs="Arial" w:eastAsia="Arial" w:hAnsi="Arial"/>
                <w:sz w:val="18"/>
                <w:szCs w:val="18"/>
                <w:color w:val="auto"/>
              </w:rPr>
              <w:t>Pro forma weighted-average number of common shares outstanding, basic and diluted</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111,520,898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6" w:lineRule="exact"/>
        <w:rPr>
          <w:sz w:val="20"/>
          <w:szCs w:val="20"/>
          <w:color w:val="auto"/>
        </w:rPr>
      </w:pPr>
    </w:p>
    <w:p>
      <w:pPr>
        <w:ind w:left="660" w:right="220" w:hanging="544"/>
        <w:spacing w:after="0" w:line="195" w:lineRule="auto"/>
        <w:tabs>
          <w:tab w:leader="none" w:pos="660" w:val="left"/>
        </w:tabs>
        <w:numPr>
          <w:ilvl w:val="0"/>
          <w:numId w:val="64"/>
        </w:numPr>
        <w:rPr>
          <w:rFonts w:ascii="Arial" w:cs="Arial" w:eastAsia="Arial" w:hAnsi="Arial"/>
          <w:sz w:val="24"/>
          <w:szCs w:val="24"/>
          <w:color w:val="auto"/>
          <w:vertAlign w:val="superscript"/>
        </w:rPr>
      </w:pPr>
      <w:r>
        <w:rPr>
          <w:rFonts w:ascii="Arial" w:cs="Arial" w:eastAsia="Arial" w:hAnsi="Arial"/>
          <w:sz w:val="14"/>
          <w:szCs w:val="14"/>
          <w:color w:val="auto"/>
        </w:rPr>
        <w:t>See Note 11 to our audited financial statements included elsewhere in this prospectus for an explanation of the method used to calculate net loss per share, basic and diluted, pro forma net loss per share, basic and diluted, and the weighted-average number of shares used in the computation of the per share amounts.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900" w:type="dxa"/>
            <w:vAlign w:val="bottom"/>
          </w:tcPr>
          <w:p>
            <w:pPr>
              <w:spacing w:after="0"/>
              <w:rPr>
                <w:sz w:val="15"/>
                <w:szCs w:val="15"/>
                <w:color w:val="auto"/>
              </w:rPr>
            </w:pPr>
          </w:p>
        </w:tc>
        <w:tc>
          <w:tcPr>
            <w:tcW w:w="21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156"/>
        </w:trPr>
        <w:tc>
          <w:tcPr>
            <w:tcW w:w="890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55"/>
        </w:trPr>
        <w:tc>
          <w:tcPr>
            <w:tcW w:w="8900" w:type="dxa"/>
            <w:vAlign w:val="bottom"/>
          </w:tcPr>
          <w:p>
            <w:pPr>
              <w:spacing w:after="0"/>
              <w:rPr>
                <w:sz w:val="13"/>
                <w:szCs w:val="13"/>
                <w:color w:val="auto"/>
              </w:rPr>
            </w:pPr>
          </w:p>
        </w:tc>
        <w:tc>
          <w:tcPr>
            <w:tcW w:w="2000" w:type="dxa"/>
            <w:vAlign w:val="bottom"/>
            <w:gridSpan w:val="2"/>
          </w:tcPr>
          <w:p>
            <w:pPr>
              <w:jc w:val="right"/>
              <w:ind w:right="412"/>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1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Cash, cash equivalents and short-term marketable securities</w:t>
            </w:r>
          </w:p>
        </w:tc>
        <w:tc>
          <w:tcPr>
            <w:tcW w:w="10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$ 61,907</w:t>
            </w: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$101,486</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10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59,912</w:t>
            </w: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97,570</w:t>
            </w: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0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63,458</w:t>
            </w: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103,033</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0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2,370</w:t>
            </w: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4,574</w:t>
            </w:r>
          </w:p>
        </w:tc>
      </w:tr>
      <w:tr>
        <w:trPr>
          <w:trHeight w:val="202"/>
        </w:trPr>
        <w:tc>
          <w:tcPr>
            <w:tcW w:w="8900" w:type="dxa"/>
            <w:vAlign w:val="bottom"/>
          </w:tcPr>
          <w:p>
            <w:pPr>
              <w:spacing w:after="0" w:line="202" w:lineRule="exact"/>
              <w:rPr>
                <w:sz w:val="20"/>
                <w:szCs w:val="20"/>
                <w:color w:val="auto"/>
              </w:rPr>
            </w:pPr>
            <w:r>
              <w:rPr>
                <w:rFonts w:ascii="Arial" w:cs="Arial" w:eastAsia="Arial" w:hAnsi="Arial"/>
                <w:sz w:val="18"/>
                <w:szCs w:val="18"/>
                <w:color w:val="auto"/>
              </w:rPr>
              <w:t>Convertible preferred stock</w:t>
            </w:r>
          </w:p>
        </w:tc>
        <w:tc>
          <w:tcPr>
            <w:tcW w:w="10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107,228</w:t>
            </w: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168,933</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02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(50,088)</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(75,440)</w:t>
            </w:r>
          </w:p>
        </w:tc>
      </w:tr>
      <w:tr>
        <w:trPr>
          <w:trHeight w:val="243"/>
        </w:trPr>
        <w:tc>
          <w:tcPr>
            <w:tcW w:w="890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020" w:type="dxa"/>
            <w:vAlign w:val="bottom"/>
          </w:tcPr>
          <w:p>
            <w:pPr>
              <w:jc w:val="right"/>
              <w:ind w:right="95"/>
              <w:spacing w:after="0"/>
              <w:rPr>
                <w:sz w:val="20"/>
                <w:szCs w:val="20"/>
                <w:color w:val="auto"/>
              </w:rPr>
            </w:pPr>
            <w:r>
              <w:rPr>
                <w:rFonts w:ascii="Arial" w:cs="Arial" w:eastAsia="Arial" w:hAnsi="Arial"/>
                <w:sz w:val="18"/>
                <w:szCs w:val="18"/>
                <w:color w:val="auto"/>
              </w:rPr>
              <w:t>(46,140)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(70,474)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7715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5" w:lineRule="exact"/>
        <w:rPr>
          <w:sz w:val="20"/>
          <w:szCs w:val="20"/>
          <w:color w:val="auto"/>
        </w:rPr>
      </w:pPr>
    </w:p>
    <w:p>
      <w:pPr>
        <w:ind w:left="660" w:right="140" w:hanging="544"/>
        <w:spacing w:after="0" w:line="195" w:lineRule="auto"/>
        <w:tabs>
          <w:tab w:leader="none" w:pos="660" w:val="left"/>
        </w:tabs>
        <w:numPr>
          <w:ilvl w:val="0"/>
          <w:numId w:val="65"/>
        </w:numPr>
        <w:rPr>
          <w:rFonts w:ascii="Arial" w:cs="Arial" w:eastAsia="Arial" w:hAnsi="Arial"/>
          <w:sz w:val="24"/>
          <w:szCs w:val="24"/>
          <w:color w:val="auto"/>
          <w:vertAlign w:val="superscript"/>
        </w:rPr>
      </w:pPr>
      <w:r>
        <w:rPr>
          <w:rFonts w:ascii="Arial" w:cs="Arial" w:eastAsia="Arial" w:hAnsi="Arial"/>
          <w:sz w:val="14"/>
          <w:szCs w:val="14"/>
          <w:color w:val="auto"/>
        </w:rPr>
        <w:t>We define working capital as current assets less current liabilities. See our audited financial statements included elsewhere in this prospectus and related notes for further details regarding our current assets and current liabilities.</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2" w:lineRule="exact"/>
        <w:rPr>
          <w:sz w:val="20"/>
          <w:szCs w:val="20"/>
          <w:color w:val="auto"/>
        </w:rPr>
      </w:pPr>
    </w:p>
    <w:p>
      <w:pPr>
        <w:ind w:left="120" w:right="240" w:firstLine="551"/>
        <w:spacing w:after="0" w:line="24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“Selected Financial Data” and the financial statements and related notes included elsewhere in this prospectus.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“Risk Factors” and in other parts of this prospectus.</w:t>
      </w: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Overview</w:t>
      </w:r>
    </w:p>
    <w:p>
      <w:pPr>
        <w:spacing w:after="0" w:line="21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are a precision oncology company pioneering the discovery and development of small molecule, tumor-agnostic therapies targeting p53 mutations.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w:t>
      </w:r>
    </w:p>
    <w:p>
      <w:pPr>
        <w:spacing w:after="0" w:line="176"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Since our formation in March 2013, we have devoted substantially all of our time and efforts to performing research and development activities and raising capital. We are not profitable and have incurred losses in each year since our inception. Our net losses for the years ended December 31, 2018 and December 31, 2019 were $17.5 million and $25.4 million, respectively. As of December 31, 2019, we had an accumulated deficit of $ 75.4 million. We do not currently have any product candidates in clinical trials or approved for sale, and we continue to incur significant research and development and general administrative expenses related to our operations. 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In addition, upon the completion of this offering, we expect to incur additional costs associated with operating as a public company. We expect to continue to incur significant losses for the foreseeable future.</w:t>
      </w:r>
    </w:p>
    <w:p>
      <w:pPr>
        <w:spacing w:after="0" w:line="180" w:lineRule="exact"/>
        <w:rPr>
          <w:sz w:val="20"/>
          <w:szCs w:val="20"/>
          <w:color w:val="auto"/>
        </w:rPr>
      </w:pPr>
    </w:p>
    <w:p>
      <w:pPr>
        <w:jc w:val="both"/>
        <w:ind w:left="120" w:right="160" w:firstLine="551"/>
        <w:spacing w:after="0" w:line="255" w:lineRule="auto"/>
        <w:rPr>
          <w:sz w:val="20"/>
          <w:szCs w:val="20"/>
          <w:color w:val="auto"/>
        </w:rPr>
      </w:pPr>
      <w:r>
        <w:rPr>
          <w:rFonts w:ascii="Arial" w:cs="Arial" w:eastAsia="Arial" w:hAnsi="Arial"/>
          <w:sz w:val="18"/>
          <w:szCs w:val="18"/>
          <w:color w:val="auto"/>
        </w:rPr>
        <w:t>We have funded our operations primarily from the sale and issuance of convertible preferred stock. As of December 31, 2019, we had cash, cash equivalents and short-term marketable securities of $101.5 million. We believe that our existing capital resources will be sufficient to fund our planned operations for at least 12 months following the date of this offering.</w:t>
      </w:r>
    </w:p>
    <w:p>
      <w:pPr>
        <w:spacing w:after="0" w:line="16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00"/>
          </w:cols>
          <w:pgMar w:left="320" w:top="455" w:right="47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27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depreciation and maintenance of research equipment and an allocation of related facilities costs. We expense research and development costs as they are incurred.</w:t>
      </w:r>
    </w:p>
    <w:p>
      <w:pPr>
        <w:spacing w:after="0" w:line="172"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As we are at a very early stage of development, we do not allocate our costs by product candidate or development program, as a significant amount of research and development expenses include compensation costs, materials, supplies, depreciation on and maintenance of research equipment, the cost of services provided by outside contractors and the allocable portions of facility costs and general support services,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PC14586.</w:t>
      </w:r>
    </w:p>
    <w:p>
      <w:pPr>
        <w:spacing w:after="0" w:line="179"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5" w:right="47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60" w:lineRule="auto"/>
        <w:rPr>
          <w:sz w:val="20"/>
          <w:szCs w:val="20"/>
          <w:color w:val="auto"/>
        </w:rPr>
      </w:pPr>
      <w:r>
        <w:rPr>
          <w:rFonts w:ascii="Arial" w:cs="Arial" w:eastAsia="Arial" w:hAnsi="Arial"/>
          <w:sz w:val="17"/>
          <w:szCs w:val="17"/>
          <w:color w:val="auto"/>
        </w:rPr>
        <w:t>services and other consulting fees. Allocated expenses consist of rent expense related to our office and research and development facility. We expect to incur additional expenses as a public company, including expenses related to compliance with the rules and regulations of the Securities and Exchange Commission, and those of any national securities exchange on which our securities are traded, additional insurance expenses, investor relations activities and other administrative and professional services. We expect to increase our headcount significantly to operate as a public company. We also expect to increase our general and administrative expenses as we advance our product candidates through preclinical research and development, manufacturing, clinical development and commercialization.</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04" w:lineRule="exact"/>
        <w:rPr>
          <w:sz w:val="20"/>
          <w:szCs w:val="20"/>
          <w:color w:val="auto"/>
        </w:rPr>
      </w:pPr>
    </w:p>
    <w:p>
      <w:pPr>
        <w:jc w:val="both"/>
        <w:ind w:left="120" w:right="880" w:firstLine="551"/>
        <w:spacing w:after="0" w:line="306" w:lineRule="auto"/>
        <w:rPr>
          <w:sz w:val="20"/>
          <w:szCs w:val="20"/>
          <w:color w:val="auto"/>
        </w:rPr>
      </w:pPr>
      <w:r>
        <w:rPr>
          <w:rFonts w:ascii="Arial" w:cs="Arial" w:eastAsia="Arial" w:hAnsi="Arial"/>
          <w:sz w:val="17"/>
          <w:szCs w:val="17"/>
          <w:color w:val="auto"/>
        </w:rPr>
        <w:t>Interest income, net primarily consists of interest income from our interest-bearing cash, cash equivalents and short-term marketable securities and interest costs related to amortization of premiums and discounts on short-term marketable securities.</w:t>
      </w:r>
    </w:p>
    <w:p>
      <w:pPr>
        <w:spacing w:after="0" w:line="33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4"/>
          </w:tcPr>
          <w:p>
            <w:pPr>
              <w:jc w:val="right"/>
              <w:ind w:right="641"/>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610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4"/>
          </w:tcPr>
          <w:p>
            <w:pPr>
              <w:jc w:val="right"/>
              <w:ind w:right="561"/>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760" w:type="dxa"/>
            <w:vAlign w:val="bottom"/>
            <w:gridSpan w:val="2"/>
            <w:vMerge w:val="restart"/>
          </w:tcPr>
          <w:p>
            <w:pPr>
              <w:jc w:val="right"/>
              <w:ind w:right="10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2040" w:type="dxa"/>
            <w:vAlign w:val="bottom"/>
            <w:tcBorders>
              <w:bottom w:val="single" w:sz="8" w:color="auto"/>
            </w:tcBorders>
            <w:vMerge w:val="continue"/>
          </w:tcPr>
          <w:p>
            <w:pPr>
              <w:spacing w:after="0"/>
              <w:rPr>
                <w:sz w:val="14"/>
                <w:szCs w:val="14"/>
                <w:color w:val="auto"/>
              </w:rPr>
            </w:pPr>
          </w:p>
        </w:tc>
        <w:tc>
          <w:tcPr>
            <w:tcW w:w="61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1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060" w:type="dxa"/>
            <w:vAlign w:val="bottom"/>
            <w:gridSpan w:val="3"/>
          </w:tcPr>
          <w:p>
            <w:pPr>
              <w:jc w:val="right"/>
              <w:ind w:right="261"/>
              <w:spacing w:after="0" w:line="202" w:lineRule="exact"/>
              <w:rPr>
                <w:sz w:val="20"/>
                <w:szCs w:val="20"/>
                <w:color w:val="auto"/>
              </w:rPr>
            </w:pPr>
            <w:r>
              <w:rPr>
                <w:rFonts w:ascii="Arial" w:cs="Arial" w:eastAsia="Arial" w:hAnsi="Arial"/>
                <w:sz w:val="18"/>
                <w:szCs w:val="18"/>
                <w:color w:val="auto"/>
                <w:w w:val="99"/>
              </w:rPr>
              <w:t>$ 13,853</w:t>
            </w:r>
          </w:p>
        </w:tc>
        <w:tc>
          <w:tcPr>
            <w:tcW w:w="94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$ 20,759</w:t>
            </w:r>
          </w:p>
        </w:tc>
        <w:tc>
          <w:tcPr>
            <w:tcW w:w="880" w:type="dxa"/>
            <w:vAlign w:val="bottom"/>
            <w:gridSpan w:val="3"/>
          </w:tcPr>
          <w:p>
            <w:pPr>
              <w:jc w:val="right"/>
              <w:ind w:right="41"/>
              <w:spacing w:after="0" w:line="202" w:lineRule="exact"/>
              <w:rPr>
                <w:sz w:val="20"/>
                <w:szCs w:val="20"/>
                <w:color w:val="auto"/>
              </w:rPr>
            </w:pPr>
            <w:r>
              <w:rPr>
                <w:rFonts w:ascii="Arial" w:cs="Arial" w:eastAsia="Arial" w:hAnsi="Arial"/>
                <w:sz w:val="18"/>
                <w:szCs w:val="18"/>
                <w:color w:val="auto"/>
              </w:rPr>
              <w:t>$ 6,906</w:t>
            </w: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060" w:type="dxa"/>
            <w:vAlign w:val="bottom"/>
            <w:gridSpan w:val="3"/>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5,039</w:t>
            </w:r>
          </w:p>
        </w:tc>
        <w:tc>
          <w:tcPr>
            <w:tcW w:w="94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5,878</w:t>
            </w:r>
          </w:p>
        </w:tc>
        <w:tc>
          <w:tcPr>
            <w:tcW w:w="880" w:type="dxa"/>
            <w:vAlign w:val="bottom"/>
            <w:gridSpan w:val="3"/>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7"/>
        </w:trPr>
        <w:tc>
          <w:tcPr>
            <w:tcW w:w="814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18,892</w:t>
            </w:r>
          </w:p>
        </w:tc>
        <w:tc>
          <w:tcPr>
            <w:tcW w:w="3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1060" w:type="dxa"/>
            <w:vAlign w:val="bottom"/>
            <w:gridSpan w:val="3"/>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(18,892)</w:t>
            </w:r>
          </w:p>
        </w:tc>
        <w:tc>
          <w:tcPr>
            <w:tcW w:w="940" w:type="dxa"/>
            <w:vAlign w:val="bottom"/>
            <w:gridSpan w:val="2"/>
            <w:shd w:val="clear" w:color="auto" w:fill="CCEEFF"/>
          </w:tcPr>
          <w:p>
            <w:pPr>
              <w:jc w:val="right"/>
              <w:ind w:right="61"/>
              <w:spacing w:after="0" w:line="202" w:lineRule="exact"/>
              <w:rPr>
                <w:sz w:val="20"/>
                <w:szCs w:val="20"/>
                <w:color w:val="auto"/>
              </w:rPr>
            </w:pPr>
            <w:r>
              <w:rPr>
                <w:rFonts w:ascii="Arial" w:cs="Arial" w:eastAsia="Arial" w:hAnsi="Arial"/>
                <w:sz w:val="18"/>
                <w:szCs w:val="18"/>
                <w:color w:val="auto"/>
              </w:rPr>
              <w:t>(26,637)</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(7,745)</w:t>
            </w:r>
          </w:p>
        </w:tc>
        <w:tc>
          <w:tcPr>
            <w:tcW w:w="0" w:type="dxa"/>
            <w:vAlign w:val="bottom"/>
          </w:tcPr>
          <w:p>
            <w:pPr>
              <w:spacing w:after="0"/>
              <w:rPr>
                <w:sz w:val="1"/>
                <w:szCs w:val="1"/>
                <w:color w:val="auto"/>
              </w:rPr>
            </w:pP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1060" w:type="dxa"/>
            <w:vAlign w:val="bottom"/>
            <w:gridSpan w:val="3"/>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1,341</w:t>
            </w:r>
          </w:p>
        </w:tc>
        <w:tc>
          <w:tcPr>
            <w:tcW w:w="94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1,301</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8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7"/>
                <w:szCs w:val="17"/>
                <w:color w:val="auto"/>
              </w:rPr>
            </w:pPr>
          </w:p>
        </w:tc>
        <w:tc>
          <w:tcPr>
            <w:tcW w:w="104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16</w:t>
            </w:r>
          </w:p>
        </w:tc>
        <w:tc>
          <w:tcPr>
            <w:tcW w:w="94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(8)</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gridSpan w:val="2"/>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other income (expense)</w:t>
            </w:r>
          </w:p>
        </w:tc>
        <w:tc>
          <w:tcPr>
            <w:tcW w:w="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1,357</w:t>
            </w:r>
          </w:p>
        </w:tc>
        <w:tc>
          <w:tcPr>
            <w:tcW w:w="94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1,293</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9"/>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Loss before provision for income taxes</w:t>
            </w:r>
          </w:p>
        </w:tc>
        <w:tc>
          <w:tcPr>
            <w:tcW w:w="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(17,535)</w:t>
            </w:r>
          </w:p>
        </w:tc>
        <w:tc>
          <w:tcPr>
            <w:tcW w:w="34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1060" w:type="dxa"/>
            <w:vAlign w:val="bottom"/>
            <w:gridSpan w:val="3"/>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3</w:t>
            </w:r>
          </w:p>
        </w:tc>
        <w:tc>
          <w:tcPr>
            <w:tcW w:w="94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8</w:t>
            </w:r>
          </w:p>
        </w:tc>
        <w:tc>
          <w:tcPr>
            <w:tcW w:w="880" w:type="dxa"/>
            <w:vAlign w:val="bottom"/>
            <w:gridSpan w:val="3"/>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(17,538</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(25,352</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(7,814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Research and development expenses were $13.9 million for the year ended December 31, 2018, compared to $20.8 million for the year ended December 31, 2019. The increase of $6.9 million was primarily due to the following:</w:t>
      </w:r>
    </w:p>
    <w:p>
      <w:pPr>
        <w:spacing w:after="0" w:line="50" w:lineRule="exact"/>
        <w:rPr>
          <w:sz w:val="20"/>
          <w:szCs w:val="20"/>
          <w:color w:val="auto"/>
        </w:rPr>
      </w:pPr>
    </w:p>
    <w:p>
      <w:pPr>
        <w:ind w:left="880" w:right="20" w:hanging="224"/>
        <w:spacing w:after="0" w:line="245"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There was a $4.0 million increase in preclinical studies, $1.3 million increase in outside laboratory analytics, $1.0 million increase in administrative and technical consulting. All increases were primarily associated with increased effort in developing our lead product candidate, PC14586. The $4.0 million increase in preclinical studies is primarily driven by the initiation of an investigational new drug, or IND, enabling study for the Y220C mutation, for which we incurred approximately $2.0 million in expense for the year ended December 31, 2019.</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60" w:hanging="224"/>
        <w:spacing w:after="0" w:line="276"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There was an $0.6 million increase in expenses for salaries and bonuses, primarily driven by increased headcount for personnel dedicated to developing PC14586.</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04"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General and administrative expenses were $5.0 million for the year ended December 31, 2018, compared to $5.9 million for the year ended December 31, 2019. The increase of $0.9 million was primarily due to the following:</w:t>
      </w:r>
    </w:p>
    <w:p>
      <w:pPr>
        <w:spacing w:after="0" w:line="50" w:lineRule="exact"/>
        <w:rPr>
          <w:sz w:val="20"/>
          <w:szCs w:val="20"/>
          <w:color w:val="auto"/>
        </w:rPr>
      </w:pPr>
    </w:p>
    <w:p>
      <w:pPr>
        <w:ind w:left="880" w:right="580" w:hanging="224"/>
        <w:spacing w:after="0" w:line="276"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There was a $0.4 million increase in expense for employee compensation, driven primarily by increased salary and bonus expense of $0.5 million, partially offset by a decrease in stock-based compensation expense of $0.2 million.</w:t>
      </w:r>
    </w:p>
    <w:p>
      <w:pPr>
        <w:spacing w:after="0" w:line="50" w:lineRule="exact"/>
        <w:rPr>
          <w:rFonts w:ascii="Arial" w:cs="Arial" w:eastAsia="Arial" w:hAnsi="Arial"/>
          <w:sz w:val="18"/>
          <w:szCs w:val="18"/>
          <w:color w:val="auto"/>
        </w:rPr>
      </w:pPr>
    </w:p>
    <w:p>
      <w:pPr>
        <w:ind w:left="880" w:right="860" w:hanging="224"/>
        <w:spacing w:after="0" w:line="255"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There was a $0.3 million increase in expense for outside services, which is primarily driven by increased legal costs of $0.2 million associated for patent expenses and reviews of contracts executed with third-party contract research and manufacturing organizations during the year ended December 31, 2019.</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There was a $0.2 million increase associated with facility related expenses during the year ended December 31, 2019.</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04" w:lineRule="exact"/>
        <w:rPr>
          <w:sz w:val="20"/>
          <w:szCs w:val="20"/>
          <w:color w:val="auto"/>
        </w:rPr>
      </w:pPr>
    </w:p>
    <w:p>
      <w:pPr>
        <w:ind w:left="120" w:right="20" w:firstLine="551"/>
        <w:spacing w:after="0" w:line="260" w:lineRule="auto"/>
        <w:rPr>
          <w:sz w:val="20"/>
          <w:szCs w:val="20"/>
          <w:color w:val="auto"/>
        </w:rPr>
      </w:pPr>
      <w:r>
        <w:rPr>
          <w:rFonts w:ascii="Arial" w:cs="Arial" w:eastAsia="Arial" w:hAnsi="Arial"/>
          <w:sz w:val="17"/>
          <w:szCs w:val="17"/>
          <w:color w:val="auto"/>
        </w:rPr>
        <w:t>Interest income, net primarily consists of interest income from our interest-bearing cash, cash equivalents and short-term marketable securities and interest costs related to amortization of premiums and discounts on short-term marketable securities. Interest income, net was $1.3 million for the year ended December 31, 2018, compared to $1.3 million for the year ended December 31, 2019. There was no change in interest income, net for the year ended December 31, 2019 and December 31, 2018, due to a decrease in interest income of $0.3 million for the year ended December 31, 2019 compared to the year ended December 31, 2018, which was offset by a decrease of $0.3 million of interest expense for the year ended December 31, 2019 compared to the year ended December 31, 2018.</w:t>
      </w: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Since our inception, we have not generated any revenue from any product sales or any other sources, and have incurred significant operating losses and negative cash flows from our operations. We have not yet commercialized any of our product candidates and we do not expect to generate revenue from sales of any product candidates for several years, if at all. As of December 31, 2019, we had cash, cash equivalents and short-term marketable securities of $101.5 million and an accumulated deficit of $75.4 million. We have financed our operations primarily through issuances of our convertible preferred stock. In 2019, we sold an aggregate of 28,798,050 shares of our Series C convertible preferred stock to accredited investors, generating gross proceeds of $61.9 million.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Plan of Operation and Future Funding Requirements</w:t>
      </w:r>
    </w:p>
    <w:p>
      <w:pPr>
        <w:spacing w:after="0" w:line="104"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We use our capital resources primarily to fund operating expenses, primarily research and development expenditures. We plan to increase our research and development expenses for the foreseeable future as we continue the preclinical development and move into clinical development of our product candidates. At this time, due to the inherently unpredictable nature of preclinical and clinical development and given the early stage of our product candidates, we cannot reasonably estimate the costs we will incur and the timelines that will be required to complete development, obtain</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5" w:lineRule="auto"/>
        <w:rPr>
          <w:sz w:val="20"/>
          <w:szCs w:val="20"/>
          <w:color w:val="auto"/>
        </w:rPr>
      </w:pPr>
      <w:r>
        <w:rPr>
          <w:rFonts w:ascii="Arial" w:cs="Arial" w:eastAsia="Arial" w:hAnsi="Arial"/>
          <w:sz w:val="18"/>
          <w:szCs w:val="18"/>
          <w:color w:val="auto"/>
        </w:rPr>
        <w:t>marketing approval and commercialize our current product candidates or any future product 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72"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7"/>
          <w:szCs w:val="17"/>
          <w:color w:val="auto"/>
        </w:rPr>
        <w:t>Due to our significant research and development expenditures, we have generated substantial operating losses in each period since inception. We have incurred an accumulated deficit of $75.4 million through December 31, 2019. We expect to incur substantial additional losses in the future as we expand our research and development activities. Based on our research and development plans, we expect that the net proceeds from this offering, together with our existing cash, cash equivalents and short-term marketable securities will</w:t>
      </w:r>
    </w:p>
    <w:p>
      <w:pPr>
        <w:spacing w:after="0" w:line="1" w:lineRule="exact"/>
        <w:rPr>
          <w:sz w:val="20"/>
          <w:szCs w:val="20"/>
          <w:color w:val="auto"/>
        </w:rPr>
      </w:pPr>
    </w:p>
    <w:p>
      <w:pPr>
        <w:ind w:left="120" w:right="740"/>
        <w:spacing w:after="0" w:line="250" w:lineRule="auto"/>
        <w:rPr>
          <w:sz w:val="20"/>
          <w:szCs w:val="20"/>
          <w:color w:val="auto"/>
        </w:rPr>
      </w:pPr>
      <w:r>
        <w:rPr>
          <w:rFonts w:ascii="Arial" w:cs="Arial" w:eastAsia="Arial" w:hAnsi="Arial"/>
          <w:sz w:val="18"/>
          <w:szCs w:val="18"/>
          <w:color w:val="auto"/>
        </w:rPr>
        <w:t>be sufficient to fund our operations through . We have based this estimate on assumptions that may prove to be wrong, however, and we could use our capital resources sooner than we expect.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timing and amount of our operating expenditures will depend largely on:</w:t>
      </w:r>
    </w:p>
    <w:p>
      <w:pPr>
        <w:spacing w:after="0" w:line="117" w:lineRule="exact"/>
        <w:rPr>
          <w:sz w:val="20"/>
          <w:szCs w:val="20"/>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timing and amount of milestone payments we may receive under any future collaboration agreements;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maintain future licenses and research and development programs and to establish new collaboration arrangements;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17" w:lineRule="exact"/>
        <w:rPr>
          <w:rFonts w:ascii="Arial" w:cs="Arial" w:eastAsia="Arial" w:hAnsi="Arial"/>
          <w:sz w:val="18"/>
          <w:szCs w:val="18"/>
          <w:color w:val="auto"/>
        </w:rPr>
      </w:pPr>
    </w:p>
    <w:p>
      <w:pPr>
        <w:ind w:left="880" w:right="400" w:hanging="224"/>
        <w:spacing w:after="0" w:line="276"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of our product candidates and satisfy our obligations as a public company.</w:t>
      </w:r>
    </w:p>
    <w:p>
      <w:pPr>
        <w:spacing w:after="0" w:line="145" w:lineRule="exact"/>
        <w:rPr>
          <w:sz w:val="20"/>
          <w:szCs w:val="20"/>
          <w:color w:val="auto"/>
        </w:rPr>
      </w:pPr>
    </w:p>
    <w:p>
      <w:pPr>
        <w:ind w:left="120" w:right="260" w:firstLine="551"/>
        <w:spacing w:after="0" w:line="239" w:lineRule="auto"/>
        <w:rPr>
          <w:sz w:val="20"/>
          <w:szCs w:val="20"/>
          <w:color w:val="auto"/>
        </w:rPr>
      </w:pPr>
      <w:r>
        <w:rPr>
          <w:rFonts w:ascii="Arial" w:cs="Arial" w:eastAsia="Arial" w:hAnsi="Arial"/>
          <w:sz w:val="18"/>
          <w:szCs w:val="18"/>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 indicated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56"/>
        </w:trPr>
        <w:tc>
          <w:tcPr>
            <w:tcW w:w="7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used in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(15,178)</w:t>
            </w:r>
          </w:p>
        </w:tc>
        <w:tc>
          <w:tcPr>
            <w:tcW w:w="440" w:type="dxa"/>
            <w:vAlign w:val="bottom"/>
            <w:tcBorders>
              <w:top w:val="single" w:sz="8" w:color="CCEEFF"/>
            </w:tcBorders>
            <w:gridSpan w:val="2"/>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$(22,065)</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(6,887)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spacing w:after="0" w:line="202" w:lineRule="exact"/>
              <w:rPr>
                <w:sz w:val="20"/>
                <w:szCs w:val="20"/>
                <w:color w:val="auto"/>
              </w:rPr>
            </w:pPr>
            <w:r>
              <w:rPr>
                <w:rFonts w:ascii="Arial" w:cs="Arial" w:eastAsia="Arial" w:hAnsi="Arial"/>
                <w:sz w:val="18"/>
                <w:szCs w:val="18"/>
                <w:color w:val="auto"/>
              </w:rPr>
              <w:t>Cash flows provided by investing activities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21,693</w:t>
            </w:r>
          </w:p>
        </w:tc>
        <w:tc>
          <w:tcPr>
            <w:tcW w:w="420" w:type="dxa"/>
            <w:vAlign w:val="bottom"/>
          </w:tcPr>
          <w:p>
            <w:pPr>
              <w:spacing w:after="0"/>
              <w:rPr>
                <w:sz w:val="17"/>
                <w:szCs w:val="17"/>
                <w:color w:val="auto"/>
              </w:rPr>
            </w:pPr>
          </w:p>
        </w:tc>
        <w:tc>
          <w:tcPr>
            <w:tcW w:w="11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3,231</w:t>
            </w:r>
          </w:p>
        </w:tc>
        <w:tc>
          <w:tcPr>
            <w:tcW w:w="10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(18,462)</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provided by financing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61,805</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61,805</w:t>
            </w:r>
          </w:p>
        </w:tc>
        <w:tc>
          <w:tcPr>
            <w:tcW w:w="0" w:type="dxa"/>
            <w:vAlign w:val="bottom"/>
          </w:tcPr>
          <w:p>
            <w:pPr>
              <w:spacing w:after="0"/>
              <w:rPr>
                <w:sz w:val="1"/>
                <w:szCs w:val="1"/>
                <w:color w:val="auto"/>
              </w:rPr>
            </w:pPr>
          </w:p>
        </w:tc>
      </w:tr>
      <w:tr>
        <w:trPr>
          <w:trHeight w:val="209"/>
        </w:trPr>
        <w:tc>
          <w:tcPr>
            <w:tcW w:w="78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6,515</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$ 42,971</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Net cash used in operating activities for the year ended December 31, 2018, was $15.2 million, which consisted primarily of net loss of $17.5 million decreased by non-cash charges of $1.7 million and by a net change of $0.6 million in our net operating assets. The non-cash charges primarily consisted of stock-based compensation of $1.1 million, depreciation of $0.3 million and amortization of premiums on marketable securities of $0.3 million. The change in our net operating assets and liabilities was primarily due to an increase in accrued liabilities and outstanding payables in 2018.</w:t>
      </w:r>
    </w:p>
    <w:p>
      <w:pPr>
        <w:spacing w:after="0" w:line="172"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Net cash used in operating activities for the year ended December 31, 2019, was $22.1 million, which consisted primarily of net loss of $25.4 million decreased by non-cash charges of $1.4 million and by a net change of $1.9 million in our net operating assets. The non-cash charges primarily consisted of stock-based compensation of $0.9 million and depreciation and amortization expense of $0.5 million. The change in our net operating assets and liabilities was primarily due to an increase in outstanding payables in 2019.</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Our investing activities provided $21.7 million of cash during the year ended December 31, 2018, which consisted primarily of maturities of marketable securities of $70.8 million, partially offset by purchases of marketable securities of $48.7 million and purchases of property and equipment of $0.5 million.</w:t>
      </w:r>
    </w:p>
    <w:p>
      <w:pPr>
        <w:spacing w:after="0" w:line="164"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Our investing activities provided $3.2 million of cash during the year ended December 31, 2019, which consisted primarily of maturities of marketable securities of $46.8 million, partially offset by purchases of marketable securities of $43.5 million and purchases of property and equipment of $0.1 million.</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had no cash flows from financing activities for the year ended December 31, 2018.</w:t>
      </w:r>
    </w:p>
    <w:p>
      <w:pPr>
        <w:spacing w:after="0" w:line="212"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Our financing activities provided $61.8 million of cash during the year ended December 31, 2019, which consisted primarily of proceeds from the issuance of our Series C convertible preferred stock of $61.9 million, and proceeds from the exercise of stock options of $0.1 million, partially offset by payments of equity issuance costs of $0.2 million.</w:t>
      </w:r>
    </w:p>
    <w:p>
      <w:pPr>
        <w:spacing w:after="0" w:line="27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Off-Balance Sheet Arrangements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5" w:right="4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December 31, 2019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Less than</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1 to 3</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3 to 5</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8"/>
              </w:rPr>
              <w:t>More than</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7"/>
        </w:trPr>
        <w:tc>
          <w:tcPr>
            <w:tcW w:w="6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1 year</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years</w:t>
            </w:r>
          </w:p>
        </w:tc>
        <w:tc>
          <w:tcPr>
            <w:tcW w:w="6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5 years</w:t>
            </w:r>
          </w:p>
        </w:tc>
        <w:tc>
          <w:tcPr>
            <w:tcW w:w="440" w:type="dxa"/>
            <w:vAlign w:val="bottom"/>
          </w:tcPr>
          <w:p>
            <w:pPr>
              <w:spacing w:after="0"/>
              <w:rPr>
                <w:sz w:val="15"/>
                <w:szCs w:val="15"/>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Total</w:t>
            </w:r>
          </w:p>
        </w:tc>
      </w:tr>
      <w:tr>
        <w:trPr>
          <w:trHeight w:val="196"/>
        </w:trPr>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obligations:</w:t>
            </w: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479</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730</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1,213</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730</w:t>
            </w:r>
          </w:p>
        </w:tc>
        <w:tc>
          <w:tcPr>
            <w:tcW w:w="4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1,213</w:t>
            </w:r>
          </w:p>
        </w:tc>
        <w:tc>
          <w:tcPr>
            <w:tcW w:w="6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14"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70"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 Accrued Research and Development Costs and Related Prepaid Expenses</w:t>
      </w:r>
    </w:p>
    <w:p>
      <w:pPr>
        <w:spacing w:after="0" w:line="104"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allocated facility-related expenses and external costs of outside vendors, and other direct and indirect costs. Non -refundable research and development advance payments are deferred and capitalized. The capitalized amounts are expensed as the related goods are delivered or services are performed.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measure all stock options and other stock-based awards granted to our employees, directors, consultants and</w:t>
      </w:r>
    </w:p>
    <w:p>
      <w:pPr>
        <w:spacing w:after="0" w:line="18"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other non-employee service providers based on the fair value on the date of the grant. Compensation expense related to awards to employees and directors with service-based vesting conditions is recognized on a straight-line basis based on the grant date fair value over the associated service period of the award, which is typically the vesting term. Compensation expense related to awards to employees with performance-based vesting conditions is recognized based on grant date fair value over the requisite service period using the accelerated attribution method to the extent achievement of the performance condition is probable. Non-employee option awards are measured at the earlier of the commitment date for performance by the counterparty or the date when the performance is complete, and compensation expense is recognized in the same manner as if we had paid cash for goods or services.</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We classify stock-based compensation expense in our statement of operations in the same way the award recipient’s payroll costs are classified or in which the award recipients’ service payments are classified.</w:t>
      </w:r>
    </w:p>
    <w:p>
      <w:pPr>
        <w:spacing w:after="0" w:line="145"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We use the Black-Scholes option pricing model to estimate the fair value of stock options on the date of grant. Using the Black-Scholes option pricing model requires management to make significant assumptions and judgments. We determined these assumptions for the Black-Scholes option-pricing model as discussed below.</w:t>
      </w:r>
    </w:p>
    <w:p>
      <w:pPr>
        <w:spacing w:after="0" w:line="69" w:lineRule="exact"/>
        <w:rPr>
          <w:sz w:val="20"/>
          <w:szCs w:val="20"/>
          <w:color w:val="auto"/>
        </w:rPr>
      </w:pPr>
    </w:p>
    <w:p>
      <w:pPr>
        <w:ind w:left="880" w:right="140" w:hanging="224"/>
        <w:spacing w:after="0" w:line="248"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As we</w:t>
      </w:r>
      <w:r>
        <w:rPr>
          <w:rFonts w:ascii="Arial" w:cs="Arial" w:eastAsia="Arial" w:hAnsi="Arial"/>
          <w:sz w:val="18"/>
          <w:szCs w:val="18"/>
          <w:i w:val="1"/>
          <w:iCs w:val="1"/>
          <w:color w:val="auto"/>
        </w:rPr>
        <w:t xml:space="preserve"> </w:t>
      </w:r>
      <w:r>
        <w:rPr>
          <w:rFonts w:ascii="Arial" w:cs="Arial" w:eastAsia="Arial" w:hAnsi="Arial"/>
          <w:sz w:val="18"/>
          <w:szCs w:val="18"/>
          <w:color w:val="auto"/>
        </w:rPr>
        <w:t>do not have sufficient historical experience for determining the expected term of the stock option awards granted, we based our expected term for awards issued to employees and non-employees using the simplified method which is presumed to be the midpoint between the vesting date and the end of the contracted term.</w:t>
      </w:r>
    </w:p>
    <w:p>
      <w:pPr>
        <w:spacing w:after="0" w:line="75" w:lineRule="exact"/>
        <w:rPr>
          <w:rFonts w:ascii="Arial" w:cs="Arial" w:eastAsia="Arial" w:hAnsi="Arial"/>
          <w:sz w:val="18"/>
          <w:szCs w:val="18"/>
          <w:color w:val="auto"/>
        </w:rPr>
      </w:pPr>
    </w:p>
    <w:p>
      <w:pPr>
        <w:ind w:left="880" w:right="100" w:hanging="224"/>
        <w:spacing w:after="0" w:line="255"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Contractual Term</w:t>
      </w:r>
      <w:r>
        <w:rPr>
          <w:rFonts w:ascii="Arial" w:cs="Arial" w:eastAsia="Arial" w:hAnsi="Arial"/>
          <w:sz w:val="18"/>
          <w:szCs w:val="18"/>
          <w:color w:val="auto"/>
        </w:rPr>
        <w:t>—The contractual term represents the nominal period that the stock-based awards are outstanding.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nature of specific terms of our nonemployee share option arrangements, we determined the contractual term is the appropriate expected term to be used in estimating the fair value of the nonemployee share options.</w:t>
      </w:r>
    </w:p>
    <w:p>
      <w:pPr>
        <w:spacing w:after="0" w:line="69" w:lineRule="exact"/>
        <w:rPr>
          <w:rFonts w:ascii="Arial" w:cs="Arial" w:eastAsia="Arial" w:hAnsi="Arial"/>
          <w:sz w:val="18"/>
          <w:szCs w:val="18"/>
          <w:color w:val="auto"/>
        </w:rPr>
      </w:pPr>
    </w:p>
    <w:p>
      <w:pPr>
        <w:ind w:left="880" w:right="420" w:hanging="224"/>
        <w:spacing w:after="0" w:line="255"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curve in effect at the date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for zero-coupon U.S. Treasury constant maturity notes with terms approximately equal to the stock-based awards’ expected term.</w:t>
      </w:r>
    </w:p>
    <w:p>
      <w:pPr>
        <w:spacing w:after="0" w:line="69" w:lineRule="exact"/>
        <w:rPr>
          <w:rFonts w:ascii="Arial" w:cs="Arial" w:eastAsia="Arial" w:hAnsi="Arial"/>
          <w:sz w:val="18"/>
          <w:szCs w:val="18"/>
          <w:color w:val="auto"/>
        </w:rPr>
      </w:pPr>
    </w:p>
    <w:p>
      <w:pPr>
        <w:ind w:left="880" w:right="260" w:hanging="224"/>
        <w:spacing w:after="0" w:line="255"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we do not have a trading history of common stock, the expected volatility was derived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historical stock volatilities of the common stock of several public companies within the industry that we consider to be comparable to our business over a period equivalent to the expected term of the stock-based awards.</w:t>
      </w:r>
    </w:p>
    <w:p>
      <w:pPr>
        <w:spacing w:after="0" w:line="69" w:lineRule="exact"/>
        <w:rPr>
          <w:rFonts w:ascii="Arial" w:cs="Arial" w:eastAsia="Arial" w:hAnsi="Arial"/>
          <w:sz w:val="18"/>
          <w:szCs w:val="18"/>
          <w:color w:val="auto"/>
        </w:rPr>
      </w:pPr>
    </w:p>
    <w:p>
      <w:pPr>
        <w:ind w:left="880" w:right="600" w:hanging="224"/>
        <w:spacing w:after="0" w:line="276"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—The expected dividend rate is zero as we have not paid and do not anticipate paying any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w:t>
      </w:r>
    </w:p>
    <w:p>
      <w:pPr>
        <w:spacing w:after="0" w:line="50" w:lineRule="exact"/>
        <w:rPr>
          <w:rFonts w:ascii="Arial" w:cs="Arial" w:eastAsia="Arial" w:hAnsi="Arial"/>
          <w:sz w:val="18"/>
          <w:szCs w:val="18"/>
          <w:color w:val="auto"/>
        </w:rPr>
      </w:pPr>
    </w:p>
    <w:p>
      <w:pPr>
        <w:ind w:left="880" w:right="40" w:hanging="224"/>
        <w:spacing w:after="0" w:line="245"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—Prior to this offering, the fair value of the shares of common stock underlying the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awards has been determined by our board of directors with input from management. Because there has been no public market for our common stock, our board of directors has determined the fair value of our common stock at the time of grant of the stock-based award by considering a number of objective and subjective factors, including having valuations of the common stock performed by a third-party valuation specialist, as further described below.</w:t>
      </w:r>
    </w:p>
    <w:p>
      <w:pPr>
        <w:spacing w:after="0" w:line="172" w:lineRule="exact"/>
        <w:rPr>
          <w:sz w:val="20"/>
          <w:szCs w:val="20"/>
          <w:color w:val="auto"/>
        </w:rPr>
      </w:pPr>
    </w:p>
    <w:p>
      <w:pPr>
        <w:ind w:left="120" w:right="60" w:firstLine="551"/>
        <w:spacing w:after="0" w:line="262" w:lineRule="auto"/>
        <w:rPr>
          <w:sz w:val="20"/>
          <w:szCs w:val="20"/>
          <w:color w:val="auto"/>
        </w:rPr>
      </w:pPr>
      <w:r>
        <w:rPr>
          <w:rFonts w:ascii="Arial" w:cs="Arial" w:eastAsia="Arial" w:hAnsi="Arial"/>
          <w:sz w:val="17"/>
          <w:szCs w:val="17"/>
          <w:color w:val="auto"/>
        </w:rPr>
        <w:t>As of December 31, 2019, the total unrecognized compensation expense related to unvested employee and non-employee options was $1.8 million, which we expect to recognize over an estimated weighted-average period of 1.9 years. Based upon the assumed initial</w:t>
      </w:r>
    </w:p>
    <w:p>
      <w:pPr>
        <w:ind w:left="120" w:right="300"/>
        <w:spacing w:after="0" w:line="234" w:lineRule="auto"/>
        <w:rPr>
          <w:sz w:val="20"/>
          <w:szCs w:val="20"/>
          <w:color w:val="auto"/>
        </w:rPr>
      </w:pPr>
      <w:r>
        <w:rPr>
          <w:rFonts w:ascii="Arial" w:cs="Arial" w:eastAsia="Arial" w:hAnsi="Arial"/>
          <w:sz w:val="18"/>
          <w:szCs w:val="18"/>
          <w:color w:val="auto"/>
        </w:rPr>
        <w:t>public offering price of $ per share, the midpoint of the price range set forth on the cover page of this prospectus, the aggregate intrinsic value of options outstanding as of June 30, 2020 was $ million, of which $ million related to vested options and</w:t>
      </w:r>
    </w:p>
    <w:p>
      <w:pPr>
        <w:spacing w:after="0" w:line="1" w:lineRule="exact"/>
        <w:rPr>
          <w:sz w:val="20"/>
          <w:szCs w:val="20"/>
          <w:color w:val="auto"/>
        </w:rPr>
      </w:pPr>
    </w:p>
    <w:p>
      <w:pPr>
        <w:ind w:left="820" w:hanging="704"/>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million related to unvested options.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0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 xml:space="preserve">The fair value of the shares of common stock underlying our stock-based awards has historically been determined by our board of directors with input from management and contemporaneous third-party valuations. We believe that our board of directors has the relevant experience and expertise to determine the fair value of our common stock. Given the absence of a public trading market of our common stock, and in accordance with the </w:t>
      </w:r>
      <w:r>
        <w:rPr>
          <w:rFonts w:ascii="Arial" w:cs="Arial" w:eastAsia="Arial" w:hAnsi="Arial"/>
          <w:sz w:val="18"/>
          <w:szCs w:val="18"/>
          <w:i w:val="1"/>
          <w:iCs w:val="1"/>
          <w:color w:val="auto"/>
        </w:rPr>
        <w:t>American Institute of Certified Public Accountants Practice Aid, Valuation of Privately-Held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Equity Securities Issued as Compensation</w:t>
      </w:r>
      <w:r>
        <w:rPr>
          <w:rFonts w:ascii="Arial" w:cs="Arial" w:eastAsia="Arial" w:hAnsi="Arial"/>
          <w:sz w:val="18"/>
          <w:szCs w:val="18"/>
          <w:color w:val="auto"/>
        </w:rPr>
        <w:t>, our board of</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76" w:lineRule="auto"/>
        <w:rPr>
          <w:sz w:val="20"/>
          <w:szCs w:val="20"/>
          <w:color w:val="auto"/>
        </w:rPr>
      </w:pPr>
      <w:r>
        <w:rPr>
          <w:rFonts w:ascii="Arial" w:cs="Arial" w:eastAsia="Arial" w:hAnsi="Arial"/>
          <w:sz w:val="18"/>
          <w:szCs w:val="18"/>
          <w:color w:val="auto"/>
        </w:rPr>
        <w:t>directors exercised reasonable judgment and considered numerous and subjective factors to determine the best estimate of the fair value of our common stock at each grant date. These factors include:</w:t>
      </w:r>
    </w:p>
    <w:p>
      <w:pPr>
        <w:spacing w:after="0" w:line="50" w:lineRule="exact"/>
        <w:rPr>
          <w:sz w:val="20"/>
          <w:szCs w:val="20"/>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contemporaneous valuations of our common stock performed by independent third-party specialists;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convertible preferred stock relative to those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prices of common or convertible preferred stock sold to third-party investors by 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lack of marketability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hiring of key personnel and the experience of our management;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history of the company;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17" w:lineRule="exact"/>
        <w:rPr>
          <w:rFonts w:ascii="Arial" w:cs="Arial" w:eastAsia="Arial" w:hAnsi="Arial"/>
          <w:sz w:val="18"/>
          <w:szCs w:val="18"/>
          <w:color w:val="auto"/>
        </w:rPr>
      </w:pPr>
    </w:p>
    <w:p>
      <w:pPr>
        <w:ind w:left="880" w:right="700" w:hanging="224"/>
        <w:spacing w:after="0" w:line="276"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or a merger or acquisition of our company given prevailing market conditions;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U.S. and global capital market conditions.</w:t>
      </w:r>
    </w:p>
    <w:p>
      <w:pPr>
        <w:spacing w:after="0" w:line="212"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In valuing our common stock, our board of directors determined the equity value of our business using the hybrid method with input from management. The hybrid method is based upon the probability-weighted value across two scenarios, being (i) successfully consummating an initial public offering and (ii) alternative scenarios in which an initial public offering is not consummated. The hybrid method can be a useful alternative to explicitly modeling all probability-weighted expected return scenarios in situations when the company has transparency into one or more near term exits but is unsure about what will occur if current plans do not materialize.</w:t>
      </w:r>
    </w:p>
    <w:p>
      <w:pPr>
        <w:spacing w:after="0" w:line="172"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Application of these approaches involves the use of estimates, judgment and assumptions that are highly complex and subjective, such as those regarding the time to the liquidation event and volatility. Changes in these estimates and assumptions or the relationships between these assumptions impact our valuations as of each valuation date and may have a material impact on the valuation of common stock.</w:t>
      </w:r>
    </w:p>
    <w:p>
      <w:pPr>
        <w:spacing w:after="0" w:line="170"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For valuations after the completion of this offering, our board of directors will determine the fair value of each share of underlying common stock based on the closing price of our common stock as reported by Nasdaq on the date of grant. Future expense amounts for any particular period could be affected by changes in our assumptions or market conditions.</w:t>
      </w: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Recent Accounting Pronouncements</w:t>
      </w:r>
    </w:p>
    <w:p>
      <w:pPr>
        <w:spacing w:after="0" w:line="214" w:lineRule="exact"/>
        <w:rPr>
          <w:sz w:val="20"/>
          <w:szCs w:val="20"/>
          <w:color w:val="auto"/>
        </w:rPr>
      </w:pPr>
    </w:p>
    <w:p>
      <w:pPr>
        <w:ind w:left="120" w:right="300" w:firstLine="551"/>
        <w:spacing w:after="0" w:line="276" w:lineRule="auto"/>
        <w:rPr>
          <w:sz w:val="20"/>
          <w:szCs w:val="20"/>
          <w:color w:val="auto"/>
        </w:rPr>
      </w:pPr>
      <w:r>
        <w:rPr>
          <w:rFonts w:ascii="Arial" w:cs="Arial" w:eastAsia="Arial" w:hAnsi="Arial"/>
          <w:sz w:val="18"/>
          <w:szCs w:val="18"/>
          <w:color w:val="auto"/>
        </w:rPr>
        <w:t>For a description of recent accounting pronouncements, see Note 2 of the notes to our audited financial statements for the year ended December 31, 2019 included elsewhere in this prospectus.</w:t>
      </w:r>
    </w:p>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JOBS Act Accounting Election</w:t>
      </w:r>
    </w:p>
    <w:p>
      <w:pPr>
        <w:spacing w:after="0" w:line="214"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JOBS Act, enacted in April 2012. For as long as we continue to be an emerging</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80"/>
          </w:cols>
          <w:pgMar w:left="320" w:top="455" w:right="49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Sarbanes-Oxley Act, reduced disclosure obligations regarding executive compensation in this prospectus and our periodic reports and proxy statements, and exemptions from the requirements of holding nonbinding advisory votes on executive compensation and stockholder approval of any golden parachute payments not previously approved. We could be an emerging growth company for up to five years following the year in which we complete this offering, although circumstances could cause us to lose that status earlier. We will remain an emerging growth company until the earlier of (1) the last day of the fiscal year (a) following the fifth anniversary of the closing of this offering, (b) in which we have total annual gross revenue of at least $1.07 billion or (c) in which we are deemed to be a large accelerated filer, which requires the market value of our common stock that is held by non-affiliates to exceed $700 million as of the prior June 30th, and (2) the date on which we have issued more than $1 billion in non-convertible debt during the prior three-year period.</w:t>
      </w:r>
    </w:p>
    <w:p>
      <w:pPr>
        <w:spacing w:after="0" w:line="176"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172"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this prospectus and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 risks.</w:t>
      </w:r>
    </w:p>
    <w:p>
      <w:pPr>
        <w:spacing w:after="0" w:line="212"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We had cash, cash equivalents and short-term marketable securities of $101.5 million as of December 31, 2019. Short-term marketable securities consist of interest-bearing U.S. treasury securities, money market funds and corporate debt securities. Our exposure due to changes in interest rates is not material due to the nature and amount of our money-market funds and short-term marketable securities.</w:t>
      </w:r>
    </w:p>
    <w:p>
      <w:pPr>
        <w:spacing w:after="0" w:line="170" w:lineRule="exact"/>
        <w:rPr>
          <w:sz w:val="20"/>
          <w:szCs w:val="20"/>
          <w:color w:val="auto"/>
        </w:rPr>
      </w:pPr>
    </w:p>
    <w:p>
      <w:pPr>
        <w:ind w:left="120" w:right="320" w:firstLine="551"/>
        <w:spacing w:after="0" w:line="255"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may contract with foreign vendors that are located outside the United States in the future. This may subject us to fluctuations in foreign currency exchange rates in the future.</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5" w:right="4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21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are a precision oncology company pioneering the discovery and development of small molecule, tumor-agnostic therapies targeting p53 mutations.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w:t>
      </w:r>
    </w:p>
    <w:p>
      <w:pPr>
        <w:spacing w:after="0" w:line="176"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Our lead product candidate, PC14586, is an orally available small molecule designed to potently and selectively correct p53 misfolding caused by a specific p53 mutation, Y220C, while sparing wild-type p53. The Y220C mutation is associated with 1.0-1.5% of all cancers, including breast, non-small cell lung cancer, or NSCLC, colorectal, pancreatic and ovarian cancers. PC14586 is designed to restore the wild-type conformation by occupying the crevice created by the tyrosine to cysteine mutation in amino acid position 220. We are initially pursuing a tumor-agnostic development strategy and plan to submit our investigational new drug application, or IND, for PC14586 and start a Phase 1/2 clinical trial in the second half of 2020. Our strategy is to seek approval under an accelerated pathway, and we believe our Phase 1/2 clinical trial can serve as a pivotal study. In addition, we are leveraging our precision oncology platform to develop a pipeline of oral small molecule product candidates that structurally correct other p53 hotspot mutations to restore their wild-type function.</w:t>
      </w:r>
    </w:p>
    <w:p>
      <w:pPr>
        <w:spacing w:after="0" w:line="17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 better understanding of mutations that drive cancers have facilitated the development of precise, gene- and protein-specific drugs known as targeted therapies. Targeted therapies have the potential to transform treatment of some cancers by providing robust clinical benefit to patients. In many cases, clinical responses can be dramatic enough to support expedited regulatory approval of these therapies. Further, recent advancements in next-generation-sequencing, or NGS, have accelerated the development of targeted therapies. A recent study found that 75% of oncologists in the United States employ genetic sequencing. We believe p53 mutations are particularly well-suited for the evolving precision oncology paradigm, as a single mutation can cause p53 malfunction, and p53 is one of the genes commonly sequenced, to our knowledge, in NGS panels. We believe that our precision oncology platform offers a substantial opportunity to expand the number of patients who will benefit from targeted therapies.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innovation engine consists of three complementary drivers:</w:t>
      </w:r>
    </w:p>
    <w:p>
      <w:pPr>
        <w:spacing w:after="0" w:line="117" w:lineRule="exact"/>
        <w:rPr>
          <w:sz w:val="20"/>
          <w:szCs w:val="20"/>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deep understanding of, and leadership in, p53 biology that enable unique insights into targeting individual mutations;</w:t>
      </w:r>
    </w:p>
    <w:p>
      <w:pPr>
        <w:spacing w:after="0" w:line="117"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ability to design structure-based oral small molecule product candidates that selectively target and correct specific p53 mutants; and</w:t>
      </w:r>
    </w:p>
    <w:p>
      <w:pPr>
        <w:spacing w:after="0" w:line="50"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assays, screens, preclinical model systems and biomarkers that enable us to assess and optimize selective small molecule product candidates for specific p53 mutants.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PC14586 and Pipeline</w:t>
      </w:r>
    </w:p>
    <w:p>
      <w:pPr>
        <w:spacing w:after="0" w:line="214" w:lineRule="exact"/>
        <w:rPr>
          <w:sz w:val="20"/>
          <w:szCs w:val="20"/>
          <w:color w:val="auto"/>
        </w:rPr>
      </w:pPr>
    </w:p>
    <w:p>
      <w:pPr>
        <w:ind w:left="120" w:right="280" w:firstLine="551"/>
        <w:spacing w:after="0" w:line="255" w:lineRule="auto"/>
        <w:rPr>
          <w:sz w:val="20"/>
          <w:szCs w:val="20"/>
          <w:color w:val="auto"/>
        </w:rPr>
      </w:pPr>
      <w:r>
        <w:rPr>
          <w:rFonts w:ascii="Arial" w:cs="Arial" w:eastAsia="Arial" w:hAnsi="Arial"/>
          <w:sz w:val="18"/>
          <w:szCs w:val="18"/>
          <w:color w:val="auto"/>
        </w:rPr>
        <w:t>We are leveraging our precision oncology platform to develop a pipeline of orally available, potent and highly selective small molecule product candidates that are designed to structurally correct specific mutant p53 proteins to restore their wild-type function. 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135890</wp:posOffset>
            </wp:positionV>
            <wp:extent cx="6094730" cy="15005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9473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hanging="544"/>
        <w:spacing w:after="0"/>
        <w:tabs>
          <w:tab w:leader="none" w:pos="66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In Discovery, we screen compounds against biological assays to identify lead compounds with selective activity to our specific mutant p53 target of interest</w:t>
      </w:r>
    </w:p>
    <w:p>
      <w:pPr>
        <w:ind w:left="660" w:right="420" w:hanging="544"/>
        <w:spacing w:after="0" w:line="182" w:lineRule="auto"/>
        <w:tabs>
          <w:tab w:leader="none" w:pos="660" w:val="left"/>
        </w:tabs>
        <w:numPr>
          <w:ilvl w:val="0"/>
          <w:numId w:val="74"/>
        </w:numPr>
        <w:rPr>
          <w:rFonts w:ascii="Arial" w:cs="Arial" w:eastAsia="Arial" w:hAnsi="Arial"/>
          <w:sz w:val="23"/>
          <w:szCs w:val="23"/>
          <w:color w:val="auto"/>
          <w:vertAlign w:val="superscript"/>
        </w:rPr>
      </w:pPr>
      <w:r>
        <w:rPr>
          <w:rFonts w:ascii="Arial" w:cs="Arial" w:eastAsia="Arial" w:hAnsi="Arial"/>
          <w:sz w:val="14"/>
          <w:szCs w:val="14"/>
          <w:color w:val="auto"/>
        </w:rPr>
        <w:t>In Lead Optimization, we modify the lead compound to improve potency, selectivity, pharmacokinetic and toxicity parameters and physical chemical properties important for clinical development</w:t>
      </w:r>
    </w:p>
    <w:p>
      <w:pPr>
        <w:spacing w:after="0" w:line="1" w:lineRule="exact"/>
        <w:rPr>
          <w:rFonts w:ascii="Arial" w:cs="Arial" w:eastAsia="Arial" w:hAnsi="Arial"/>
          <w:sz w:val="23"/>
          <w:szCs w:val="23"/>
          <w:color w:val="auto"/>
          <w:vertAlign w:val="superscript"/>
        </w:rPr>
      </w:pPr>
    </w:p>
    <w:p>
      <w:pPr>
        <w:ind w:left="660" w:hanging="544"/>
        <w:spacing w:after="0" w:line="183" w:lineRule="auto"/>
        <w:tabs>
          <w:tab w:leader="none" w:pos="660" w:val="left"/>
        </w:tabs>
        <w:numPr>
          <w:ilvl w:val="0"/>
          <w:numId w:val="74"/>
        </w:numPr>
        <w:rPr>
          <w:rFonts w:ascii="Arial" w:cs="Arial" w:eastAsia="Arial" w:hAnsi="Arial"/>
          <w:sz w:val="20"/>
          <w:szCs w:val="20"/>
          <w:color w:val="auto"/>
          <w:vertAlign w:val="superscript"/>
        </w:rPr>
      </w:pPr>
      <w:r>
        <w:rPr>
          <w:rFonts w:ascii="Arial" w:cs="Arial" w:eastAsia="Arial" w:hAnsi="Arial"/>
          <w:sz w:val="12"/>
          <w:szCs w:val="12"/>
          <w:color w:val="auto"/>
        </w:rPr>
        <w:t>In IND-Enabling Studies, we conduct preclinical studies, in accordance with Good Laboratory Practice, or GLP, required for an IND submission to the FDA</w:t>
      </w:r>
    </w:p>
    <w:p>
      <w:pPr>
        <w:spacing w:after="0" w:line="17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Our lead product candidate, PC14586, is designed to be an orally available small molecule that structurally corrects the mutant p53 protein with the Y220C mutation. The Y220C mutation results from tyrosine being substituted by a cysteine at amino acid position 220 and is associated with 1.0-1.5% of all cancers, including breast, NSCLC, colorectal, pancreatic and ovarian cancers. There are currently no products approved by the U.S. Food and Drug Administration, or FDA, and we are not aware of any other products in clinical development, that selectively target the p53 Y220C mutation.</w:t>
      </w:r>
    </w:p>
    <w:p>
      <w:pPr>
        <w:spacing w:after="0" w:line="172" w:lineRule="exact"/>
        <w:rPr>
          <w:sz w:val="20"/>
          <w:szCs w:val="20"/>
          <w:color w:val="auto"/>
        </w:rPr>
      </w:pPr>
    </w:p>
    <w:p>
      <w:pPr>
        <w:ind w:left="120" w:right="60" w:firstLine="551"/>
        <w:spacing w:after="0" w:line="258" w:lineRule="auto"/>
        <w:rPr>
          <w:sz w:val="20"/>
          <w:szCs w:val="20"/>
          <w:color w:val="auto"/>
        </w:rPr>
      </w:pPr>
      <w:r>
        <w:rPr>
          <w:rFonts w:ascii="Arial" w:cs="Arial" w:eastAsia="Arial" w:hAnsi="Arial"/>
          <w:sz w:val="17"/>
          <w:szCs w:val="17"/>
          <w:color w:val="auto"/>
        </w:rPr>
        <w:t>PC14586 is designed to bind to the mutation site and structurally correct the misfolded p53 protein, while sparing wild-type p53. Our approach has yielded a highly selective product candidate, which we believe can maximize the potential therapeutic potency and minimize risk to normal functioning cells. In preclinical studies, PC14586 has shown selective on-target activity (</w:t>
      </w:r>
      <w:r>
        <w:rPr>
          <w:rFonts w:ascii="Arial" w:cs="Arial" w:eastAsia="Arial" w:hAnsi="Arial"/>
          <w:sz w:val="17"/>
          <w:szCs w:val="17"/>
          <w:i w:val="1"/>
          <w:iCs w:val="1"/>
          <w:color w:val="auto"/>
        </w:rPr>
        <w:t>i.e.</w:t>
      </w:r>
      <w:r>
        <w:rPr>
          <w:rFonts w:ascii="Arial" w:cs="Arial" w:eastAsia="Arial" w:hAnsi="Arial"/>
          <w:sz w:val="17"/>
          <w:szCs w:val="17"/>
          <w:color w:val="auto"/>
        </w:rPr>
        <w:t>, only functions in cells with the p53 Y220C mutation) and exhibited robust anti-tumor activity evidenced by potent tumor growth inhibition, or TGI, and complete tumor regression as a single agent. In these studies, PC14586 also induced the expression of Macrophage Inhibitory Cytokine-1, or MIC-1, which is an established biomarker for wild-type p53 activity that can be measured non-invasively in the blood in animal models as well as in humans. Further, preclinical studies have demonstrated significant synergistic effects in combination with anti-PD-1 therapy.</w:t>
      </w:r>
    </w:p>
    <w:p>
      <w:pPr>
        <w:spacing w:after="0" w:line="16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plan to submit an IND for PC14586 and start a Phase 1/2 clinical trial in the second half of 2020. The Phase 1 portion of the trial is designed to evaluate escalating doses of PC14586 to determine the maximum tolerated dose, or MTD, and recommended Phase 2 dose of PC14586 when administered orally to patients on a once daily dosing schedule. Safety, tolerability and effects on biomarkers such as MIC-1 will also be assessed. The Phase 1 portion is also designed to assess preliminary anti-tumor efficacy in patients with advanced solid tumors that have the p53 Y220C mutation. In the Phase 2 portion, we plan to evaluate the objective response rate, or ORR, and duration of response, or DoR, in patients with advanced solid tumors that have the p53 Y220C mutation. We initially intend to pursue an accelerated approval on the basis of this Phase 1/2 clinical trial for a tumor-agnostic indication for PC14586, subject to discussions with FDA and other health authorities.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00"/>
          </w:cols>
          <w:pgMar w:left="320" w:top="455" w:right="47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believe the mechanism of action employed by PC14586 to structurally correct a specific p53 mutant and restore wild-type p53 activity could offer a unique value proposition in oncology, and is a strategy that can be pursued broadly across other p53 mutations. To that point, we are developing a pipeline of candidates targeting other p53 hotspot mutations. We have other preclinical programs that have demonstrated biochemical validation, for which we are leveraging knowledge from our PC14586 Y220C program. We believe we can scale our discovery and development principles across all p53 hotspot mutations to streamline the process of further developing our pipeline.</w:t>
      </w: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Strategy</w:t>
      </w:r>
    </w:p>
    <w:p>
      <w:pPr>
        <w:spacing w:after="0" w:line="214"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Our vision is to become a leading precision oncology company by designing, developing and commercializing novel precision medicines for every patient with a tumor containing a p53 mutation. We believe we are well positioned to leverage our deep experience in p53 biology, precision oncology platform and foundational knowledge acquired through our lead program to bring these therapies to patients. The critical components of our strategy include:</w:t>
      </w:r>
    </w:p>
    <w:p>
      <w:pPr>
        <w:spacing w:after="0" w:line="74" w:lineRule="exact"/>
        <w:rPr>
          <w:sz w:val="20"/>
          <w:szCs w:val="20"/>
          <w:color w:val="auto"/>
        </w:rPr>
      </w:pPr>
    </w:p>
    <w:p>
      <w:pPr>
        <w:ind w:left="880" w:hanging="224"/>
        <w:spacing w:after="0" w:line="239"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Advancing our lead product candidate, PC14586, as a tumor-agnostic, oral small molecule single-agent therapy for cancer patients</w:t>
      </w:r>
      <w:r>
        <w:rPr>
          <w:rFonts w:ascii="Arial" w:cs="Arial" w:eastAsia="Arial" w:hAnsi="Arial"/>
          <w:sz w:val="18"/>
          <w:szCs w:val="18"/>
          <w:color w:val="auto"/>
        </w:rPr>
        <w:t>. We have designed PC14586 to be an orally available, tumor-agnostic therapeutic and, if approved, we believe</w:t>
      </w:r>
      <w:r>
        <w:rPr>
          <w:rFonts w:ascii="Arial" w:cs="Arial" w:eastAsia="Arial" w:hAnsi="Arial"/>
          <w:sz w:val="18"/>
          <w:szCs w:val="18"/>
          <w:b w:val="1"/>
          <w:bCs w:val="1"/>
          <w:color w:val="auto"/>
        </w:rPr>
        <w:t xml:space="preserve"> </w:t>
      </w:r>
      <w:r>
        <w:rPr>
          <w:rFonts w:ascii="Arial" w:cs="Arial" w:eastAsia="Arial" w:hAnsi="Arial"/>
          <w:sz w:val="18"/>
          <w:szCs w:val="18"/>
          <w:color w:val="auto"/>
        </w:rPr>
        <w:t>it could become the first agent to address the p53 Y220C mutation-defined patient population. We intend to advance PC14586 into a Phase 1/2 clinical trial in multiple solid tumors with the p53 Y220C mutation in the second half of 2020. We plan to conduct our clinical trials in this genetically-defined patient population and leverage learnings from recently approved tumor-agnostic drugs to inform the clinical and regulatory pathways for PC14586. If successful in achieving clinically meaningful anti-tumor efficacy in patients with p53 Y220C mutations across a range of solid tumor types, we plan to meet with regulatory authorities to discuss the potential to pursue approval for a tumor-agnostic label under the FDA’s accelerated approval pathway. We also plan to explore pursuing certain expedited regulatory pathways, such as fast track or breakthrough therapy designation, as well as orphan drug designation.</w:t>
      </w:r>
    </w:p>
    <w:p>
      <w:pPr>
        <w:spacing w:after="0" w:line="85" w:lineRule="exact"/>
        <w:rPr>
          <w:rFonts w:ascii="Arial" w:cs="Arial" w:eastAsia="Arial" w:hAnsi="Arial"/>
          <w:sz w:val="18"/>
          <w:szCs w:val="18"/>
          <w:color w:val="auto"/>
        </w:rPr>
      </w:pPr>
    </w:p>
    <w:p>
      <w:pPr>
        <w:ind w:left="880" w:right="60" w:hanging="224"/>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Harnessing the power of our precision oncology platform to discover and develop additional differentiated product candidates that are designed to precisely target p53 mutations in cancer</w:t>
      </w:r>
      <w:r>
        <w:rPr>
          <w:rFonts w:ascii="Arial" w:cs="Arial" w:eastAsia="Arial" w:hAnsi="Arial"/>
          <w:sz w:val="18"/>
          <w:szCs w:val="18"/>
          <w:color w:val="auto"/>
        </w:rPr>
        <w:t>. We believe that the general principles for our</w:t>
      </w:r>
      <w:r>
        <w:rPr>
          <w:rFonts w:ascii="Arial" w:cs="Arial" w:eastAsia="Arial" w:hAnsi="Arial"/>
          <w:sz w:val="18"/>
          <w:szCs w:val="18"/>
          <w:b w:val="1"/>
          <w:bCs w:val="1"/>
          <w:color w:val="auto"/>
        </w:rPr>
        <w:t xml:space="preserve"> </w:t>
      </w:r>
      <w:r>
        <w:rPr>
          <w:rFonts w:ascii="Arial" w:cs="Arial" w:eastAsia="Arial" w:hAnsi="Arial"/>
          <w:sz w:val="18"/>
          <w:szCs w:val="18"/>
          <w:color w:val="auto"/>
        </w:rPr>
        <w:t>PC14586 Y220C program can be applied to other p53 hotspot mutations. Using our extensive in-house expertise, deep understanding of chemistry and decades of experience researching the p53 protein, we believe that we will be able to leverage and apply foundational knowledge from the advancement of PC14586 to the discovery and development of small molecules targeting other p53 mutations. We are advancing several early-stage programs focused on targeting the p53 hotspot mutations. In an ongoing effort to bring forward new product candidates, we plan to continue to invest in our precision oncology platform, including our high-throughput screens that allow for quantitative visualization of the conversion from mutant to wild-type p53 in a dose-dependent manner.</w:t>
      </w:r>
    </w:p>
    <w:p>
      <w:pPr>
        <w:spacing w:after="0" w:line="81" w:lineRule="exact"/>
        <w:rPr>
          <w:rFonts w:ascii="Arial" w:cs="Arial" w:eastAsia="Arial" w:hAnsi="Arial"/>
          <w:sz w:val="18"/>
          <w:szCs w:val="18"/>
          <w:color w:val="auto"/>
        </w:rPr>
      </w:pPr>
    </w:p>
    <w:p>
      <w:pPr>
        <w:ind w:left="880" w:right="40" w:hanging="224"/>
        <w:spacing w:after="0" w:line="241"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Leveraging the advantages of precision medicine and our expertise in p53 biology to pursue accelerated approval of our product candidates</w:t>
      </w:r>
      <w:r>
        <w:rPr>
          <w:rFonts w:ascii="Arial" w:cs="Arial" w:eastAsia="Arial" w:hAnsi="Arial"/>
          <w:sz w:val="18"/>
          <w:szCs w:val="18"/>
          <w:color w:val="auto"/>
        </w:rPr>
        <w:t>. For our lead product candidate, PC14586, we plan to work with physicians and leading academic</w:t>
      </w:r>
      <w:r>
        <w:rPr>
          <w:rFonts w:ascii="Arial" w:cs="Arial" w:eastAsia="Arial" w:hAnsi="Arial"/>
          <w:sz w:val="18"/>
          <w:szCs w:val="18"/>
          <w:b w:val="1"/>
          <w:bCs w:val="1"/>
          <w:color w:val="auto"/>
        </w:rPr>
        <w:t xml:space="preserve"> </w:t>
      </w:r>
      <w:r>
        <w:rPr>
          <w:rFonts w:ascii="Arial" w:cs="Arial" w:eastAsia="Arial" w:hAnsi="Arial"/>
          <w:sz w:val="18"/>
          <w:szCs w:val="18"/>
          <w:color w:val="auto"/>
        </w:rPr>
        <w:t>centers to enroll patients with the p53 Y220C mutation identified through NGS in our Phase 1/2 clinical trial. In order to rapidly confirm mechanistic and clinical proof of concept, we plan to utilize assays to measure target engagement and biomarkers, as well as assess clinical responses in patients. We expect this strategy, which we also plan to replicate for our other future product candidates, will enable a rapid determination of efficacy, thereby providing clear decision points for clinical development and efficient advancement of our product candidates towards approval. If we obtain early and encouraging clinical results, we may seek breakthrough therapy designation</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180"/>
        <w:spacing w:after="0" w:line="276" w:lineRule="auto"/>
        <w:rPr>
          <w:sz w:val="20"/>
          <w:szCs w:val="20"/>
          <w:color w:val="auto"/>
        </w:rPr>
      </w:pPr>
      <w:r>
        <w:rPr>
          <w:rFonts w:ascii="Arial" w:cs="Arial" w:eastAsia="Arial" w:hAnsi="Arial"/>
          <w:sz w:val="18"/>
          <w:szCs w:val="18"/>
          <w:color w:val="auto"/>
        </w:rPr>
        <w:t>from the FDA, which, if granted, is intended to expedite clinical development and regulatory review. We intend to maximize the benefit of our product candidates by pursuing a tumor-agnostic approach.</w:t>
      </w:r>
    </w:p>
    <w:p>
      <w:pPr>
        <w:spacing w:after="0" w:line="48" w:lineRule="exact"/>
        <w:rPr>
          <w:sz w:val="20"/>
          <w:szCs w:val="20"/>
          <w:color w:val="auto"/>
        </w:rPr>
      </w:pPr>
    </w:p>
    <w:p>
      <w:pPr>
        <w:ind w:left="880" w:hanging="224"/>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Identifying and exploring combination therapy approaches for our product candidates</w:t>
      </w:r>
      <w:r>
        <w:rPr>
          <w:rFonts w:ascii="Arial" w:cs="Arial" w:eastAsia="Arial" w:hAnsi="Arial"/>
          <w:sz w:val="18"/>
          <w:szCs w:val="18"/>
          <w:color w:val="auto"/>
        </w:rPr>
        <w:t>. Though PC14586 has</w:t>
      </w:r>
      <w:r>
        <w:rPr>
          <w:rFonts w:ascii="Arial" w:cs="Arial" w:eastAsia="Arial" w:hAnsi="Arial"/>
          <w:sz w:val="18"/>
          <w:szCs w:val="18"/>
          <w:b w:val="1"/>
          <w:bCs w:val="1"/>
          <w:color w:val="auto"/>
        </w:rPr>
        <w:t xml:space="preserve"> </w:t>
      </w:r>
      <w:r>
        <w:rPr>
          <w:rFonts w:ascii="Arial" w:cs="Arial" w:eastAsia="Arial" w:hAnsi="Arial"/>
          <w:sz w:val="18"/>
          <w:szCs w:val="18"/>
          <w:color w:val="auto"/>
        </w:rPr>
        <w:t>demonstrated clear and robust tumor regression as a single agent in preclinical animal models, we believe that the mechanism of correcting the structure of mutant p53 can be complementary to other oncology therapies. Leveraging our expertise in p53 biology, chemistry and cancer pharmacology, we plan to identify and explore combination strategies with multiple cancer therapies. For example, chemotherapy and radiation therapy, approaches that result in DNA damage, upregulate p53 and are natural candidates for combining with our product candidates. In addition, we believe that p53 plays a role in influencing the tumor microenvironment. Therefore, immune checkpoint inhibitors, such as anti-PD-1 and anti-CTLA-4 agents, could also be considered as potential combination agents for use with our product candidates. We believe that our unique expertise will enable us to prioritize therapeutic strategies and optimize outcomes for clinical studies.</w:t>
      </w: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Our History and Team</w:t>
      </w:r>
    </w:p>
    <w:p>
      <w:pPr>
        <w:spacing w:after="0" w:line="214" w:lineRule="exact"/>
        <w:rPr>
          <w:sz w:val="20"/>
          <w:szCs w:val="20"/>
          <w:color w:val="auto"/>
        </w:rPr>
      </w:pPr>
    </w:p>
    <w:p>
      <w:pPr>
        <w:ind w:left="120" w:right="100" w:firstLine="551"/>
        <w:spacing w:after="0" w:line="243" w:lineRule="auto"/>
        <w:rPr>
          <w:sz w:val="20"/>
          <w:szCs w:val="20"/>
          <w:color w:val="auto"/>
        </w:rPr>
      </w:pPr>
      <w:r>
        <w:rPr>
          <w:rFonts w:ascii="Arial" w:cs="Arial" w:eastAsia="Arial" w:hAnsi="Arial"/>
          <w:sz w:val="18"/>
          <w:szCs w:val="18"/>
          <w:color w:val="auto"/>
        </w:rPr>
        <w:t>We believe we have established a leadership position in the discovery and development of oral small molecule therapies targeting mutant p53. Founded in 2013 by David Mack, Ph.D., Arnold Levine, Ph.D. and Thomas Shenk, Ph.D., we have built a precision oncology platform and chemistry discovery engine that leverages more than four decades of research experience and unique insights into the p53 protein. Dr. Levine is widely recognized for his seminal contributions to the field of p53 biology, having discovered p53 in 1979. Since inception, our vision has been supported by leading investors, including InterWest Partners, OrbiMed Advisors, Topspin, Euclidean Capital, Nextech Invest, Viking Global Investors, Boxer Capital of Tavistock Group and Osage University Partners.</w:t>
      </w:r>
    </w:p>
    <w:p>
      <w:pPr>
        <w:spacing w:after="0" w:line="174"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We have assembled a team with significant experience in drug discovery and development, with particular expertise in the discovery of small molecule oncology programs. Dr. Mack, our President and Chief Executive Officer, was previously General Partner at Alta Partners and co-founder and Vice President of Genomic Research at Eos Biotechnology, where he led the advancement of multiple product candidates prior to the company’s sale to Protein Design Labs. Winston Kung, our Chief Operating Officer and Chief Financial Officer, was previously Vice President of Business Development and Global Alliances at Celgene and Chief Business Officer of Celgene Cellular Therapeutics. Leila Alland, M.D., our Chief Medical Officer, is an oncologist with 20 years of experience developing oncology products in the biopharmaceutical industry, most recently as Chief Medical Officer of Affimed. Deepika Jalota, Pharm.D., our Senior Vice President of Regulatory Affairs and Quality Assurance, was previously Vice President in Oncology Regulatory Affairs at Bayer and led the tumor-agnostic regulatory strategy for larotrectinib (Vitrakvi) in collaboration with Loxo Oncology.</w:t>
      </w:r>
    </w:p>
    <w:p>
      <w:pPr>
        <w:spacing w:after="0" w:line="176" w:lineRule="exact"/>
        <w:rPr>
          <w:sz w:val="20"/>
          <w:szCs w:val="20"/>
          <w:color w:val="auto"/>
        </w:rPr>
      </w:pPr>
    </w:p>
    <w:p>
      <w:pPr>
        <w:ind w:left="120" w:right="20" w:firstLine="551"/>
        <w:spacing w:after="0" w:line="276" w:lineRule="auto"/>
        <w:rPr>
          <w:sz w:val="20"/>
          <w:szCs w:val="20"/>
          <w:color w:val="auto"/>
        </w:rPr>
      </w:pPr>
      <w:r>
        <w:rPr>
          <w:rFonts w:ascii="Arial" w:cs="Arial" w:eastAsia="Arial" w:hAnsi="Arial"/>
          <w:sz w:val="18"/>
          <w:szCs w:val="18"/>
          <w:color w:val="auto"/>
        </w:rPr>
        <w:t>Our company was founded and continues to be supported by world-class scientific advisors, including our scientific advisory board, or SAB:</w:t>
      </w:r>
    </w:p>
    <w:p>
      <w:pPr>
        <w:spacing w:after="0" w:line="50" w:lineRule="exact"/>
        <w:rPr>
          <w:sz w:val="20"/>
          <w:szCs w:val="20"/>
          <w:color w:val="auto"/>
        </w:rPr>
      </w:pPr>
    </w:p>
    <w:p>
      <w:pPr>
        <w:ind w:left="880" w:right="500" w:hanging="224"/>
        <w:spacing w:after="0" w:line="276"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Scott Lowe, Ph.D.—Chair, Cancer Biology and Genetics Program, Sloan Kettering Institute, Chair, Geoffrey Beene Cancer Research Center, Memorial Sloan Kettering and co-founder of ORIC Pharmaceuticals (NASDAQ: ORIC);</w:t>
      </w:r>
    </w:p>
    <w:p>
      <w:pPr>
        <w:spacing w:after="0" w:line="50" w:lineRule="exact"/>
        <w:rPr>
          <w:rFonts w:ascii="Arial" w:cs="Arial" w:eastAsia="Arial" w:hAnsi="Arial"/>
          <w:sz w:val="18"/>
          <w:szCs w:val="18"/>
          <w:color w:val="auto"/>
        </w:rPr>
      </w:pPr>
    </w:p>
    <w:p>
      <w:pPr>
        <w:ind w:left="880" w:right="420" w:hanging="224"/>
        <w:spacing w:after="0" w:line="248"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Richard Heyman, Ph.D.—Vice Chair of the Board of Trustees at the Salk Institute, former Chief Executive Officer of Aragon Pharmaceuticals (acquired by Johnson &amp; Johnson (NYSE: JNJ)), co-founder and former Chief Executive Officer of Seragon Pharmaceuticals (acquired by Roche Genentech), and co-founder, Chairman and former Chief Executive Officer of ORIC Pharmaceuticals (NASDAQ: ORIC);</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5" w:right="47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120" w:hanging="224"/>
        <w:spacing w:after="0" w:line="245"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Michael Jung, Ph.D.—Distinguished Professor of Chemistry and Biochemistry at University of California, Los Angeles, and co-founder of Aragon Pharmaceuticals (acquired by Johnson &amp; Johnson (NYSE: JNJ)) and Seragon Pharmaceuticals (acquired by Roche Genentech), and co-discovered Xtandi, an FDA-approved prostate cancer drug licensed to Medivation (acquired by Pfizer (NYSE: PFE)), and Erleada, an FDA-approved prostate cancer drug developed by Aragon Pharmaceuticals and acquired by Johnson &amp; Johnson;</w:t>
      </w:r>
    </w:p>
    <w:p>
      <w:pPr>
        <w:spacing w:after="0" w:line="77" w:lineRule="exact"/>
        <w:rPr>
          <w:rFonts w:ascii="Arial" w:cs="Arial" w:eastAsia="Arial" w:hAnsi="Arial"/>
          <w:sz w:val="18"/>
          <w:szCs w:val="18"/>
          <w:color w:val="auto"/>
        </w:rPr>
      </w:pPr>
    </w:p>
    <w:p>
      <w:pPr>
        <w:ind w:left="880" w:hanging="224"/>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Arnold Levine, Ph.D.—Professor Emeritus, School of Natural Sciences Biology, Institute of Advanced Studies;</w:t>
      </w:r>
    </w:p>
    <w:p>
      <w:pPr>
        <w:spacing w:after="0" w:line="117" w:lineRule="exact"/>
        <w:rPr>
          <w:rFonts w:ascii="Arial" w:cs="Arial" w:eastAsia="Arial" w:hAnsi="Arial"/>
          <w:sz w:val="18"/>
          <w:szCs w:val="18"/>
          <w:color w:val="auto"/>
        </w:rPr>
      </w:pPr>
    </w:p>
    <w:p>
      <w:pPr>
        <w:ind w:left="880" w:hanging="224"/>
        <w:spacing w:after="0" w:line="255"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Frank McCormick, Ph.D., F.R.S.—Professor at the UCSF Helen Diller Comprehensive Cancer Center, co-founder of Bridge Bio and Onyx Pharmaceuticals and initiated and led drug discovery efforts that led to approval of Nexavar, an FDA-approved drug for liver, thyroid and kidney cancer;</w:t>
      </w:r>
    </w:p>
    <w:p>
      <w:pPr>
        <w:spacing w:after="0" w:line="69" w:lineRule="exact"/>
        <w:rPr>
          <w:rFonts w:ascii="Arial" w:cs="Arial" w:eastAsia="Arial" w:hAnsi="Arial"/>
          <w:sz w:val="18"/>
          <w:szCs w:val="18"/>
          <w:color w:val="auto"/>
        </w:rPr>
      </w:pPr>
    </w:p>
    <w:p>
      <w:pPr>
        <w:ind w:left="880" w:right="220" w:hanging="224"/>
        <w:spacing w:after="0" w:line="245"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Charles Sawyers, M.D.—Marie-Josee and Henry R. Kravis Chair in Human Oncology and Pathogenesis, Memorial Sloan Kettering, co-founder of Aragon Pharmaceuticals (acquired by Johnson &amp; Johnson (NYSE: JNJ)), Seragon Pharmaceuticals (acquired by Roche Genentech), and ORIC Pharmaceuticals (NASDAQ: ORIC), and member of the board of directors of Novartis (NYSE: NVS), and co-discovered Xtandi, an FDA-approved prostate cancer drug licensed to Medivation and Erleada, an FDA-approved prostate cancer drug developed by Aragon Pharmaceuticals and acquired by Johnson &amp; Johnson;</w:t>
      </w:r>
    </w:p>
    <w:p>
      <w:pPr>
        <w:spacing w:after="0" w:line="77" w:lineRule="exact"/>
        <w:rPr>
          <w:rFonts w:ascii="Arial" w:cs="Arial" w:eastAsia="Arial" w:hAnsi="Arial"/>
          <w:sz w:val="18"/>
          <w:szCs w:val="18"/>
          <w:color w:val="auto"/>
        </w:rPr>
      </w:pPr>
    </w:p>
    <w:p>
      <w:pPr>
        <w:ind w:left="880" w:right="740" w:hanging="224"/>
        <w:spacing w:after="0" w:line="276"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Thomas Shenk, Ph.D.—James A. Elkins Professor of Life Sciences in the Department of Molecular Biology at Princeton University; and</w:t>
      </w:r>
    </w:p>
    <w:p>
      <w:pPr>
        <w:spacing w:after="0" w:line="50" w:lineRule="exact"/>
        <w:rPr>
          <w:rFonts w:ascii="Arial" w:cs="Arial" w:eastAsia="Arial" w:hAnsi="Arial"/>
          <w:sz w:val="18"/>
          <w:szCs w:val="18"/>
          <w:color w:val="auto"/>
        </w:rPr>
      </w:pPr>
    </w:p>
    <w:p>
      <w:pPr>
        <w:ind w:left="880" w:right="680" w:hanging="224"/>
        <w:spacing w:after="0" w:line="276"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Karen Vousden, Ph.D.—Chief Scientist at Cancer Research UK (CRUK), Group Leader at the Francis Crick Institute and member of the board of directors of Bristol-Myers Squibb (NYSE: BMY).</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Background on Targeted Therapies</w:t>
      </w:r>
    </w:p>
    <w:p>
      <w:pPr>
        <w:spacing w:after="0" w:line="214" w:lineRule="exact"/>
        <w:rPr>
          <w:sz w:val="20"/>
          <w:szCs w:val="20"/>
          <w:color w:val="auto"/>
        </w:rPr>
      </w:pPr>
    </w:p>
    <w:p>
      <w:pPr>
        <w:ind w:left="120" w:right="20" w:firstLine="551"/>
        <w:spacing w:after="0" w:line="268" w:lineRule="auto"/>
        <w:rPr>
          <w:sz w:val="20"/>
          <w:szCs w:val="20"/>
          <w:color w:val="auto"/>
        </w:rPr>
      </w:pPr>
      <w:r>
        <w:rPr>
          <w:rFonts w:ascii="Arial" w:cs="Arial" w:eastAsia="Arial" w:hAnsi="Arial"/>
          <w:sz w:val="17"/>
          <w:szCs w:val="17"/>
          <w:color w:val="auto"/>
        </w:rPr>
        <w:t>Cancer is a genetic disease that results from changes in a person’s DNA that causes cells to grow and divide uncontrollably. Genes are the distinct segments in a cell’s DNA that can encode proteins with structural or functional roles in the body. Alterations in some genes can lead to the expression of mutant proteins with impaired or abnormal functions that can cause cancer. Cancer has historically been both diagnosed and treated based on a tumor’s organ site, such as the breast, lung, ovary, brain, pancreas, skin, bone or blood.</w:t>
      </w:r>
    </w:p>
    <w:p>
      <w:pPr>
        <w:spacing w:after="0" w:line="153"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Recent advances in genetic sequencing and a better understanding of the genetic alterations that drive tumor development and growth have facilitated precise, gene and protein-specific drug development, known as targeted therapies. Targeted therapies have the potential to transform treatment of some cancers by providing robust clinical benefit to patients. In notable cases, the clinical outcomes have been dramatic enough to support expedited regulatory approval of these therapies. For example, Retevmo in RET-altered NSCLC and thyroid cancers (Lilly/Loxo); Ayvakit, in platelet-derived growth factor receptor alpha exon 18 mutated advanced gastrointestinal stromal tumor, or GIST (Blueprint); Rozlytrek, in solid tumors with a neurotrophic tropomyosin receptor kinase, or NTRK, gene fusion (Roche); Vitrakvi, in solid tumors with an NTRK gene fusion (Loxo/Bayer); Zykadia, in anaplastic lymphoma kinase-positive, or ALK+, advanced NSCLC (Novartis); Zelboraf, in advanced melanoma with a BRAF V600E mutation (Roche Genentech); Xalkori, in ALK+ advanced NSCLC (Pfizer); Tagrisso, in epidermal growth factor receptor mutation-positive, or EGFR+, advanced NSCLC (AstraZeneca); and Qinlock, in GIST (Deciphera), all received approvals within five years of first dosing in humans. This time period is significantly reduced compared to conventional drug development timelines. Despite this progress, a recent analysis found that only 8% of patients with metastatic cancer</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40"/>
          </w:cols>
          <w:pgMar w:left="320" w:top="455" w:right="4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80"/>
        <w:spacing w:after="0" w:line="276" w:lineRule="auto"/>
        <w:rPr>
          <w:sz w:val="20"/>
          <w:szCs w:val="20"/>
          <w:color w:val="auto"/>
        </w:rPr>
      </w:pPr>
      <w:r>
        <w:rPr>
          <w:rFonts w:ascii="Arial" w:cs="Arial" w:eastAsia="Arial" w:hAnsi="Arial"/>
          <w:sz w:val="18"/>
          <w:szCs w:val="18"/>
          <w:color w:val="auto"/>
        </w:rPr>
        <w:t>have tumors with genetic profiles eligible for treatment with an approved targeted agent, which leaves a large opportunity for precision oncology.</w:t>
      </w:r>
    </w:p>
    <w:p>
      <w:pPr>
        <w:spacing w:after="0" w:line="145"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There is an emerging change in the development of targeted therapies, in that cancer is increasingly being targeted through a tumor-agnostic approach with a focus on selectively targeting a genetic or protein mutation irrespective of tumor type. For example, there are now multiple tumor-agnostic product approvals that are based on a genetic mutation that defines the disease, as opposed to the tumor type. These include the aforementioned Vitrakvi and Rozlytrek approvals as well as the pembrolizumab, or Keytruda (Merck), approval in metastatic microsatellite instability-high, or MSI-high, or deficient mismatch repair, or dMMR, solid tumors. We believe that these approvals represent a fundamental shift in the development of targeted therapies and will increasingly lead to cancer being characterized for treatment in a genetic, rather than in a tumor-specific, manner.</w:t>
      </w:r>
    </w:p>
    <w:p>
      <w:pPr>
        <w:spacing w:after="0" w:line="179"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widespread recognition that cancer is a genetic disease, as much as it is a disease defined by histology or anatomical location, has driven the increased use of genetic sequencing, which is now employed by 75% of oncologists in the United States. As technology advances in DNA sequencing, the availability of well-defined genetic sequencing tests increases. With the increasing number of approved targeted therapies, we believe that physicians will seek a better understanding of the underlying genetic and protein abnormalities associated with a specific type of cancer in order to determine the optimal course of treatment. Advances in genetic sequencing are leading to transformations in the discovery and development of new targeted oncology drugs.</w:t>
      </w:r>
    </w:p>
    <w:p>
      <w:pPr>
        <w:spacing w:after="0" w:line="174" w:lineRule="exact"/>
        <w:rPr>
          <w:sz w:val="20"/>
          <w:szCs w:val="20"/>
          <w:color w:val="auto"/>
        </w:rPr>
      </w:pPr>
    </w:p>
    <w:p>
      <w:pPr>
        <w:jc w:val="both"/>
        <w:ind w:left="120" w:firstLine="551"/>
        <w:spacing w:after="0" w:line="257" w:lineRule="auto"/>
        <w:rPr>
          <w:sz w:val="20"/>
          <w:szCs w:val="20"/>
          <w:color w:val="auto"/>
        </w:rPr>
      </w:pPr>
      <w:r>
        <w:rPr>
          <w:rFonts w:ascii="Arial" w:cs="Arial" w:eastAsia="Arial" w:hAnsi="Arial"/>
          <w:sz w:val="17"/>
          <w:szCs w:val="17"/>
          <w:color w:val="auto"/>
        </w:rPr>
        <w:t>We believe p53 mutations are prime targets for precision oncology, as more than 50% of all human cancers contain a p53 mutation. Identifying the specific p53 gene mutation and structurally correcting the corresponding mutant p53 protein can potentially serve as a basis of treatment for these cancers. Diagnostic tests are currently used by physicians in their practice to identify patients with p53 mutations.</w:t>
      </w:r>
    </w:p>
    <w:p>
      <w:pPr>
        <w:spacing w:after="0" w:line="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Given the high prevalence of p53 mutations in cancers, we believe that the best way to address p53-driven cancers is by targeting individual p53 mutations using a precision oncology approach and significantly expand the scope of patients who can benefit from targeted therapies.</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Background on p53, the Most Frequently Mutated Gene in Human Cancer</w:t>
      </w:r>
    </w:p>
    <w:p>
      <w:pPr>
        <w:spacing w:after="0" w:line="21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p53 gene provides instructions for the production of tumor suppression protein p53 and is the most widely mutated gene in human cancers. Since its discovery in 1979 by our co-founder Dr. Arnold Levine, p53 has been extensively studied by researchers and the pharmaceutical industry due to its central role in preventing the initiation and proliferation of liquid and solid tumors. p53 has long been referred to as the “guardian of the genome” because it regulates expression of a number of genes that comprise the body’s first line of cellular defense against cancers. Among its multiple biologic functions, p53 regulates a variety of tumor suppressive responses including cell cycle arrest, DNA repair, senescence and apoptosis.</w:t>
      </w:r>
    </w:p>
    <w:p>
      <w:pPr>
        <w:spacing w:after="0" w:line="174" w:lineRule="exact"/>
        <w:rPr>
          <w:sz w:val="20"/>
          <w:szCs w:val="20"/>
          <w:color w:val="auto"/>
        </w:rPr>
      </w:pPr>
    </w:p>
    <w:p>
      <w:pPr>
        <w:ind w:left="120" w:right="180" w:firstLine="551"/>
        <w:spacing w:after="0" w:line="245" w:lineRule="auto"/>
        <w:rPr>
          <w:sz w:val="20"/>
          <w:szCs w:val="20"/>
          <w:color w:val="auto"/>
        </w:rPr>
      </w:pPr>
      <w:r>
        <w:rPr>
          <w:rFonts w:ascii="Arial" w:cs="Arial" w:eastAsia="Arial" w:hAnsi="Arial"/>
          <w:sz w:val="18"/>
          <w:szCs w:val="18"/>
          <w:color w:val="auto"/>
        </w:rPr>
        <w:t>p53 is a transcriptional factor, which binds to the promoters of its target genes in a sequence-specific manner and regulates their expression, thereby controlling cell cycle and cell death. p53 is activated when DNA damage is detected and when oxidative or other cellular stresses exceed thresholds for normal cellular function. p53 activation facilitates the repair of the cell’s damaged DNA or triggers the killing of the damaged cell through a process known as programmed cell death, or apoptosis, before the cell can become cancerous and proliferate.</w:t>
      </w:r>
    </w:p>
    <w:p>
      <w:pPr>
        <w:spacing w:after="0" w:line="172"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Under normal cellular conditions, p53 is kept at low levels by expression of murine double minute 2, or MDM2, a ubiquitin ligase that promotes the degradation of p53. Upon p53 activation by damaged DNA, and other types of stresses, p53 is upregulated and blocks the proliferation of pre-malignant and</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malignant cells or eliminates them by inducing apoptosis. Mutant p53 loses the ability to eliminate the proliferation of pre-malignant and malignant cells. Given that the mutational status of p53 in a tumor has a strong impact on sensitivity to commonly used anti-cancer drugs and radiotherapy, p53 is important both as a biomarker and as a novel therapeutic target.</w:t>
      </w:r>
    </w:p>
    <w:p>
      <w:pPr>
        <w:spacing w:after="0" w:line="16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A key challenge in the development of p53-targeted therapies is the vast number of p53 mutants that lose tumor suppression activity. To date, more than 25,000 unique p53 mutations have been discovered. The p53 hotspot mutations occur as a result of site-specific substitution of one amino acid for another and lead to loss of tumor suppression function for the p53 protein. Strategies that attempt to restore wild-type p53 activity in a non-selective manner (</w:t>
      </w:r>
      <w:r>
        <w:rPr>
          <w:rFonts w:ascii="Arial" w:cs="Arial" w:eastAsia="Arial" w:hAnsi="Arial"/>
          <w:sz w:val="18"/>
          <w:szCs w:val="18"/>
          <w:i w:val="1"/>
          <w:iCs w:val="1"/>
          <w:color w:val="auto"/>
        </w:rPr>
        <w:t>i.e.</w:t>
      </w:r>
      <w:r>
        <w:rPr>
          <w:rFonts w:ascii="Arial" w:cs="Arial" w:eastAsia="Arial" w:hAnsi="Arial"/>
          <w:sz w:val="18"/>
          <w:szCs w:val="18"/>
          <w:color w:val="auto"/>
        </w:rPr>
        <w:t>, regardless of which p53 mutation the tumor is harboring) are likely to face significant challenges, as a “one size fits all” drug is unlikely to address all p53 mutants and could have the potential for off-target toxicities. We are initially focusing on targeting the p53 hotspot mutations.</w:t>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Focus: Top Ten Most Frequent p53 Mutations</w:t>
      </w:r>
    </w:p>
    <w:p>
      <w:pPr>
        <w:spacing w:after="0" w:line="243" w:lineRule="exact"/>
        <w:rPr>
          <w:sz w:val="20"/>
          <w:szCs w:val="20"/>
          <w:color w:val="auto"/>
        </w:rPr>
      </w:pPr>
    </w:p>
    <w:tbl>
      <w:tblPr>
        <w:tblLayout w:type="fixed"/>
        <w:tblInd w:w="570" w:type="dxa"/>
        <w:tblCellMar>
          <w:top w:w="0" w:type="dxa"/>
          <w:left w:w="0" w:type="dxa"/>
          <w:bottom w:w="0" w:type="dxa"/>
          <w:right w:w="0" w:type="dxa"/>
        </w:tblCellMar>
      </w:tblPr>
      <w:tr>
        <w:trPr>
          <w:trHeight w:val="250"/>
        </w:trPr>
        <w:tc>
          <w:tcPr>
            <w:tcW w:w="5180" w:type="dxa"/>
            <w:vAlign w:val="bottom"/>
            <w:tcBorders>
              <w:top w:val="single" w:sz="8" w:color="auto"/>
              <w:left w:val="single" w:sz="8" w:color="auto"/>
              <w:bottom w:val="single" w:sz="8" w:color="0C0C0C"/>
            </w:tcBorders>
            <w:shd w:val="clear" w:color="auto" w:fill="0C0C0C"/>
          </w:tcPr>
          <w:p>
            <w:pPr>
              <w:ind w:left="1940"/>
              <w:spacing w:after="0"/>
              <w:rPr>
                <w:sz w:val="20"/>
                <w:szCs w:val="20"/>
                <w:color w:val="auto"/>
              </w:rPr>
            </w:pPr>
            <w:r>
              <w:rPr>
                <w:rFonts w:ascii="Arial" w:cs="Arial" w:eastAsia="Arial" w:hAnsi="Arial"/>
                <w:sz w:val="14"/>
                <w:szCs w:val="14"/>
                <w:b w:val="1"/>
                <w:bCs w:val="1"/>
                <w:color w:val="FFFFFF"/>
              </w:rPr>
              <w:t>p53 Hotspot Mutation</w:t>
            </w:r>
          </w:p>
        </w:tc>
        <w:tc>
          <w:tcPr>
            <w:tcW w:w="4960" w:type="dxa"/>
            <w:vAlign w:val="bottom"/>
            <w:tcBorders>
              <w:top w:val="single" w:sz="8" w:color="auto"/>
              <w:bottom w:val="single" w:sz="8" w:color="0C0C0C"/>
              <w:right w:val="single" w:sz="8" w:color="auto"/>
            </w:tcBorders>
            <w:shd w:val="clear" w:color="auto" w:fill="0C0C0C"/>
          </w:tcPr>
          <w:p>
            <w:pPr>
              <w:jc w:val="center"/>
              <w:ind w:left="152"/>
              <w:spacing w:after="0"/>
              <w:rPr>
                <w:sz w:val="20"/>
                <w:szCs w:val="20"/>
                <w:color w:val="auto"/>
              </w:rPr>
            </w:pPr>
            <w:r>
              <w:rPr>
                <w:rFonts w:ascii="Arial" w:cs="Arial" w:eastAsia="Arial" w:hAnsi="Arial"/>
                <w:sz w:val="14"/>
                <w:szCs w:val="14"/>
                <w:b w:val="1"/>
                <w:bCs w:val="1"/>
                <w:color w:val="FFFFFF"/>
              </w:rPr>
              <w:t>Frequency Among p53 Mutations</w:t>
            </w:r>
          </w:p>
        </w:tc>
      </w:tr>
      <w:tr>
        <w:trPr>
          <w:trHeight w:val="295"/>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R175H</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5.6%</w:t>
            </w:r>
          </w:p>
        </w:tc>
      </w:tr>
      <w:tr>
        <w:trPr>
          <w:trHeight w:val="270"/>
        </w:trPr>
        <w:tc>
          <w:tcPr>
            <w:tcW w:w="5180" w:type="dxa"/>
            <w:vAlign w:val="bottom"/>
            <w:tcBorders>
              <w:left w:val="single" w:sz="8" w:color="auto"/>
            </w:tcBorders>
          </w:tcPr>
          <w:p>
            <w:pPr>
              <w:jc w:val="center"/>
              <w:ind w:left="72"/>
              <w:spacing w:after="0"/>
              <w:rPr>
                <w:sz w:val="20"/>
                <w:szCs w:val="20"/>
                <w:color w:val="auto"/>
              </w:rPr>
            </w:pPr>
            <w:r>
              <w:rPr>
                <w:rFonts w:ascii="Arial" w:cs="Arial" w:eastAsia="Arial" w:hAnsi="Arial"/>
                <w:sz w:val="18"/>
                <w:szCs w:val="18"/>
                <w:b w:val="1"/>
                <w:bCs w:val="1"/>
                <w:color w:val="auto"/>
              </w:rPr>
              <w:t>R248Q</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4.4%</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R273H</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4.0%</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R248W</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3.5%</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R273C</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3.3%</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R282W</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2.8%</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G245S</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2.1%</w:t>
            </w:r>
          </w:p>
        </w:tc>
      </w:tr>
      <w:tr>
        <w:trPr>
          <w:trHeight w:val="270"/>
        </w:trPr>
        <w:tc>
          <w:tcPr>
            <w:tcW w:w="5180" w:type="dxa"/>
            <w:vAlign w:val="bottom"/>
            <w:tcBorders>
              <w:left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98"/>
              </w:rPr>
              <w:t>R249S</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2.0%</w:t>
            </w:r>
          </w:p>
        </w:tc>
      </w:tr>
      <w:tr>
        <w:trPr>
          <w:trHeight w:val="270"/>
        </w:trPr>
        <w:tc>
          <w:tcPr>
            <w:tcW w:w="5180" w:type="dxa"/>
            <w:vAlign w:val="bottom"/>
            <w:tcBorders>
              <w:left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98"/>
              </w:rPr>
              <w:t>Y220C</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1.8%</w:t>
            </w:r>
          </w:p>
        </w:tc>
      </w:tr>
      <w:tr>
        <w:trPr>
          <w:trHeight w:val="270"/>
        </w:trPr>
        <w:tc>
          <w:tcPr>
            <w:tcW w:w="5180" w:type="dxa"/>
            <w:vAlign w:val="bottom"/>
            <w:tcBorders>
              <w:left w:val="single" w:sz="8" w:color="auto"/>
            </w:tcBorders>
          </w:tcPr>
          <w:p>
            <w:pPr>
              <w:jc w:val="center"/>
              <w:ind w:left="72"/>
              <w:spacing w:after="0"/>
              <w:rPr>
                <w:sz w:val="20"/>
                <w:szCs w:val="20"/>
                <w:color w:val="auto"/>
              </w:rPr>
            </w:pPr>
            <w:r>
              <w:rPr>
                <w:rFonts w:ascii="Arial" w:cs="Arial" w:eastAsia="Arial" w:hAnsi="Arial"/>
                <w:sz w:val="18"/>
                <w:szCs w:val="18"/>
                <w:b w:val="1"/>
                <w:bCs w:val="1"/>
                <w:color w:val="auto"/>
              </w:rPr>
              <w:t>V157F</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1.0%</w:t>
            </w:r>
          </w:p>
        </w:tc>
      </w:tr>
      <w:tr>
        <w:trPr>
          <w:trHeight w:val="69"/>
        </w:trPr>
        <w:tc>
          <w:tcPr>
            <w:tcW w:w="5180" w:type="dxa"/>
            <w:vAlign w:val="bottom"/>
            <w:tcBorders>
              <w:left w:val="single" w:sz="8" w:color="auto"/>
              <w:bottom w:val="single" w:sz="8" w:color="auto"/>
            </w:tcBorders>
          </w:tcPr>
          <w:p>
            <w:pPr>
              <w:spacing w:after="0"/>
              <w:rPr>
                <w:sz w:val="6"/>
                <w:szCs w:val="6"/>
                <w:color w:val="auto"/>
              </w:rPr>
            </w:pPr>
          </w:p>
        </w:tc>
        <w:tc>
          <w:tcPr>
            <w:tcW w:w="4960" w:type="dxa"/>
            <w:vAlign w:val="bottom"/>
            <w:tcBorders>
              <w:bottom w:val="single" w:sz="8" w:color="auto"/>
              <w:right w:val="single" w:sz="8" w:color="auto"/>
            </w:tcBorders>
          </w:tcPr>
          <w:p>
            <w:pPr>
              <w:spacing w:after="0"/>
              <w:rPr>
                <w:sz w:val="6"/>
                <w:szCs w:val="6"/>
                <w:color w:val="auto"/>
              </w:rPr>
            </w:pPr>
          </w:p>
        </w:tc>
      </w:tr>
    </w:tbl>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Approach to Targeting p53</w:t>
      </w:r>
    </w:p>
    <w:p>
      <w:pPr>
        <w:spacing w:after="0" w:line="214" w:lineRule="exact"/>
        <w:rPr>
          <w:sz w:val="20"/>
          <w:szCs w:val="20"/>
          <w:color w:val="auto"/>
        </w:rPr>
      </w:pPr>
    </w:p>
    <w:p>
      <w:pPr>
        <w:ind w:left="120" w:right="180" w:firstLine="551"/>
        <w:spacing w:after="0" w:line="243" w:lineRule="auto"/>
        <w:rPr>
          <w:sz w:val="20"/>
          <w:szCs w:val="20"/>
          <w:color w:val="auto"/>
        </w:rPr>
      </w:pPr>
      <w:r>
        <w:rPr>
          <w:rFonts w:ascii="Arial" w:cs="Arial" w:eastAsia="Arial" w:hAnsi="Arial"/>
          <w:sz w:val="18"/>
          <w:szCs w:val="18"/>
          <w:color w:val="auto"/>
        </w:rPr>
        <w:t>Our goal is to bring precision oncology therapies to a greater number of patients. Decades of research on p53 has unveiled its potential as a precision oncology target, but prior drug development efforts have been unsuccessful. Mutant p53 historically has been classified as “undruggable” due to the difficulty of restoring wild-type p53 function. Mutations in p53 can give rise to mutant p53 proteins with different conformational structures. As a result, we are designing oral small molecule therapies that selectively target a specific p53 mutation while not binding to wild-type p53. We believe our novel approach designed to reactivate p53 function through the structural correction of mutant p53 protein to wild-type p53 represents a therapeutic strategy to target p53.</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drug development efforts leverage our understanding that:</w:t>
      </w:r>
    </w:p>
    <w:p>
      <w:pPr>
        <w:spacing w:after="0" w:line="117" w:lineRule="exact"/>
        <w:rPr>
          <w:sz w:val="20"/>
          <w:szCs w:val="20"/>
          <w:color w:val="auto"/>
        </w:rPr>
      </w:pPr>
    </w:p>
    <w:p>
      <w:pPr>
        <w:ind w:left="880" w:hanging="224"/>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mutations throughout the p53 protein can drive tumor formation and growth;</w:t>
      </w:r>
    </w:p>
    <w:p>
      <w:pPr>
        <w:spacing w:after="0" w:line="117" w:lineRule="exact"/>
        <w:rPr>
          <w:rFonts w:ascii="Arial" w:cs="Arial" w:eastAsia="Arial" w:hAnsi="Arial"/>
          <w:sz w:val="18"/>
          <w:szCs w:val="18"/>
          <w:color w:val="auto"/>
        </w:rPr>
      </w:pPr>
    </w:p>
    <w:p>
      <w:pPr>
        <w:ind w:left="880" w:right="260" w:hanging="224"/>
        <w:spacing w:after="0" w:line="276"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mutant p53 protein resulting from a specific mutation can potentially be structurally corrected by a selective small molecule, thereby reactivating wild-type p53 activity; and</w:t>
      </w:r>
    </w:p>
    <w:p>
      <w:pPr>
        <w:spacing w:after="0" w:line="50" w:lineRule="exact"/>
        <w:rPr>
          <w:rFonts w:ascii="Arial" w:cs="Arial" w:eastAsia="Arial" w:hAnsi="Arial"/>
          <w:sz w:val="18"/>
          <w:szCs w:val="18"/>
          <w:color w:val="auto"/>
        </w:rPr>
      </w:pPr>
    </w:p>
    <w:p>
      <w:pPr>
        <w:ind w:left="880" w:right="480" w:hanging="224"/>
        <w:spacing w:after="0" w:line="276"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p53 hotspot mutations comprise approximately 30% of all p53 mutations and each p53 hotspot mutation represents an individual therapeutic target for drug discovery and development.</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60"/>
          </w:cols>
          <w:pgMar w:left="320" w:top="455" w:right="51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We believe we can address certain key limitations of current-generation precision oncology therapies by applying our platform to identify and generate therapies that address functional deficiencies associated with specific p53 mutations. We believe this will allow us to design and develop potential therapies for patients for whom there are currently no targeted treatment options.</w:t>
      </w:r>
    </w:p>
    <w:p>
      <w:pPr>
        <w:spacing w:after="0" w:line="27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Innovation Engine</w:t>
      </w:r>
    </w:p>
    <w:p>
      <w:pPr>
        <w:spacing w:after="0" w:line="214" w:lineRule="exact"/>
        <w:rPr>
          <w:sz w:val="20"/>
          <w:szCs w:val="20"/>
          <w:color w:val="auto"/>
        </w:rPr>
      </w:pPr>
    </w:p>
    <w:p>
      <w:pPr>
        <w:ind w:left="120" w:right="580" w:firstLine="551"/>
        <w:spacing w:after="0" w:line="276" w:lineRule="auto"/>
        <w:rPr>
          <w:sz w:val="20"/>
          <w:szCs w:val="20"/>
          <w:color w:val="auto"/>
        </w:rPr>
      </w:pPr>
      <w:r>
        <w:rPr>
          <w:rFonts w:ascii="Arial" w:cs="Arial" w:eastAsia="Arial" w:hAnsi="Arial"/>
          <w:sz w:val="18"/>
          <w:szCs w:val="18"/>
          <w:color w:val="auto"/>
        </w:rPr>
        <w:t>We have built an innovation engine that allows us to discover and develop potential targeted therapies for mutant p53-driven cancers. This engine consists of three complementary drivers:</w:t>
      </w:r>
    </w:p>
    <w:p>
      <w:pPr>
        <w:spacing w:after="0" w:line="48" w:lineRule="exact"/>
        <w:rPr>
          <w:sz w:val="20"/>
          <w:szCs w:val="20"/>
          <w:color w:val="auto"/>
        </w:rPr>
      </w:pPr>
    </w:p>
    <w:p>
      <w:pPr>
        <w:ind w:left="880" w:right="160" w:hanging="224"/>
        <w:spacing w:after="0" w:line="242"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Deep understanding of, and leadership in, p53 biology that enable unique insights into targeting individual mutations. </w:t>
      </w:r>
      <w:r>
        <w:rPr>
          <w:rFonts w:ascii="Arial" w:cs="Arial" w:eastAsia="Arial" w:hAnsi="Arial"/>
          <w:sz w:val="18"/>
          <w:szCs w:val="18"/>
          <w:color w:val="auto"/>
        </w:rPr>
        <w:t>We have leveraged more than four decades of research experience and developed unique insights into p53 biology, a field that was discovered and established by our co-founder Dr. Arnold Levine</w:t>
      </w:r>
      <w:r>
        <w:rPr>
          <w:rFonts w:ascii="Arial" w:cs="Arial" w:eastAsia="Arial" w:hAnsi="Arial"/>
          <w:sz w:val="18"/>
          <w:szCs w:val="18"/>
          <w:b w:val="1"/>
          <w:bCs w:val="1"/>
          <w:color w:val="auto"/>
        </w:rPr>
        <w:t>.</w:t>
      </w:r>
      <w:r>
        <w:rPr>
          <w:rFonts w:ascii="Arial" w:cs="Arial" w:eastAsia="Arial" w:hAnsi="Arial"/>
          <w:sz w:val="18"/>
          <w:szCs w:val="18"/>
          <w:color w:val="auto"/>
        </w:rPr>
        <w:t xml:space="preserve"> Additionally, our SAB consists of some of the most prominent thought leaders in p53 biology. p53 is a highly complex gene, and thousands of distinct p53 mutations have been identified. A blanket approach to targeting mutant p53 has significant challenges, as a “one size fits all” drug is unlikely to address all p53 mutants. Based on our experience and expertise, we are developing oral small molecules that each selectively target a specific p53 hotspot mutation.</w:t>
      </w:r>
    </w:p>
    <w:p>
      <w:pPr>
        <w:spacing w:after="0" w:line="78" w:lineRule="exact"/>
        <w:rPr>
          <w:rFonts w:ascii="Arial" w:cs="Arial" w:eastAsia="Arial" w:hAnsi="Arial"/>
          <w:sz w:val="18"/>
          <w:szCs w:val="18"/>
          <w:color w:val="auto"/>
        </w:rPr>
      </w:pPr>
    </w:p>
    <w:p>
      <w:pPr>
        <w:ind w:left="880" w:hanging="224"/>
        <w:spacing w:after="0" w:line="242"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Ability to design structure-based oral small molecule product candidates that selectively target and correct specific p53 mutants</w:t>
      </w:r>
      <w:r>
        <w:rPr>
          <w:rFonts w:ascii="Arial" w:cs="Arial" w:eastAsia="Arial" w:hAnsi="Arial"/>
          <w:sz w:val="18"/>
          <w:szCs w:val="18"/>
          <w:color w:val="auto"/>
        </w:rPr>
        <w:t>. Designing molecules for p53 mutants requires an intricate understanding of the p53 protein structure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biology. We leverage structure-based technologies to give our oral small molecule product candidates access to challenging binding sites that are generally not accessible using conventional small molecule drug discovery approaches. For each target, we take detailed data from structural and functional studies of mutated p53 proteins to design development candidates against the challenging binding sites. Our design techniques help us to identify potential product candidates that can selectively target a single p53 mutant, while sparing wild-type p53.</w:t>
      </w:r>
    </w:p>
    <w:p>
      <w:pPr>
        <w:spacing w:after="0" w:line="78" w:lineRule="exact"/>
        <w:rPr>
          <w:rFonts w:ascii="Arial" w:cs="Arial" w:eastAsia="Arial" w:hAnsi="Arial"/>
          <w:sz w:val="18"/>
          <w:szCs w:val="18"/>
          <w:color w:val="auto"/>
        </w:rPr>
      </w:pPr>
    </w:p>
    <w:p>
      <w:pPr>
        <w:ind w:left="880" w:right="20" w:hanging="224"/>
        <w:spacing w:after="0" w:line="242"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Assays, screens, preclinical model systems and biomarkers that enable us to assess and optimize selective small molecule product candidates for specific p53 mutants. </w:t>
      </w:r>
      <w:r>
        <w:rPr>
          <w:rFonts w:ascii="Arial" w:cs="Arial" w:eastAsia="Arial" w:hAnsi="Arial"/>
          <w:sz w:val="18"/>
          <w:szCs w:val="18"/>
          <w:color w:val="auto"/>
        </w:rPr>
        <w:t>We test our product candidates across a diverse set of human cancer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cells based on research and understanding of bioinformatics and functional genomics. We also identify and monitor pharmacodynamic biomarkers and surrogates of clinical activity to help measure target engagement, including MIC-1, a serum-based biomarker. The biological insights we generate help us to better target various p53 mutants based on their structure and biology. We develop innovative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to advance potential therapeutic programs for translation to the clinic.</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Product Candidate and Development Programs</w:t>
      </w:r>
    </w:p>
    <w:p>
      <w:pPr>
        <w:spacing w:after="0" w:line="21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We are leveraging our precision oncology platform to develop a pipeline of oral small molecule product candidates that structurally correct other p53 hotspot mutations to restore their wild-type function. We expect to advance our next program into lead optimization in the second half of 2020. We own worldwide commercial rights to all of our programs. 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094730" cy="14916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9473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60" w:hanging="544"/>
        <w:spacing w:after="0"/>
        <w:tabs>
          <w:tab w:leader="none" w:pos="66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In Discovery, we screen compounds against biological assays to identify lead compounds with selective activity to our specific mutant p53 target of interest</w:t>
      </w:r>
    </w:p>
    <w:p>
      <w:pPr>
        <w:ind w:left="660" w:right="440" w:hanging="544"/>
        <w:spacing w:after="0" w:line="182" w:lineRule="auto"/>
        <w:tabs>
          <w:tab w:leader="none" w:pos="660" w:val="left"/>
        </w:tabs>
        <w:numPr>
          <w:ilvl w:val="0"/>
          <w:numId w:val="81"/>
        </w:numPr>
        <w:rPr>
          <w:rFonts w:ascii="Arial" w:cs="Arial" w:eastAsia="Arial" w:hAnsi="Arial"/>
          <w:sz w:val="23"/>
          <w:szCs w:val="23"/>
          <w:color w:val="auto"/>
          <w:vertAlign w:val="superscript"/>
        </w:rPr>
      </w:pPr>
      <w:r>
        <w:rPr>
          <w:rFonts w:ascii="Arial" w:cs="Arial" w:eastAsia="Arial" w:hAnsi="Arial"/>
          <w:sz w:val="14"/>
          <w:szCs w:val="14"/>
          <w:color w:val="auto"/>
        </w:rPr>
        <w:t>In Lead Optimization, we modify the lead compound to improve potency, selectivity, pharmacokinetic and toxicity parameters and physical chemical properties important for clinical development</w:t>
      </w:r>
    </w:p>
    <w:p>
      <w:pPr>
        <w:spacing w:after="0" w:line="1" w:lineRule="exact"/>
        <w:rPr>
          <w:rFonts w:ascii="Arial" w:cs="Arial" w:eastAsia="Arial" w:hAnsi="Arial"/>
          <w:sz w:val="23"/>
          <w:szCs w:val="23"/>
          <w:color w:val="auto"/>
          <w:vertAlign w:val="superscript"/>
        </w:rPr>
      </w:pPr>
    </w:p>
    <w:p>
      <w:pPr>
        <w:ind w:left="660" w:hanging="544"/>
        <w:spacing w:after="0"/>
        <w:tabs>
          <w:tab w:leader="none" w:pos="660" w:val="left"/>
        </w:tabs>
        <w:numPr>
          <w:ilvl w:val="0"/>
          <w:numId w:val="81"/>
        </w:numPr>
        <w:rPr>
          <w:rFonts w:ascii="Arial" w:cs="Arial" w:eastAsia="Arial" w:hAnsi="Arial"/>
          <w:sz w:val="24"/>
          <w:szCs w:val="24"/>
          <w:color w:val="auto"/>
          <w:vertAlign w:val="superscript"/>
        </w:rPr>
      </w:pPr>
      <w:r>
        <w:rPr>
          <w:rFonts w:ascii="Arial" w:cs="Arial" w:eastAsia="Arial" w:hAnsi="Arial"/>
          <w:sz w:val="24"/>
          <w:szCs w:val="24"/>
          <w:color w:val="auto"/>
          <w:vertAlign w:val="superscript"/>
        </w:rPr>
        <w:t>I</w:t>
      </w:r>
      <w:r>
        <w:rPr>
          <w:rFonts w:ascii="Arial" w:cs="Arial" w:eastAsia="Arial" w:hAnsi="Arial"/>
          <w:sz w:val="14"/>
          <w:szCs w:val="14"/>
          <w:color w:val="auto"/>
        </w:rPr>
        <w:t>n IND-Enabling Studies, we conduct preclinical studies, in accordance with Good Laboratory Practice, or GLP, required for an IND submission to the FDA</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PC14586: A Selective Structural Corrector of p53 Y220C Mutations</w:t>
      </w:r>
    </w:p>
    <w:p>
      <w:pPr>
        <w:spacing w:after="0" w:line="104" w:lineRule="exact"/>
        <w:rPr>
          <w:sz w:val="20"/>
          <w:szCs w:val="20"/>
          <w:color w:val="auto"/>
        </w:rPr>
      </w:pPr>
    </w:p>
    <w:p>
      <w:pPr>
        <w:ind w:left="120" w:right="280" w:firstLine="551"/>
        <w:spacing w:after="0" w:line="245" w:lineRule="auto"/>
        <w:rPr>
          <w:sz w:val="20"/>
          <w:szCs w:val="20"/>
          <w:color w:val="auto"/>
        </w:rPr>
      </w:pPr>
      <w:r>
        <w:rPr>
          <w:rFonts w:ascii="Arial" w:cs="Arial" w:eastAsia="Arial" w:hAnsi="Arial"/>
          <w:sz w:val="18"/>
          <w:szCs w:val="18"/>
          <w:color w:val="auto"/>
        </w:rPr>
        <w:t>p53 is the most widely mutated gene in human cancers. The vast majority of these mutations occur as a result of missense mutations that are found in the DNA binding domain. p53 Y220C mutations are found in approximately 1.0-1.5% of all cancers. This particular mutation is expressed in a large variety of solid tumors, including breast, NSCLC, colorectal, pancreatic and ovarian cancers. Our lead product candidate, PC14586, is designed to be an orally available small molecule that structurally corrects a p53 protein containing the Y220C mutation and restores wild-type p53 function.</w:t>
      </w:r>
    </w:p>
    <w:p>
      <w:pPr>
        <w:spacing w:after="0" w:line="172" w:lineRule="exact"/>
        <w:rPr>
          <w:sz w:val="20"/>
          <w:szCs w:val="20"/>
          <w:color w:val="auto"/>
        </w:rPr>
      </w:pPr>
    </w:p>
    <w:p>
      <w:pPr>
        <w:ind w:left="120" w:right="300" w:firstLine="551"/>
        <w:spacing w:after="0" w:line="243" w:lineRule="auto"/>
        <w:rPr>
          <w:sz w:val="20"/>
          <w:szCs w:val="20"/>
          <w:color w:val="auto"/>
        </w:rPr>
      </w:pPr>
      <w:r>
        <w:rPr>
          <w:rFonts w:ascii="Arial" w:cs="Arial" w:eastAsia="Arial" w:hAnsi="Arial"/>
          <w:sz w:val="18"/>
          <w:szCs w:val="18"/>
          <w:color w:val="auto"/>
        </w:rPr>
        <w:t>Wild-type p53 in a normal cell is at low to undetectable levels, but an external insult such as UV radiation or exposure to a carcinogen results in activation and upregulation of the protein. In these instances, wild-type p53 pauses the cell-cycle to survey the integrity of the genome, and if the damage to the genome cannot be repaired, wild-type p53 induces a potent program of cell suicide or programed cell death. Given wild-type p53’s profound ability to induce cell death, it is tightly regulated in normal biology by an auto-regulatory loop with MDM2, a downstream induced target of wild-type p53 transcriptional activation. MDM2 production results in degradation of the wild-type p53 protein and re-sets the cell to normal function.</w:t>
      </w:r>
    </w:p>
    <w:p>
      <w:pPr>
        <w:spacing w:after="0" w:line="174" w:lineRule="exact"/>
        <w:rPr>
          <w:sz w:val="20"/>
          <w:szCs w:val="20"/>
          <w:color w:val="auto"/>
        </w:rPr>
      </w:pPr>
    </w:p>
    <w:p>
      <w:pPr>
        <w:ind w:left="120" w:right="140" w:firstLine="551"/>
        <w:spacing w:after="0" w:line="248" w:lineRule="auto"/>
        <w:rPr>
          <w:sz w:val="20"/>
          <w:szCs w:val="20"/>
          <w:color w:val="auto"/>
        </w:rPr>
      </w:pPr>
      <w:r>
        <w:rPr>
          <w:rFonts w:ascii="Arial" w:cs="Arial" w:eastAsia="Arial" w:hAnsi="Arial"/>
          <w:sz w:val="18"/>
          <w:szCs w:val="18"/>
          <w:color w:val="auto"/>
        </w:rPr>
        <w:t>In the case of a mutant p53, there is a loss of p53 wild-type tumor suppression function due to a loss of downstream wild-type p53 transcriptional activation, including MDM2 induction. A consequence of this dysregulation is the inability of the cancer cell to degrade mutant forms of p53, resulting in a profound accumulation of mutant p53 protein in the cancer cell as shown below for the Y220C mutation.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left="460"/>
        <w:spacing w:after="0" w:line="287" w:lineRule="auto"/>
        <w:rPr>
          <w:sz w:val="20"/>
          <w:szCs w:val="20"/>
          <w:color w:val="auto"/>
        </w:rPr>
      </w:pPr>
      <w:r>
        <w:rPr>
          <w:rFonts w:ascii="Arial" w:cs="Arial" w:eastAsia="Arial" w:hAnsi="Arial"/>
          <w:sz w:val="18"/>
          <w:szCs w:val="18"/>
          <w:b w:val="1"/>
          <w:bCs w:val="1"/>
          <w:color w:val="auto"/>
        </w:rPr>
        <w:t>Y220C Mutant Cancer Cell Lines Contain Large Pools of Mutant p53 Y220C Target Protein Relative to Normal (Wild-type p53)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113030</wp:posOffset>
            </wp:positionV>
            <wp:extent cx="5194935" cy="383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94935"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While treatment options such as surgery, chemotherapy, radiotherapy and immuno-therapy are available for breast, NSCLC, colorectal, pancreatic and ovarian cancer, there are no approved precision oncology therapies for the subset of patients with the p53 Y220C mutation. The availability of an oral small molecule selective for the p53 Y220C mutation may offer a novel precision therapy for this population, which we believe could potentially change the treatment paradigm for such patients.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0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PC14586 is an orally available small molecule candidate that is designed to selectively bind to the crevice created by the p53 Y220C mutation, and thereby restore the wild-type p53 protein structure and tumor suppressing function. In the diagram below, wild-type p53 protein is compared with a mutant p53 Y220C protein and a mutant p53 Y220C protein with PC14586 bound in the crevice created by the Y220C mutation. By precisely docking into the crevice created by the Y220C mutation, PC14586 is designed to restore the wild-type p53 conformation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140970</wp:posOffset>
            </wp:positionV>
            <wp:extent cx="5186045" cy="2948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8604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 xml:space="preserve">In preclinical studies, we have demonstrated that PC14586 rapidly converts the large protein pool of mutant p53 Y220C protein to wild-type structure. As seen in the graphic below, in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study, PC14586 induced conversion of p53 protein from mutant to wild-type conformation in a dose-dependent manner as evidenced by a decrease in mutant p53 and an increase in wild-type p53, while total p53 remains relatively unchanged.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80"/>
          </w:cols>
          <w:pgMar w:left="320" w:top="455" w:right="49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 xml:space="preserve">PC14586 Demonstrated Structural Conversion from Mutant p53 to Wild-type p53 </w:t>
      </w:r>
      <w:r>
        <w:rPr>
          <w:rFonts w:ascii="Arial" w:cs="Arial" w:eastAsia="Arial" w:hAnsi="Arial"/>
          <w:sz w:val="18"/>
          <w:szCs w:val="18"/>
          <w:b w:val="1"/>
          <w:bCs w:val="1"/>
          <w:i w:val="1"/>
          <w:iCs w:val="1"/>
          <w:color w:val="auto"/>
        </w:rPr>
        <w:t>in vitro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167005</wp:posOffset>
            </wp:positionV>
            <wp:extent cx="2511425" cy="19545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1142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Additionally, structural correction from a mutant p53 Y220C conformation to a wild-type p53 conformation by PC14586 restored p53-dependent transcription of downstream targets, which is indicative of wild-type p53 biological activity. For example, as shown in the figures below, p21 and MDM2, two of the downstream targets of p53, were selectively upregulated by PC14586 in a dose-dependent manner in cells where the p53 Y220C mutation was present. Since PC14586 is highly selective for the p53 Y220C mutation, it did not affect expression levels of p21 and MDM2 in tumor cell lines containing wild-type p53, p53 knock-out or other p53 hotspot mutations as noted in the figures below.</w:t>
      </w:r>
    </w:p>
    <w:p>
      <w:pPr>
        <w:spacing w:after="0" w:line="10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880"/>
          </w:cols>
          <w:pgMar w:left="320" w:top="455" w:right="69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PC14586 Induced Transcription of p21 and MDM2 Only in Cell Lines with the p53 Y220C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167005</wp:posOffset>
            </wp:positionV>
            <wp:extent cx="5186045" cy="1911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8604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In Vivo Data</w:t>
      </w:r>
    </w:p>
    <w:p>
      <w:pPr>
        <w:spacing w:after="0" w:line="10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PC14586 exhibited single-agent anti-tumor activity in a dose-dependent manner against mutant p53 Y220C tumors, evidenced by both potent TGI and tumor regression. Oral daily dosing of PC14586 was well tolerated in nude mice bearing p53 Y220C NUGC3 xenograft tumors up to 100 mg/kg, as evidenced by the lack of body weight loss. PC14586 demonstrated dose-dependent TGI at daily doses ranging from 25 mg/kg to 50 mg/kg and robust tumor regression at 100 mg/kg daily.</w:t>
      </w:r>
    </w:p>
    <w:p>
      <w:pPr>
        <w:spacing w:after="0" w:line="27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PC14586 Single-Agent Administration in NUGC3 Xenograft Model Resulted in Tumor Regression and was Well Tolerated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167005</wp:posOffset>
            </wp:positionV>
            <wp:extent cx="5186045" cy="254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8604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0" w:right="180" w:firstLine="551"/>
        <w:spacing w:after="0" w:line="276" w:lineRule="auto"/>
        <w:rPr>
          <w:sz w:val="20"/>
          <w:szCs w:val="20"/>
          <w:color w:val="auto"/>
        </w:rPr>
      </w:pPr>
      <w:r>
        <w:rPr>
          <w:rFonts w:ascii="Arial" w:cs="Arial" w:eastAsia="Arial" w:hAnsi="Arial"/>
          <w:sz w:val="18"/>
          <w:szCs w:val="18"/>
          <w:color w:val="auto"/>
        </w:rPr>
        <w:t>In preclinical animal studies, PC14586 exhibited fast absorption and a durable plasma exposure, which resulted in robust target engagement that correlated with compound exposure levels. Target</w:t>
      </w:r>
    </w:p>
    <w:p>
      <w:pPr>
        <w:spacing w:after="0" w:line="7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960"/>
          </w:cols>
          <w:pgMar w:left="320" w:top="455" w:right="61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engagement was demonstrated by the decrease in mutant p53 Y220C and the increase in the wild-type conformation.</w:t>
      </w:r>
    </w:p>
    <w:p>
      <w:pPr>
        <w:spacing w:after="0" w:line="212" w:lineRule="exact"/>
        <w:rPr>
          <w:sz w:val="20"/>
          <w:szCs w:val="20"/>
          <w:color w:val="auto"/>
        </w:rPr>
      </w:pPr>
    </w:p>
    <w:p>
      <w:pPr>
        <w:jc w:val="both"/>
        <w:ind w:left="120" w:right="300" w:firstLine="551"/>
        <w:spacing w:after="0" w:line="255" w:lineRule="auto"/>
        <w:rPr>
          <w:sz w:val="20"/>
          <w:szCs w:val="20"/>
          <w:color w:val="auto"/>
        </w:rPr>
      </w:pPr>
      <w:r>
        <w:rPr>
          <w:rFonts w:ascii="Arial" w:cs="Arial" w:eastAsia="Arial" w:hAnsi="Arial"/>
          <w:sz w:val="18"/>
          <w:szCs w:val="18"/>
          <w:color w:val="auto"/>
        </w:rPr>
        <w:t>Coincident with tumor regression, in acute dose pharmacokinetic/pharmacodynamic, or PK/PD, studies, oral administration of PC14586 to xenograft mice bearing the NUGC3 (p53 Y220C) tumors resulted in conversion of mutant p53 protein to a wild-type p53 structure as illustrated in the figure below.</w:t>
      </w:r>
    </w:p>
    <w:p>
      <w:pPr>
        <w:spacing w:after="0" w:line="27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 xml:space="preserve">In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Studies, PC14586 Converted Mutant p53 Protein to a Wild-type p53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167005</wp:posOffset>
            </wp:positionV>
            <wp:extent cx="5186045" cy="15944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86045"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right="300" w:firstLine="551"/>
        <w:spacing w:after="0" w:line="255" w:lineRule="auto"/>
        <w:rPr>
          <w:sz w:val="20"/>
          <w:szCs w:val="20"/>
          <w:color w:val="auto"/>
        </w:rPr>
      </w:pPr>
      <w:r>
        <w:rPr>
          <w:rFonts w:ascii="Arial" w:cs="Arial" w:eastAsia="Arial" w:hAnsi="Arial"/>
          <w:sz w:val="18"/>
          <w:szCs w:val="18"/>
          <w:color w:val="auto"/>
        </w:rPr>
        <w:t>Additionally, functional p53 activity in the tumor tissue was also demonstrated (</w:t>
      </w:r>
      <w:r>
        <w:rPr>
          <w:rFonts w:ascii="Arial" w:cs="Arial" w:eastAsia="Arial" w:hAnsi="Arial"/>
          <w:sz w:val="18"/>
          <w:szCs w:val="18"/>
          <w:i w:val="1"/>
          <w:iCs w:val="1"/>
          <w:color w:val="auto"/>
        </w:rPr>
        <w:t>i.e.</w:t>
      </w:r>
      <w:r>
        <w:rPr>
          <w:rFonts w:ascii="Arial" w:cs="Arial" w:eastAsia="Arial" w:hAnsi="Arial"/>
          <w:sz w:val="18"/>
          <w:szCs w:val="18"/>
          <w:color w:val="auto"/>
        </w:rPr>
        <w:t>, the induction of wild-type p53 downstream targets). As illustrated in the figure below, PC14586 was observed to induce the expression of the p53 downstream target MIC-1, a clinically validated secreted biomarker of wild-type p53 activity.</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PC14586 Increased Plasma Concentration of MIC-1, a Clinically Validated Secreted Biomarker of Wild-type p53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167005</wp:posOffset>
            </wp:positionV>
            <wp:extent cx="1808480" cy="20142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808480"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We also created a human p53 knock-in, or HUPKI, mouse that expresses a p53 protein with the human p53 DNA binding domain and the p53 Y220C mutation. The HUPKI mouse presents spontaneously with sarcomas at six to eight months of age, which we can harvest and re-implant in a wild-type mouse to create a mouse tumor model that has an intact immune system harboring a human p53 Y220C mutation. We believe this syngeneic mouse model better represents the patient population</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920"/>
          </w:cols>
          <w:pgMar w:left="320" w:top="455" w:right="65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that we expect to see in the clinic, as compared to mouse xenograft models that incorporate human tumors in mice with no immune system. In addition, with an intact immune system, this model allows us to test anti-tumor activity of PC14586 in combination with immune checkpoint inhibitors.</w:t>
      </w:r>
    </w:p>
    <w:p>
      <w:pPr>
        <w:spacing w:after="0" w:line="164"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As illustrated by the table below, PC14586, administered as a single-agent at a daily oral dose of 100 mg/kg for 70 days, demonstrated regression in tumors that express the p53 Y220C mutation in the syngeneic mouse model. The durability of the response was measured by median survival, where median survival for a 100 mg/kg dose of PC14586 exceeded 156 days, even though drug treatment was discontinued on day 70. This compared with median survival of only 17 days for vehicle.</w:t>
      </w:r>
    </w:p>
    <w:p>
      <w:pPr>
        <w:spacing w:after="0" w:line="27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PC14586 Tumor Regression and Durable Responses in Syngeneic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167005</wp:posOffset>
            </wp:positionV>
            <wp:extent cx="4766310" cy="17487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76631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890" w:type="dxa"/>
        <w:tblCellMar>
          <w:top w:w="0" w:type="dxa"/>
          <w:left w:w="0" w:type="dxa"/>
          <w:bottom w:w="0" w:type="dxa"/>
          <w:right w:w="0" w:type="dxa"/>
        </w:tblCellMar>
      </w:tblPr>
      <w:tr>
        <w:trPr>
          <w:trHeight w:val="201"/>
        </w:trPr>
        <w:tc>
          <w:tcPr>
            <w:tcW w:w="3820" w:type="dxa"/>
            <w:vAlign w:val="bottom"/>
            <w:tcBorders>
              <w:top w:val="single" w:sz="8" w:color="auto"/>
              <w:left w:val="single" w:sz="8" w:color="auto"/>
            </w:tcBorders>
            <w:shd w:val="clear" w:color="auto" w:fill="0C0C0C"/>
          </w:tcPr>
          <w:p>
            <w:pPr>
              <w:spacing w:after="0"/>
              <w:rPr>
                <w:sz w:val="17"/>
                <w:szCs w:val="17"/>
                <w:color w:val="auto"/>
              </w:rPr>
            </w:pPr>
          </w:p>
        </w:tc>
        <w:tc>
          <w:tcPr>
            <w:tcW w:w="3680" w:type="dxa"/>
            <w:vAlign w:val="bottom"/>
            <w:tcBorders>
              <w:top w:val="single" w:sz="8" w:color="auto"/>
              <w:right w:val="single" w:sz="8" w:color="auto"/>
            </w:tcBorders>
            <w:shd w:val="clear" w:color="auto" w:fill="0C0C0C"/>
          </w:tcPr>
          <w:p>
            <w:pPr>
              <w:jc w:val="center"/>
              <w:ind w:left="179"/>
              <w:spacing w:after="0"/>
              <w:rPr>
                <w:sz w:val="20"/>
                <w:szCs w:val="20"/>
                <w:color w:val="auto"/>
              </w:rPr>
            </w:pPr>
            <w:r>
              <w:rPr>
                <w:rFonts w:ascii="Arial" w:cs="Arial" w:eastAsia="Arial" w:hAnsi="Arial"/>
                <w:sz w:val="14"/>
                <w:szCs w:val="14"/>
                <w:b w:val="1"/>
                <w:bCs w:val="1"/>
                <w:color w:val="FFFFFF"/>
              </w:rPr>
              <w:t>Median Survival Time</w:t>
            </w:r>
          </w:p>
        </w:tc>
      </w:tr>
      <w:tr>
        <w:trPr>
          <w:trHeight w:val="211"/>
        </w:trPr>
        <w:tc>
          <w:tcPr>
            <w:tcW w:w="3820" w:type="dxa"/>
            <w:vAlign w:val="bottom"/>
            <w:tcBorders>
              <w:left w:val="single" w:sz="8" w:color="auto"/>
              <w:bottom w:val="single" w:sz="8" w:color="0C0C0C"/>
            </w:tcBorders>
            <w:shd w:val="clear" w:color="auto" w:fill="0C0C0C"/>
          </w:tcPr>
          <w:p>
            <w:pPr>
              <w:jc w:val="center"/>
              <w:ind w:left="76"/>
              <w:spacing w:after="0"/>
              <w:rPr>
                <w:sz w:val="20"/>
                <w:szCs w:val="20"/>
                <w:color w:val="auto"/>
              </w:rPr>
            </w:pPr>
            <w:r>
              <w:rPr>
                <w:rFonts w:ascii="Arial" w:cs="Arial" w:eastAsia="Arial" w:hAnsi="Arial"/>
                <w:sz w:val="14"/>
                <w:szCs w:val="14"/>
                <w:b w:val="1"/>
                <w:bCs w:val="1"/>
                <w:color w:val="FFFFFF"/>
                <w:w w:val="99"/>
              </w:rPr>
              <w:t>Group</w:t>
            </w:r>
          </w:p>
        </w:tc>
        <w:tc>
          <w:tcPr>
            <w:tcW w:w="3680" w:type="dxa"/>
            <w:vAlign w:val="bottom"/>
            <w:tcBorders>
              <w:bottom w:val="single" w:sz="8" w:color="0C0C0C"/>
              <w:right w:val="single" w:sz="8" w:color="auto"/>
            </w:tcBorders>
            <w:shd w:val="clear" w:color="auto" w:fill="0C0C0C"/>
          </w:tcPr>
          <w:p>
            <w:pPr>
              <w:jc w:val="center"/>
              <w:ind w:left="159"/>
              <w:spacing w:after="0"/>
              <w:rPr>
                <w:sz w:val="20"/>
                <w:szCs w:val="20"/>
                <w:color w:val="auto"/>
              </w:rPr>
            </w:pPr>
            <w:r>
              <w:rPr>
                <w:rFonts w:ascii="Arial" w:cs="Arial" w:eastAsia="Arial" w:hAnsi="Arial"/>
                <w:sz w:val="14"/>
                <w:szCs w:val="14"/>
                <w:b w:val="1"/>
                <w:bCs w:val="1"/>
                <w:color w:val="FFFFFF"/>
              </w:rPr>
              <w:t>(Days)</w:t>
            </w:r>
          </w:p>
        </w:tc>
      </w:tr>
      <w:tr>
        <w:trPr>
          <w:trHeight w:val="274"/>
        </w:trPr>
        <w:tc>
          <w:tcPr>
            <w:tcW w:w="3820" w:type="dxa"/>
            <w:vAlign w:val="bottom"/>
            <w:tcBorders>
              <w:left w:val="single" w:sz="8" w:color="auto"/>
            </w:tcBorders>
          </w:tcPr>
          <w:p>
            <w:pPr>
              <w:jc w:val="center"/>
              <w:ind w:left="76"/>
              <w:spacing w:after="0"/>
              <w:rPr>
                <w:sz w:val="20"/>
                <w:szCs w:val="20"/>
                <w:color w:val="auto"/>
              </w:rPr>
            </w:pPr>
            <w:r>
              <w:rPr>
                <w:rFonts w:ascii="Arial" w:cs="Arial" w:eastAsia="Arial" w:hAnsi="Arial"/>
                <w:sz w:val="18"/>
                <w:szCs w:val="18"/>
                <w:color w:val="auto"/>
                <w:w w:val="98"/>
              </w:rPr>
              <w:t>Vehicle</w:t>
            </w:r>
          </w:p>
        </w:tc>
        <w:tc>
          <w:tcPr>
            <w:tcW w:w="3680" w:type="dxa"/>
            <w:vAlign w:val="bottom"/>
            <w:tcBorders>
              <w:right w:val="single" w:sz="8" w:color="auto"/>
            </w:tcBorders>
          </w:tcPr>
          <w:p>
            <w:pPr>
              <w:jc w:val="right"/>
              <w:ind w:right="1539"/>
              <w:spacing w:after="0"/>
              <w:rPr>
                <w:sz w:val="20"/>
                <w:szCs w:val="20"/>
                <w:color w:val="auto"/>
              </w:rPr>
            </w:pPr>
            <w:r>
              <w:rPr>
                <w:rFonts w:ascii="Arial" w:cs="Arial" w:eastAsia="Arial" w:hAnsi="Arial"/>
                <w:sz w:val="18"/>
                <w:szCs w:val="18"/>
                <w:color w:val="auto"/>
              </w:rPr>
              <w:t>17</w:t>
            </w:r>
          </w:p>
        </w:tc>
      </w:tr>
      <w:tr>
        <w:trPr>
          <w:trHeight w:val="37"/>
        </w:trPr>
        <w:tc>
          <w:tcPr>
            <w:tcW w:w="3820" w:type="dxa"/>
            <w:vAlign w:val="bottom"/>
            <w:tcBorders>
              <w:left w:val="single" w:sz="8" w:color="auto"/>
              <w:bottom w:val="single" w:sz="8" w:color="auto"/>
            </w:tcBorders>
          </w:tcPr>
          <w:p>
            <w:pPr>
              <w:spacing w:after="0"/>
              <w:rPr>
                <w:sz w:val="3"/>
                <w:szCs w:val="3"/>
                <w:color w:val="auto"/>
              </w:rPr>
            </w:pPr>
          </w:p>
        </w:tc>
        <w:tc>
          <w:tcPr>
            <w:tcW w:w="3680" w:type="dxa"/>
            <w:vAlign w:val="bottom"/>
            <w:tcBorders>
              <w:bottom w:val="single" w:sz="8" w:color="auto"/>
              <w:right w:val="single" w:sz="8" w:color="auto"/>
            </w:tcBorders>
          </w:tcPr>
          <w:p>
            <w:pPr>
              <w:spacing w:after="0"/>
              <w:rPr>
                <w:sz w:val="3"/>
                <w:szCs w:val="3"/>
                <w:color w:val="auto"/>
              </w:rPr>
            </w:pPr>
          </w:p>
        </w:tc>
      </w:tr>
      <w:tr>
        <w:trPr>
          <w:trHeight w:val="254"/>
        </w:trPr>
        <w:tc>
          <w:tcPr>
            <w:tcW w:w="3820" w:type="dxa"/>
            <w:vAlign w:val="bottom"/>
            <w:tcBorders>
              <w:left w:val="single" w:sz="8" w:color="auto"/>
            </w:tcBorders>
          </w:tcPr>
          <w:p>
            <w:pPr>
              <w:jc w:val="center"/>
              <w:ind w:left="96"/>
              <w:spacing w:after="0"/>
              <w:rPr>
                <w:sz w:val="20"/>
                <w:szCs w:val="20"/>
                <w:color w:val="auto"/>
              </w:rPr>
            </w:pPr>
            <w:r>
              <w:rPr>
                <w:rFonts w:ascii="Arial" w:cs="Arial" w:eastAsia="Arial" w:hAnsi="Arial"/>
                <w:sz w:val="18"/>
                <w:szCs w:val="18"/>
                <w:color w:val="auto"/>
                <w:w w:val="99"/>
              </w:rPr>
              <w:t>PC14586 100 mg/kg</w:t>
            </w:r>
          </w:p>
        </w:tc>
        <w:tc>
          <w:tcPr>
            <w:tcW w:w="3680" w:type="dxa"/>
            <w:vAlign w:val="bottom"/>
            <w:tcBorders>
              <w:right w:val="single" w:sz="8" w:color="auto"/>
            </w:tcBorders>
          </w:tcPr>
          <w:p>
            <w:pPr>
              <w:jc w:val="right"/>
              <w:ind w:right="1439"/>
              <w:spacing w:after="0"/>
              <w:rPr>
                <w:sz w:val="20"/>
                <w:szCs w:val="20"/>
                <w:color w:val="auto"/>
              </w:rPr>
            </w:pPr>
            <w:r>
              <w:rPr>
                <w:rFonts w:ascii="Arial" w:cs="Arial" w:eastAsia="Arial" w:hAnsi="Arial"/>
                <w:sz w:val="18"/>
                <w:szCs w:val="18"/>
                <w:color w:val="auto"/>
              </w:rPr>
              <w:t>&gt;156</w:t>
            </w:r>
          </w:p>
        </w:tc>
      </w:tr>
      <w:tr>
        <w:trPr>
          <w:trHeight w:val="37"/>
        </w:trPr>
        <w:tc>
          <w:tcPr>
            <w:tcW w:w="3820" w:type="dxa"/>
            <w:vAlign w:val="bottom"/>
            <w:tcBorders>
              <w:left w:val="single" w:sz="8" w:color="auto"/>
              <w:bottom w:val="single" w:sz="8" w:color="auto"/>
            </w:tcBorders>
          </w:tcPr>
          <w:p>
            <w:pPr>
              <w:spacing w:after="0"/>
              <w:rPr>
                <w:sz w:val="3"/>
                <w:szCs w:val="3"/>
                <w:color w:val="auto"/>
              </w:rPr>
            </w:pPr>
          </w:p>
        </w:tc>
        <w:tc>
          <w:tcPr>
            <w:tcW w:w="3680" w:type="dxa"/>
            <w:vAlign w:val="bottom"/>
            <w:tcBorders>
              <w:bottom w:val="single" w:sz="8" w:color="auto"/>
              <w:right w:val="single" w:sz="8" w:color="auto"/>
            </w:tcBorders>
          </w:tcPr>
          <w:p>
            <w:pPr>
              <w:spacing w:after="0"/>
              <w:rPr>
                <w:sz w:val="3"/>
                <w:szCs w:val="3"/>
                <w:color w:val="auto"/>
              </w:rPr>
            </w:pPr>
          </w:p>
        </w:tc>
      </w:tr>
    </w:tbl>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 Dosing ceased on day 70 in the PC14586 arm.</w:t>
      </w:r>
    </w:p>
    <w:p>
      <w:pPr>
        <w:spacing w:after="0" w:line="210"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PC14586 also exhibited anti-tumor activity in combination with anti-PD-1 therapy in syngeneic mouse models with the human p53 Y220C mutation. When PC14586 was administered at a sub-therapeutic daily oral dose of 50 mg/kg for 70 days in combination with a therapeutic dose of a PD-1 antibody, regression of tumors that express the p53 Y220C mutation was observed. As illustrated by the table below, median survival for a sub-therapeutic dose of PC14586 combined with anti-PD-1 treatment exceeded 156 days, even though drug treatment was discontinued on day 70, compared with median survival of only 24 days for anti-PD-1 treatment alone.</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60"/>
          </w:cols>
          <w:pgMar w:left="320" w:top="455" w:right="51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PC14586 + Anti-PD-1 Combination Showed Regression of Tumor Growth in Syngeneic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167005</wp:posOffset>
            </wp:positionV>
            <wp:extent cx="4723130" cy="3617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723130"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670" w:type="dxa"/>
        <w:tblCellMar>
          <w:top w:w="0" w:type="dxa"/>
          <w:left w:w="0" w:type="dxa"/>
          <w:bottom w:w="0" w:type="dxa"/>
          <w:right w:w="0" w:type="dxa"/>
        </w:tblCellMar>
      </w:tblPr>
      <w:tr>
        <w:trPr>
          <w:trHeight w:val="250"/>
        </w:trPr>
        <w:tc>
          <w:tcPr>
            <w:tcW w:w="5740" w:type="dxa"/>
            <w:vAlign w:val="bottom"/>
            <w:tcBorders>
              <w:top w:val="single" w:sz="8" w:color="auto"/>
              <w:left w:val="single" w:sz="8" w:color="auto"/>
              <w:bottom w:val="single" w:sz="8" w:color="0C0C0C"/>
            </w:tcBorders>
            <w:shd w:val="clear" w:color="auto" w:fill="0C0C0C"/>
          </w:tcPr>
          <w:p>
            <w:pPr>
              <w:jc w:val="center"/>
              <w:ind w:left="74"/>
              <w:spacing w:after="0"/>
              <w:rPr>
                <w:sz w:val="20"/>
                <w:szCs w:val="20"/>
                <w:color w:val="auto"/>
              </w:rPr>
            </w:pPr>
            <w:r>
              <w:rPr>
                <w:rFonts w:ascii="Arial" w:cs="Arial" w:eastAsia="Arial" w:hAnsi="Arial"/>
                <w:sz w:val="14"/>
                <w:szCs w:val="14"/>
                <w:b w:val="1"/>
                <w:bCs w:val="1"/>
                <w:color w:val="FFFFFF"/>
                <w:w w:val="99"/>
              </w:rPr>
              <w:t>Group</w:t>
            </w:r>
          </w:p>
        </w:tc>
        <w:tc>
          <w:tcPr>
            <w:tcW w:w="4200" w:type="dxa"/>
            <w:vAlign w:val="bottom"/>
            <w:tcBorders>
              <w:top w:val="single" w:sz="8" w:color="auto"/>
              <w:bottom w:val="single" w:sz="8" w:color="0C0C0C"/>
              <w:right w:val="single" w:sz="8" w:color="auto"/>
            </w:tcBorders>
            <w:shd w:val="clear" w:color="auto" w:fill="0C0C0C"/>
          </w:tcPr>
          <w:p>
            <w:pPr>
              <w:ind w:left="2040"/>
              <w:spacing w:after="0"/>
              <w:rPr>
                <w:sz w:val="20"/>
                <w:szCs w:val="20"/>
                <w:color w:val="auto"/>
              </w:rPr>
            </w:pPr>
            <w:r>
              <w:rPr>
                <w:rFonts w:ascii="Arial" w:cs="Arial" w:eastAsia="Arial" w:hAnsi="Arial"/>
                <w:sz w:val="14"/>
                <w:szCs w:val="14"/>
                <w:b w:val="1"/>
                <w:bCs w:val="1"/>
                <w:color w:val="FFFFFF"/>
              </w:rPr>
              <w:t>Median Survival Time (Days)</w:t>
            </w:r>
          </w:p>
        </w:tc>
      </w:tr>
      <w:tr>
        <w:trPr>
          <w:trHeight w:val="230"/>
        </w:trPr>
        <w:tc>
          <w:tcPr>
            <w:tcW w:w="5740" w:type="dxa"/>
            <w:vAlign w:val="bottom"/>
            <w:tcBorders>
              <w:left w:val="single" w:sz="8" w:color="auto"/>
              <w:bottom w:val="single" w:sz="8" w:color="auto"/>
            </w:tcBorders>
          </w:tcPr>
          <w:p>
            <w:pPr>
              <w:jc w:val="center"/>
              <w:ind w:left="74"/>
              <w:spacing w:after="0"/>
              <w:rPr>
                <w:sz w:val="20"/>
                <w:szCs w:val="20"/>
                <w:color w:val="auto"/>
              </w:rPr>
            </w:pPr>
            <w:r>
              <w:rPr>
                <w:rFonts w:ascii="Arial" w:cs="Arial" w:eastAsia="Arial" w:hAnsi="Arial"/>
                <w:sz w:val="18"/>
                <w:szCs w:val="18"/>
                <w:color w:val="auto"/>
                <w:w w:val="98"/>
              </w:rPr>
              <w:t>Vehicle</w:t>
            </w:r>
          </w:p>
        </w:tc>
        <w:tc>
          <w:tcPr>
            <w:tcW w:w="4200" w:type="dxa"/>
            <w:vAlign w:val="bottom"/>
            <w:tcBorders>
              <w:bottom w:val="single" w:sz="8" w:color="auto"/>
              <w:right w:val="single" w:sz="8" w:color="auto"/>
            </w:tcBorders>
          </w:tcPr>
          <w:p>
            <w:pPr>
              <w:jc w:val="center"/>
              <w:ind w:left="1914"/>
              <w:spacing w:after="0"/>
              <w:rPr>
                <w:sz w:val="20"/>
                <w:szCs w:val="20"/>
                <w:color w:val="auto"/>
              </w:rPr>
            </w:pPr>
            <w:r>
              <w:rPr>
                <w:rFonts w:ascii="Arial" w:cs="Arial" w:eastAsia="Arial" w:hAnsi="Arial"/>
                <w:sz w:val="18"/>
                <w:szCs w:val="18"/>
                <w:color w:val="auto"/>
                <w:w w:val="99"/>
              </w:rPr>
              <w:t>17</w:t>
            </w:r>
          </w:p>
        </w:tc>
      </w:tr>
      <w:tr>
        <w:trPr>
          <w:trHeight w:val="223"/>
        </w:trPr>
        <w:tc>
          <w:tcPr>
            <w:tcW w:w="5740" w:type="dxa"/>
            <w:vAlign w:val="bottom"/>
            <w:tcBorders>
              <w:left w:val="single" w:sz="8" w:color="auto"/>
              <w:bottom w:val="single" w:sz="8" w:color="auto"/>
            </w:tcBorders>
          </w:tcPr>
          <w:p>
            <w:pPr>
              <w:jc w:val="center"/>
              <w:ind w:left="74"/>
              <w:spacing w:after="0"/>
              <w:rPr>
                <w:sz w:val="20"/>
                <w:szCs w:val="20"/>
                <w:color w:val="auto"/>
              </w:rPr>
            </w:pPr>
            <w:r>
              <w:rPr>
                <w:rFonts w:ascii="Arial" w:cs="Arial" w:eastAsia="Arial" w:hAnsi="Arial"/>
                <w:sz w:val="18"/>
                <w:szCs w:val="18"/>
                <w:color w:val="auto"/>
                <w:w w:val="99"/>
              </w:rPr>
              <w:t>Anti-PD-1 200 mg/kg</w:t>
            </w:r>
          </w:p>
        </w:tc>
        <w:tc>
          <w:tcPr>
            <w:tcW w:w="4200" w:type="dxa"/>
            <w:vAlign w:val="bottom"/>
            <w:tcBorders>
              <w:bottom w:val="single" w:sz="8" w:color="auto"/>
              <w:right w:val="single" w:sz="8" w:color="auto"/>
            </w:tcBorders>
          </w:tcPr>
          <w:p>
            <w:pPr>
              <w:jc w:val="center"/>
              <w:ind w:left="1914"/>
              <w:spacing w:after="0"/>
              <w:rPr>
                <w:sz w:val="20"/>
                <w:szCs w:val="20"/>
                <w:color w:val="auto"/>
              </w:rPr>
            </w:pPr>
            <w:r>
              <w:rPr>
                <w:rFonts w:ascii="Arial" w:cs="Arial" w:eastAsia="Arial" w:hAnsi="Arial"/>
                <w:sz w:val="18"/>
                <w:szCs w:val="18"/>
                <w:color w:val="auto"/>
                <w:w w:val="99"/>
              </w:rPr>
              <w:t>24</w:t>
            </w:r>
          </w:p>
        </w:tc>
      </w:tr>
      <w:tr>
        <w:trPr>
          <w:trHeight w:val="223"/>
        </w:trPr>
        <w:tc>
          <w:tcPr>
            <w:tcW w:w="5740" w:type="dxa"/>
            <w:vAlign w:val="bottom"/>
            <w:tcBorders>
              <w:left w:val="single" w:sz="8" w:color="auto"/>
              <w:bottom w:val="single" w:sz="8" w:color="auto"/>
            </w:tcBorders>
          </w:tcPr>
          <w:p>
            <w:pPr>
              <w:jc w:val="center"/>
              <w:ind w:left="74"/>
              <w:spacing w:after="0"/>
              <w:rPr>
                <w:sz w:val="20"/>
                <w:szCs w:val="20"/>
                <w:color w:val="auto"/>
              </w:rPr>
            </w:pPr>
            <w:r>
              <w:rPr>
                <w:rFonts w:ascii="Arial" w:cs="Arial" w:eastAsia="Arial" w:hAnsi="Arial"/>
                <w:sz w:val="18"/>
                <w:szCs w:val="18"/>
                <w:color w:val="auto"/>
                <w:w w:val="99"/>
              </w:rPr>
              <w:t>PC14586 50 mg/kg</w:t>
            </w:r>
          </w:p>
        </w:tc>
        <w:tc>
          <w:tcPr>
            <w:tcW w:w="4200" w:type="dxa"/>
            <w:vAlign w:val="bottom"/>
            <w:tcBorders>
              <w:bottom w:val="single" w:sz="8" w:color="auto"/>
              <w:right w:val="single" w:sz="8" w:color="auto"/>
            </w:tcBorders>
          </w:tcPr>
          <w:p>
            <w:pPr>
              <w:jc w:val="center"/>
              <w:ind w:left="1914"/>
              <w:spacing w:after="0"/>
              <w:rPr>
                <w:sz w:val="20"/>
                <w:szCs w:val="20"/>
                <w:color w:val="auto"/>
              </w:rPr>
            </w:pPr>
            <w:r>
              <w:rPr>
                <w:rFonts w:ascii="Arial" w:cs="Arial" w:eastAsia="Arial" w:hAnsi="Arial"/>
                <w:sz w:val="18"/>
                <w:szCs w:val="18"/>
                <w:color w:val="auto"/>
                <w:w w:val="99"/>
              </w:rPr>
              <w:t>28</w:t>
            </w:r>
          </w:p>
        </w:tc>
      </w:tr>
      <w:tr>
        <w:trPr>
          <w:trHeight w:val="223"/>
        </w:trPr>
        <w:tc>
          <w:tcPr>
            <w:tcW w:w="5740" w:type="dxa"/>
            <w:vAlign w:val="bottom"/>
            <w:tcBorders>
              <w:left w:val="single" w:sz="8" w:color="auto"/>
              <w:bottom w:val="single" w:sz="8" w:color="auto"/>
            </w:tcBorders>
          </w:tcPr>
          <w:p>
            <w:pPr>
              <w:jc w:val="center"/>
              <w:ind w:left="74"/>
              <w:spacing w:after="0"/>
              <w:rPr>
                <w:sz w:val="20"/>
                <w:szCs w:val="20"/>
                <w:color w:val="auto"/>
              </w:rPr>
            </w:pPr>
            <w:r>
              <w:rPr>
                <w:rFonts w:ascii="Arial" w:cs="Arial" w:eastAsia="Arial" w:hAnsi="Arial"/>
                <w:sz w:val="18"/>
                <w:szCs w:val="18"/>
                <w:color w:val="auto"/>
              </w:rPr>
              <w:t>PC14586 50 mg/kg + Anti-PD-1 200 mg/kg</w:t>
            </w:r>
          </w:p>
        </w:tc>
        <w:tc>
          <w:tcPr>
            <w:tcW w:w="4200" w:type="dxa"/>
            <w:vAlign w:val="bottom"/>
            <w:tcBorders>
              <w:bottom w:val="single" w:sz="8" w:color="auto"/>
              <w:right w:val="single" w:sz="8" w:color="auto"/>
            </w:tcBorders>
          </w:tcPr>
          <w:p>
            <w:pPr>
              <w:jc w:val="center"/>
              <w:ind w:left="1914"/>
              <w:spacing w:after="0"/>
              <w:rPr>
                <w:sz w:val="20"/>
                <w:szCs w:val="20"/>
                <w:color w:val="auto"/>
              </w:rPr>
            </w:pPr>
            <w:r>
              <w:rPr>
                <w:rFonts w:ascii="Arial" w:cs="Arial" w:eastAsia="Arial" w:hAnsi="Arial"/>
                <w:sz w:val="18"/>
                <w:szCs w:val="18"/>
                <w:color w:val="auto"/>
                <w:w w:val="98"/>
              </w:rPr>
              <w:t>&gt;156</w:t>
            </w:r>
          </w:p>
        </w:tc>
      </w:tr>
    </w:tbl>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 Dosing ceased on day 70 in the PC14586 + Anti-PD-1 arm.</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04"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 xml:space="preserve">We plan to submit our IND for PC14586 and start a Phase 1/2 clinical trial in the second half of 2020. We are initially pursuing a tumor-agnostic development strategy. Our strategy is to seek approval under an accelerated pathway, and we believe our Phase 1/2 clinical trial can serve as a pivotal study. In our Phase 1/2 clinical trial, we plan to enroll patients with advanced solid tumors that harbor the p53 Y220C mutation, characterized by NGS of either a solid or blood-based (circulating serum tumor DNA) biopsy. The study employs an accelerated titration design, with the potential to expedite development of this product candidate by allowing dose escalation in single patients at each dose cohort until a </w:t>
      </w:r>
      <w:r>
        <w:rPr>
          <w:rFonts w:ascii="Times New Roman" w:cs="Times New Roman" w:eastAsia="Times New Roman" w:hAnsi="Times New Roman"/>
          <w:sz w:val="18"/>
          <w:szCs w:val="18"/>
          <w:color w:val="auto"/>
        </w:rPr>
        <w:t>³</w:t>
      </w:r>
      <w:r>
        <w:rPr>
          <w:rFonts w:ascii="Arial" w:cs="Arial" w:eastAsia="Arial" w:hAnsi="Arial"/>
          <w:sz w:val="18"/>
          <w:szCs w:val="18"/>
          <w:color w:val="auto"/>
        </w:rPr>
        <w:t xml:space="preserve"> Grade 2 adverse event is observed. Subsequently in the Phase 1 portion of the trial, we plan to employ a modified toxicity probability interval, or mTPI, approach to identify the MTD.</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80"/>
          </w:cols>
          <w:pgMar w:left="320" w:top="455" w:right="49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 xml:space="preserve">The Phase 1 portion is designed to evaluate escalating oral doses of PC14586 to determine the MTD and recommended Phase 2 dose of PC14586 when administered orally to patients on a once daily dosing schedule, as well as to assess safety, tolerability and effects on biomarkers such as MIC-1. The Phase 1 portion is also designed to assess preliminary anti-tumor efficacy in patients with advanced solid tumors that have the p53 Y220C mutation. The Phase 1 portion involves dose escalation allowing single patient cohorts until </w:t>
      </w:r>
      <w:r>
        <w:rPr>
          <w:rFonts w:ascii="Times New Roman" w:cs="Times New Roman" w:eastAsia="Times New Roman" w:hAnsi="Times New Roman"/>
          <w:sz w:val="18"/>
          <w:szCs w:val="18"/>
          <w:color w:val="auto"/>
        </w:rPr>
        <w:t>³</w:t>
      </w:r>
      <w:r>
        <w:rPr>
          <w:rFonts w:ascii="Arial" w:cs="Arial" w:eastAsia="Arial" w:hAnsi="Arial"/>
          <w:sz w:val="18"/>
          <w:szCs w:val="18"/>
          <w:color w:val="auto"/>
        </w:rPr>
        <w:t xml:space="preserve"> grade 2 drug-related adverse events are observed. The study utilizes a mTPI approach to enroll three or more patients per cohort until the MTD is reached and the Phase 2 dose is selected. The trial is planned to primarily evaluate once daily dosing, but may also assess more frequent dosing schedules, such as twice daily, if the drug pharmacology or patient tolerability suggest this could be a more efficacious approach. In the Phase 1 portion, we plan to enroll up to 30 patients with locally advanced or metastatic solid tumors that have the p53 Y220C mutation determined using NGS, whose disease has progressed during or after prior standard of care therapy. Multiple biomarker assays will be used in the trial to assess on target and on mechanism activity, and preliminary clinical efficacy in patients will also be assessed.</w:t>
      </w:r>
    </w:p>
    <w:p>
      <w:pPr>
        <w:spacing w:after="0" w:line="179"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 Phase 2 portion of the Phase 1/2 clinical trial is expected to enroll up to 100 patients. We expect to enroll a population with a variety of locally advanced or metastatic cancers including breast, NSCLC, colorectal, pancreatic and ovarian cancer. The planned primary objective of the Phase 2 portion is to evaluate the anti-tumor efficacy of PC14586 in patients with the p53 Y220C mutation, as shown by objective response rate. Other secondary endpoints planned to be assessed include the duration of response, progression free survival, overall survival and endpoints to evaluate the safety and tolerability of PC14586.</w:t>
      </w:r>
    </w:p>
    <w:p>
      <w:pPr>
        <w:spacing w:after="0" w:line="172"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Patient blood samples will be collected prior to the start of study treatment for retrospective, confirmatory mutation testing using a central clinical trial assay. In addition, blood and tumor samples will be collected and stored to facilitate future development of a companion diagnostic test.</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PC14586 Phase 1/2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167005</wp:posOffset>
            </wp:positionV>
            <wp:extent cx="5186045" cy="3454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8604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If the data from our Phase 1/2 clinical trial show robust activity across the tumor types, we initially intend to pursue an approval from the FDA under the accelerated approval pathway for a tumor-agnostic indication. This strategy is based on approval pathways utilized by pembrolizumab (Keytruda) in MSI-high/dMMR cancers and larotrectinib (Vitrakvi) and entrectinib (Rozlytrek) in NTRK gene fusion cancers. If we observe clinical benefit in certain tumor or cancer types but do not have sufficient data or powering to support a tumor-agnostic indication from the Phase 1/2 clinical trial, we may seek a tumor or cancer specific label and evaluate additional trials to pursue a broader labeling for PC14586. We believe that the results of the Phase 1/2 clinical trial in PC14586 with respect to the endpoints of ORR and DoR, along with the safety data from the clinical trial, have the potential to support approval of a new drug application, or NDA, subject to discussions with FDA and provided we can obtain data from a sufficient sample size across the tumor types. While accelerated approval cannot be guaranteed, if we obtain accelerated approval, we anticipate that the FDA will require the conduct of a post-approval commitment to confirm clinical benefit.</w:t>
      </w:r>
    </w:p>
    <w:p>
      <w:pPr>
        <w:spacing w:after="0" w:line="180"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We may also seek fast track, orphan drug or breakthrough therapy designation from the FDA. In addition, we may engage in health authority interactions with agencies outside the United States such as in Europe and Japan, for example. We plan to collaborate with a partner to develop a companion diagnostic test.</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Pipeline Programs</w:t>
      </w:r>
    </w:p>
    <w:p>
      <w:pPr>
        <w:spacing w:after="0" w:line="214" w:lineRule="exact"/>
        <w:rPr>
          <w:sz w:val="20"/>
          <w:szCs w:val="20"/>
          <w:color w:val="auto"/>
        </w:rPr>
      </w:pPr>
    </w:p>
    <w:p>
      <w:pPr>
        <w:jc w:val="both"/>
        <w:ind w:left="120" w:right="320" w:firstLine="551"/>
        <w:spacing w:after="0" w:line="255" w:lineRule="auto"/>
        <w:rPr>
          <w:sz w:val="20"/>
          <w:szCs w:val="20"/>
          <w:color w:val="auto"/>
        </w:rPr>
      </w:pPr>
      <w:r>
        <w:rPr>
          <w:rFonts w:ascii="Arial" w:cs="Arial" w:eastAsia="Arial" w:hAnsi="Arial"/>
          <w:sz w:val="18"/>
          <w:szCs w:val="18"/>
          <w:color w:val="auto"/>
        </w:rPr>
        <w:t>In addition to our PC14586 Y220C program, we are focused on developing a pipeline of product candidates targeting other p53 hotspot mutations. These programs have been developed internally using our precision oncology platform and expertise. We expect to advance our next program, targeting an undisclosed p53 hotspot mutation, into lead optimization in the second half of 2020.</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0" w:firstLine="551"/>
        <w:spacing w:after="0" w:line="241" w:lineRule="auto"/>
        <w:rPr>
          <w:sz w:val="20"/>
          <w:szCs w:val="20"/>
          <w:color w:val="auto"/>
        </w:rPr>
      </w:pPr>
      <w:r>
        <w:rPr>
          <w:rFonts w:ascii="Arial" w:cs="Arial" w:eastAsia="Arial" w:hAnsi="Arial"/>
          <w:sz w:val="18"/>
          <w:szCs w:val="18"/>
          <w:color w:val="auto"/>
        </w:rPr>
        <w:t>We are able to utilize the same general principles and similar drug discovery methods developed from our PC14586 Y220C program across other p53 hotspot mutations to facilitate the discovery of additional new product candidates. We study the structural and functional properties of the target. We use assays, screens, preclinical model systems and biomarkers to assess and optimize selective small molecules for specific p53 mutants. Specifically, many of the efficiencies from assays and model systems developed for our PC14586 Y220C program are being applied to other p53 hotspot mutations. In addition, the key insights gained from the medicinal chemistry campaigns are being leveraged across other p53 hotspot mutations. By leveraging our team’s depth of expertise around p53, we are positioned to accelerate our efforts to expand the pipeline of therapies that selectively target p53 hotspot mutations.</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Competition</w:t>
      </w:r>
    </w:p>
    <w:p>
      <w:pPr>
        <w:spacing w:after="0" w:line="21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174"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We are a precision oncology company pioneering the discovery and development of small molecule therapies targeting p53 mutations. We are aware of other product candidates that are in clinical development as potential treatments of various cancers through the modulation of p53. There are many product candidates that may affect the p53 pathway, such as through MDM2 inhibition. We are aware of molecules in development that also are being explored for p53 upregulation/activation in various stages of preclinical or clinical development being tested by Actavalon, Aprea Therapeutics, CDG Therapeutics, Cotinga Pharmaceuticals, Innovation Pharmaceuticals, and Senhwa Biosciences, among others. We are also aware of selective small molecule inhibitors that are designed to target wild-type p53 containing tumors through the p53-MDM2 interaction, which are in various stages of clinical development being tested by Aileron Therapeutics, Ascentage Pharma, Boehringer Ingelheim, Daiichi Sankyo, Kartos Therapeutics, Novartis and Roche, including testing MDM2 inhibitors in combination with a variety of other anti-cancer agents.</w:t>
      </w:r>
    </w:p>
    <w:p>
      <w:pPr>
        <w:spacing w:after="0" w:line="176"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genetically-defined cancers. If PC14586 or our future product candidates do not offer sustainable advantages over competing products, we may otherwise not be able to successfully compete against current and future competitors.</w:t>
      </w:r>
    </w:p>
    <w:p>
      <w:pPr>
        <w:spacing w:after="0" w:line="170"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70" w:lineRule="exact"/>
        <w:rPr>
          <w:sz w:val="20"/>
          <w:szCs w:val="20"/>
          <w:color w:val="auto"/>
        </w:rPr>
      </w:pPr>
    </w:p>
    <w:p>
      <w:pPr>
        <w:ind w:left="120" w:right="20" w:firstLine="551"/>
        <w:spacing w:after="0" w:line="276" w:lineRule="auto"/>
        <w:rPr>
          <w:sz w:val="20"/>
          <w:szCs w:val="20"/>
          <w:color w:val="auto"/>
        </w:rPr>
      </w:pPr>
      <w:r>
        <w:rPr>
          <w:rFonts w:ascii="Arial" w:cs="Arial" w:eastAsia="Arial" w:hAnsi="Arial"/>
          <w:sz w:val="18"/>
          <w:szCs w:val="18"/>
          <w:color w:val="auto"/>
        </w:rPr>
        <w:t>In addition, we will likely need to develop our product candidates in collaboration with companion diagnostic companies, and we will face competition from other companies in establishing these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6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Manufacturing</w:t>
      </w:r>
    </w:p>
    <w:p>
      <w:pPr>
        <w:spacing w:after="0" w:line="21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We do not have any manufacturing facilities or personnel. We currently rely, and expect to continue to rely, on third parties for the manufacture of our product candidates undergoing preclinical testing, as well as for clinical testing and commercial manufacture if our product candidates receive marketing approval.</w:t>
      </w:r>
    </w:p>
    <w:p>
      <w:pPr>
        <w:spacing w:after="0" w:line="164"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All of our product candidates are small molecules and are manufactured in synthetic processes from available starting materials. The chemistry appears amenable to scale up and does not currently require unusual equipment in the manufacturing process. We expect to continue to develop product candidates that can be produced cost-effectively at contract manufacturing facilities.</w:t>
      </w:r>
    </w:p>
    <w:p>
      <w:pPr>
        <w:spacing w:after="0" w:line="16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We generally expect to rely on third parties for the manufacture of companion diagnostics for our products, which are assays or tests to identify an appropriate patient population. Depending on the technology solutions we choose, we may rely on multiple third parties to manufacture and sell a single test.</w:t>
      </w:r>
    </w:p>
    <w:p>
      <w:pPr>
        <w:spacing w:after="0" w:line="164"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Drug manufacturers and their subcontractors are required to register their establishments with the FDA and certain state agencies and are subject to periodic unannounced inspections by the FDA and certain state agencies for compliance with current Good Manufacturing Practice, or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requirements and impose reporting requirements upon us and any third-party manufacturers that we may decide to use. Accordingly, manufacturers must continue to expend time, money and effort in the area of production and quality control to maintain compliance with cGMP requirements and other aspects of regulatory compliance.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Commercialization</w:t>
      </w:r>
    </w:p>
    <w:p>
      <w:pPr>
        <w:spacing w:after="0" w:line="214" w:lineRule="exact"/>
        <w:rPr>
          <w:sz w:val="20"/>
          <w:szCs w:val="20"/>
          <w:color w:val="auto"/>
        </w:rPr>
      </w:pPr>
    </w:p>
    <w:p>
      <w:pPr>
        <w:jc w:val="both"/>
        <w:ind w:left="120" w:right="380" w:firstLine="551"/>
        <w:spacing w:after="0" w:line="255" w:lineRule="auto"/>
        <w:rPr>
          <w:sz w:val="20"/>
          <w:szCs w:val="20"/>
          <w:color w:val="auto"/>
        </w:rPr>
      </w:pPr>
      <w:r>
        <w:rPr>
          <w:rFonts w:ascii="Arial" w:cs="Arial" w:eastAsia="Arial" w:hAnsi="Arial"/>
          <w:sz w:val="18"/>
          <w:szCs w:val="18"/>
          <w:color w:val="auto"/>
        </w:rPr>
        <w:t>Subject to receiving marketing approvals, we expect to commence commercialization activities by building a focused sales and marketing organization to sell our products. We believe that such an organization will be able to address the community of oncologists who are the key specialists in treating the patient populations for which our product candidates are being developed.</w:t>
      </w:r>
    </w:p>
    <w:p>
      <w:pPr>
        <w:spacing w:after="0" w:line="164"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Intellectual Property</w:t>
      </w:r>
    </w:p>
    <w:p>
      <w:pPr>
        <w:spacing w:after="0" w:line="214"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We strive to protect the proprietary technology, inventions and improvements that are commercially important to our business, including seeking, maintaining and defending patent rights. We also rely on know-how relating to our proprietary technology and product candidates and continuing innovation to develop, strengthen and maintain our proprietary position. We also plan to rely on data exclusivity, market exclusivity and patent term extensions when available. Our commercial success will depend in part on our ability to obtain and maintain patent and other proprietary protection for our technology, inventions and improvements; to defend and enforce our proprietary rights, including any patents that we may own in the future; and to operate without infringing the valid and enforceable patents and other proprietary rights of third parties. Intellectual property rights may not address all potential threats to our competitive advantage.</w:t>
      </w:r>
    </w:p>
    <w:p>
      <w:pPr>
        <w:spacing w:after="0" w:line="17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With respect to our product candidates and processes we intend to develop and commercialize in the normal course of business, we intend to pursue patent protection covering, when possible, compositions, methods of use, dosing and formulations. We also may pursue patent protection with respect to manufacturing and drug development processes and technologies. Obtaining and maintaining patent protection depends on compliance with various procedural, document submission, fee payment, and other requirements imposed by governmental patent agencies. We may not be able to obtain patent protections for our compositions, methods of use, dosing and formulations, manufacturing and drug development processes and technologies throughout the world. 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United States can provide exclusionary rights for 20 years from the earliest effective filing date. In addition, in certain instances, the term of an issued U.S. patent that is directed to or claims an FDA-approved product can be extended to recapture a portion of the term effectively lost as a result of the FDA regulatory review period. This process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Patent term may be inadequate to protect our competitive position on our products for an adequate amount of time.</w:t>
      </w:r>
    </w:p>
    <w:p>
      <w:pPr>
        <w:spacing w:after="0" w:line="184" w:lineRule="exact"/>
        <w:rPr>
          <w:sz w:val="20"/>
          <w:szCs w:val="20"/>
          <w:color w:val="auto"/>
        </w:rPr>
      </w:pPr>
    </w:p>
    <w:p>
      <w:pPr>
        <w:ind w:left="120" w:right="80" w:firstLine="551"/>
        <w:spacing w:after="0" w:line="276" w:lineRule="auto"/>
        <w:rPr>
          <w:sz w:val="20"/>
          <w:szCs w:val="20"/>
          <w:color w:val="auto"/>
        </w:rPr>
      </w:pPr>
      <w:r>
        <w:rPr>
          <w:rFonts w:ascii="Arial" w:cs="Arial" w:eastAsia="Arial" w:hAnsi="Arial"/>
          <w:sz w:val="18"/>
          <w:szCs w:val="18"/>
          <w:color w:val="auto"/>
        </w:rPr>
        <w:t>The patent positions of companies like ours are generally uncertain and involve complex legal and factual questions. No consistent policy regarding the scope of claims allowable in patents in the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5" w:right="4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field of biopharmaceuticals has emerged in the United States. The relevant patent laws and their interpretation outside of the United States are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manufacture of those products. Moreover, even our issued patents do not guarantee us the right to practice our technology in relation to the commercialization of our products. Patent and other intellectual property rights in the pharmaceutical and biotechnology space are evolving and involve many risks and uncertainties. For example, third parties may have, or may obtain, blocking patents of which we are currently unaware that could be used to prevent us from developing or commercializing our product candidates and practicing our proprietary technology. 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Doing so may be impossible or require substantial time and monetary expenditure. We may also elect to enter into a license agreement to settle litigation or to resolve disputes prior to litigation. Furthermore, even in the absence of litigation, we may need to obtain licenses from third parties to advance our research or allow commercialization of our product candidates. Should a license to a third party patent become necessary, we cannot predict whether we would be able to obtain a license, or if a license were available, whether it would be available on commercially reasonable terms. If such a license is necessary and a license under the applicable patent is unavailable on commercially reasonable terms, or at all, our ability to commercialize our product candidates may be impaired or delayed. This scenario could materially adversely affect our business. Even if we obtain a license to third party intellectual property, we may later decide, or it may later become necessary, to terminate the license. If we do so, we may no longer be free to use the technology protected by the patents no longer under license. Also, if a competitor developed the technology protected by the patents no longer under license, we would not be able to block the competitor’s progress. If the competitor’s product was competitive with ours, then we may suffer economic harm from the competitive product.</w:t>
      </w:r>
    </w:p>
    <w:p>
      <w:pPr>
        <w:spacing w:after="0" w:line="190"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issuance of a patent is not conclusive as to its scope, validity or enforceability, and, and our issued patents may be challenged, invalidated, deemed unenforceable or circumvented. These scenarios could limit our ability to stop competitors from marketing-related products or could limit the term of patent protection that otherwise may exist for our product candidates. In addition, the coverage claimed in a patent application can be significantly reduced before the patent is issued, and its scope can be reinterpreted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Moreover, any efforts to enforce our intellectual property rights are likely to be costly and may divert the efforts of our scientific and management personnel. We may also be subject to claims that former employees, collaborators or other third parties have an ownership interest in our patents or other intellectual property. We may also be subject to ownership disputes in the future arising, for example, from conflicting obligations of consultants or others who are involved in developing our product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520"/>
        <w:spacing w:after="0" w:line="276" w:lineRule="auto"/>
        <w:rPr>
          <w:sz w:val="20"/>
          <w:szCs w:val="20"/>
          <w:color w:val="auto"/>
        </w:rPr>
      </w:pPr>
      <w:r>
        <w:rPr>
          <w:rFonts w:ascii="Arial" w:cs="Arial" w:eastAsia="Arial" w:hAnsi="Arial"/>
          <w:sz w:val="18"/>
          <w:szCs w:val="18"/>
          <w:color w:val="auto"/>
        </w:rPr>
        <w:t>have a material adverse effect on our business. Even if we are successful in defending against these claims, litigation could result in substantial cost and be a distraction to our management and employees.</w:t>
      </w:r>
    </w:p>
    <w:p>
      <w:pPr>
        <w:spacing w:after="0" w:line="145"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directed to such product may expire or remain in force for only a short period following commercialization, thereby reducing the commercial advantage the patent provides.</w:t>
      </w:r>
    </w:p>
    <w:p>
      <w:pPr>
        <w:spacing w:after="0" w:line="17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generally file a provisional patent application with the U.S. Patent and Trademark Office, or USPTO, first and then subsequently file a corresponding non-provisional patent application. This process enables us to establish an earlier effective filing date in the subsequently filed non-provisional patent application. To benefit from the earlier effective filing date, we must file a corresponding non-provisional patent application, such as a utility application in the United States or an international application under the Patent Cooperation Treaty, or PCT, within 12 months of the date of the provisional patent application filing. Based on a PCT filing, we may file national and regional patent applications in the United States or foreign jurisdictions, such as the European Union, China, Japan and possibly others. To date, we have not filed for patent protection in all national and regional jurisdictions where such protection may be available, and we may decide to abandon national and regional patent applications before a patent is granted. In addition, the patent grant proceeding for each national or regional patent application that we file is an independent proceeding. As a result, it is possible for a patent application to be granted in one jurisdiction and denied in another jurisdiction, and depending on the jurisdiction, the scope of patent protection may vary. As of June 1, 2020, we owned two issued US patents relating to methods of use and composition of matter of PMV compounds, including PC14586, and two pending US patent applications and ten pending foreign patent applications, each of which relates to methods of use and composition of matter of PMV compounds, including PC14586. The two issued US patents are expected to expire in 2037, without taking into account any possible patent term adjustment or extensions. As of June 1, 2020, we owned one pending US patent application relating to methods of use and composition of matter of other PMV compounds.</w:t>
      </w: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14"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preclinical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demonstrates the drug’s quality, safety and efficacy. Such data must then be organized into a format specific for each regulatory authority, submitted for review and approved by the regulatory authority.</w:t>
      </w:r>
    </w:p>
    <w:p>
      <w:pPr>
        <w:spacing w:after="0" w:line="200" w:lineRule="exact"/>
        <w:rPr>
          <w:sz w:val="20"/>
          <w:szCs w:val="20"/>
          <w:color w:val="auto"/>
        </w:rPr>
      </w:pPr>
    </w:p>
    <w:p>
      <w:pPr>
        <w:spacing w:after="0" w:line="2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United States, the FDA regulates drugs under the Food, Drug and Cosmetic Act, or FDCA, and its implementing regulations.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95" w:lineRule="exact"/>
        <w:rPr>
          <w:sz w:val="20"/>
          <w:szCs w:val="20"/>
          <w:color w:val="auto"/>
        </w:rPr>
      </w:pPr>
    </w:p>
    <w:p>
      <w:pPr>
        <w:ind w:left="880" w:right="480" w:hanging="224"/>
        <w:spacing w:after="0" w:line="276"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accordance with FDA’s good laboratory practice requirements and other applicable regulations;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17"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each trial may be initiated;</w:t>
      </w:r>
    </w:p>
    <w:p>
      <w:pPr>
        <w:spacing w:after="0" w:line="50" w:lineRule="exact"/>
        <w:rPr>
          <w:rFonts w:ascii="Arial" w:cs="Arial" w:eastAsia="Arial" w:hAnsi="Arial"/>
          <w:sz w:val="18"/>
          <w:szCs w:val="18"/>
          <w:color w:val="auto"/>
        </w:rPr>
      </w:pPr>
    </w:p>
    <w:p>
      <w:pPr>
        <w:ind w:left="880" w:right="1040" w:hanging="224"/>
        <w:spacing w:after="0" w:line="276"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for its intended use;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submission to the FDA of an NDA after completion of all pivotal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determination by the FDA within 60 days of its receipt of an NDA to accept the filing for substantive review;</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at which the drug is produced to assess compliance with cGMP requirements to assure that the facilities, methods and controls are adequate to preserve the drug’s identity, strength, quality and purity, and of selected clinical investigation sites to assess compliance with GCP requirements; and</w:t>
      </w:r>
    </w:p>
    <w:p>
      <w:pPr>
        <w:spacing w:after="0" w:line="52" w:lineRule="exact"/>
        <w:rPr>
          <w:rFonts w:ascii="Arial" w:cs="Arial" w:eastAsia="Arial" w:hAnsi="Arial"/>
          <w:sz w:val="17"/>
          <w:szCs w:val="17"/>
          <w:color w:val="auto"/>
        </w:rPr>
      </w:pPr>
    </w:p>
    <w:p>
      <w:pPr>
        <w:ind w:left="880" w:right="500" w:hanging="224"/>
        <w:spacing w:after="0" w:line="276"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45"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studies assessing the toxicology, pharmacokinetics, pharmacology and pharmacodynamic characteristics of the product; chemistry,</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76" w:lineRule="exact"/>
        <w:rPr>
          <w:sz w:val="20"/>
          <w:szCs w:val="20"/>
          <w:color w:val="auto"/>
        </w:rPr>
      </w:pPr>
    </w:p>
    <w:p>
      <w:pPr>
        <w:ind w:left="120" w:right="220" w:firstLine="551"/>
        <w:spacing w:after="0" w:line="241"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 requirements,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or ethics committee for each site proposing to conduct the clinical trial must review</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80"/>
          </w:cols>
          <w:pgMar w:left="320" w:top="455" w:right="49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880" w:right="60" w:hanging="224"/>
        <w:spacing w:after="0" w:line="263" w:lineRule="auto"/>
        <w:tabs>
          <w:tab w:leader="none" w:pos="8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such as cancer, especially when the product may be too inherently toxic to ethically administer to healthy volunteers, the initial human testing is often conducted in patients.</w:t>
      </w:r>
    </w:p>
    <w:p>
      <w:pPr>
        <w:spacing w:after="0" w:line="62" w:lineRule="exact"/>
        <w:rPr>
          <w:rFonts w:ascii="Arial" w:cs="Arial" w:eastAsia="Arial" w:hAnsi="Arial"/>
          <w:sz w:val="17"/>
          <w:szCs w:val="17"/>
          <w:color w:val="auto"/>
        </w:rPr>
      </w:pPr>
    </w:p>
    <w:p>
      <w:pPr>
        <w:ind w:left="880" w:right="140" w:hanging="224"/>
        <w:spacing w:after="0" w:line="248"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75" w:lineRule="exact"/>
        <w:rPr>
          <w:rFonts w:ascii="Arial" w:cs="Arial" w:eastAsia="Arial" w:hAnsi="Arial"/>
          <w:sz w:val="18"/>
          <w:szCs w:val="18"/>
          <w:color w:val="auto"/>
        </w:rPr>
      </w:pPr>
    </w:p>
    <w:p>
      <w:pPr>
        <w:ind w:left="880" w:right="180" w:hanging="224"/>
        <w:spacing w:after="0" w:line="248"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70"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In some cases, FDA may require, or sponsors may voluntarily pursue, post-approval trials, sometimes referred to as Phase 4 studies, that are conducted after initial marketing approval. These trials are used to gain additional experience from the treatment of patients in the intended therapeutic indication. In certain instances, such as with accelerated approval drugs, the FDA may mandate the performance of post-approval clinical trials as a condition of approval of an NDA.</w:t>
      </w:r>
    </w:p>
    <w:p>
      <w:pPr>
        <w:spacing w:after="0" w:line="17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174"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These points may be prior to submission of an IND, at the end of Phase 1 and Phase 2, and before an NDA is submitted. Meetings at other times may be requested. These meetings can provide an opportunity for the sponsor to share information about the data gathered to date, for the</w:t>
      </w:r>
    </w:p>
    <w:p>
      <w:pPr>
        <w:spacing w:after="0" w:line="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80"/>
          </w:cols>
          <w:pgMar w:left="320" w:top="455" w:right="49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16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7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174"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If the coronavirus disease 2019, or COVID-19, pandemic continues, our clinical trial plans and future planned clinical trials may be adversely affected, delayed or interrupted. We may be required to develop and implement additional clinical trial policies and procedures designed to help protect subjects participating in clinical trials during the COVID-19 pandemic. For example, in March 2020, as amended and updated from time to time, the FDA issued a guidance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 pandemic related study disruption by unique subject identifier and by investigational site and a description of how the individual’s participation was altered; and analyses and corresponding discussions that address the impact of implemented contingency measures (</w:t>
      </w:r>
      <w:r>
        <w:rPr>
          <w:rFonts w:ascii="Arial" w:cs="Arial" w:eastAsia="Arial" w:hAnsi="Arial"/>
          <w:sz w:val="18"/>
          <w:szCs w:val="18"/>
          <w:i w:val="1"/>
          <w:iCs w:val="1"/>
          <w:color w:val="auto"/>
        </w:rPr>
        <w:t>e.g.</w:t>
      </w:r>
      <w:r>
        <w:rPr>
          <w:rFonts w:ascii="Arial" w:cs="Arial" w:eastAsia="Arial" w:hAnsi="Arial"/>
          <w:sz w:val="18"/>
          <w:szCs w:val="18"/>
          <w:color w:val="auto"/>
        </w:rPr>
        <w:t>, participant discontinuation from investigational product and/or study, alternative procedures used to collect critical safety and/or efficacy data) on the safety and efficacy results reported for the trial.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NDA Review and Approval Process</w:t>
      </w:r>
    </w:p>
    <w:p>
      <w:pPr>
        <w:spacing w:after="0" w:line="10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74" w:lineRule="exact"/>
        <w:rPr>
          <w:sz w:val="20"/>
          <w:szCs w:val="20"/>
          <w:color w:val="auto"/>
        </w:rPr>
      </w:pPr>
    </w:p>
    <w:p>
      <w:pPr>
        <w:ind w:left="120" w:right="320" w:firstLine="551"/>
        <w:spacing w:after="0" w:line="277" w:lineRule="auto"/>
        <w:rPr>
          <w:sz w:val="20"/>
          <w:szCs w:val="20"/>
          <w:color w:val="auto"/>
        </w:rPr>
      </w:pPr>
      <w:r>
        <w:rPr>
          <w:rFonts w:ascii="Arial" w:cs="Arial" w:eastAsia="Arial" w:hAnsi="Arial"/>
          <w:sz w:val="17"/>
          <w:szCs w:val="17"/>
          <w:color w:val="auto"/>
        </w:rPr>
        <w:t>The FDA reviews an NDA to determine, among other things, whether a product is safe and effective for its intended use and whether its manufacturing complies with cGMP requirements to assure and preserve the product’s identity, strength, quality and purity. Under the Prescription Drug User Fee Act, or PDUFA, guidelines that are currently in effect, the FDA has a goal of ten months from</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00"/>
          </w:cols>
          <w:pgMar w:left="320" w:top="455" w:right="47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43" w:lineRule="auto"/>
        <w:rPr>
          <w:sz w:val="20"/>
          <w:szCs w:val="20"/>
          <w:color w:val="auto"/>
        </w:rPr>
      </w:pPr>
      <w:r>
        <w:rPr>
          <w:rFonts w:ascii="Arial" w:cs="Arial" w:eastAsia="Arial" w:hAnsi="Arial"/>
          <w:sz w:val="18"/>
          <w:szCs w:val="18"/>
          <w:color w:val="auto"/>
        </w:rPr>
        <w:t>the date of “filing” of a standard NDA for a new molecular entity to review and act on the submission. This review typically takes twelve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w:t>
      </w:r>
    </w:p>
    <w:p>
      <w:pPr>
        <w:spacing w:after="0" w:line="17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0"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requirements.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9"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trial or other significant and time-consuming requirements related to clinical trials, nonclinical studies or manufacturing. If a Complete Response Letter is issued, the sponsor must resubmit the NDA to address all of the deficiencies identified in the letter, or withdraw the application. Even if such data and information are submitted, the FDA may decide that the NDA does not satisfy the criteria for approval.</w:t>
      </w:r>
    </w:p>
    <w:p>
      <w:pPr>
        <w:spacing w:after="0" w:line="180"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In addition, 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FDA has various programs, including fast track designation, breakthrough therapy designation, accelerated approval and priority review, that are intended to expedite the process for the development and FDA review of drugs that are intended for the treatment of serious or life-threatening diseases or conditions. For example, new drugs are eligible for fast track designation if they are intended to treat a serious or life- threatening disease or condition and demonstrate the potential to address unmet medical needs for the disease or condition. The sponsor of a fast track product has opportunities for frequent interactions with the review team during product development and, once a NDA is submitted, the product may be eligible for priority review.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76"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Any product submitted to the FDA for approval, including a product with a fast track designation, may also be eligible for other types of FDA programs intended to expedite development and review, such as priority review, accelerated approval, and breakthrough therapy designation.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79"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80" w:lineRule="exact"/>
        <w:rPr>
          <w:sz w:val="20"/>
          <w:szCs w:val="20"/>
          <w:color w:val="auto"/>
        </w:rPr>
      </w:pPr>
    </w:p>
    <w:p>
      <w:pPr>
        <w:ind w:left="120" w:right="760" w:firstLine="551"/>
        <w:spacing w:after="0" w:line="276" w:lineRule="auto"/>
        <w:rPr>
          <w:sz w:val="20"/>
          <w:szCs w:val="20"/>
          <w:color w:val="auto"/>
        </w:rPr>
      </w:pPr>
      <w:r>
        <w:rPr>
          <w:rFonts w:ascii="Arial" w:cs="Arial" w:eastAsia="Arial" w:hAnsi="Arial"/>
          <w:sz w:val="18"/>
          <w:szCs w:val="18"/>
          <w:color w:val="auto"/>
        </w:rPr>
        <w:t>The Food and Drug Administration Safety and Innovation Act established a category of drugs referred to as “breakthrough therapies” that may be eligible to receive breakthrough therapy</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1" w:lineRule="auto"/>
        <w:rPr>
          <w:sz w:val="20"/>
          <w:szCs w:val="20"/>
          <w:color w:val="auto"/>
        </w:rPr>
      </w:pPr>
      <w:r>
        <w:rPr>
          <w:rFonts w:ascii="Arial" w:cs="Arial" w:eastAsia="Arial" w:hAnsi="Arial"/>
          <w:sz w:val="18"/>
          <w:szCs w:val="18"/>
          <w:color w:val="auto"/>
        </w:rPr>
        <w:t>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179"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83"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9" w:lineRule="exact"/>
        <w:rPr>
          <w:sz w:val="20"/>
          <w:szCs w:val="20"/>
          <w:color w:val="auto"/>
        </w:rPr>
      </w:pPr>
    </w:p>
    <w:p>
      <w:pPr>
        <w:ind w:left="880" w:right="320" w:hanging="224"/>
        <w:spacing w:after="0" w:line="276"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clinical holds on clinical studies;</w:t>
      </w:r>
    </w:p>
    <w:p>
      <w:pPr>
        <w:spacing w:after="0" w:line="117" w:lineRule="exact"/>
        <w:rPr>
          <w:rFonts w:ascii="Arial" w:cs="Arial" w:eastAsia="Arial" w:hAnsi="Arial"/>
          <w:sz w:val="18"/>
          <w:szCs w:val="18"/>
          <w:color w:val="auto"/>
        </w:rPr>
      </w:pPr>
    </w:p>
    <w:p>
      <w:pPr>
        <w:ind w:left="880" w:right="360" w:hanging="224"/>
        <w:spacing w:after="0" w:line="276"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60"/>
          </w:cols>
          <w:pgMar w:left="320" w:top="455" w:right="51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17"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FDA closely regulates the marketing, labeling, advertising and promotion of drug products. A company can make only those claims relating to safety and efficacy that are approved by the FDA and in accordance with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183" w:lineRule="exact"/>
        <w:rPr>
          <w:sz w:val="20"/>
          <w:szCs w:val="20"/>
          <w:color w:val="auto"/>
        </w:rPr>
      </w:pPr>
    </w:p>
    <w:p>
      <w:pPr>
        <w:ind w:left="120" w:right="380" w:firstLine="551"/>
        <w:spacing w:after="0" w:line="248"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Orphan Drugs</w:t>
      </w:r>
    </w:p>
    <w:p>
      <w:pPr>
        <w:spacing w:after="0" w:line="104"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an NDA. After the FDA grants ODD, the generic identity of the therapeutic agent and its potential orphan use are disclosed publicly by the FDA.</w:t>
      </w:r>
    </w:p>
    <w:p>
      <w:pPr>
        <w:spacing w:after="0" w:line="17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If a product that has received ODD and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biologic for the same indication for seven years from the approval of the NDA,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NDA application user fee.</w:t>
      </w:r>
    </w:p>
    <w:p>
      <w:pPr>
        <w:spacing w:after="0" w:line="164" w:lineRule="exact"/>
        <w:rPr>
          <w:sz w:val="20"/>
          <w:szCs w:val="20"/>
          <w:color w:val="auto"/>
        </w:rPr>
      </w:pPr>
    </w:p>
    <w:p>
      <w:pPr>
        <w:ind w:left="120" w:right="160" w:firstLine="551"/>
        <w:spacing w:after="0" w:line="248"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0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Market exclusivity provisions authorized under the FDCA can delay the submission and approval of certain marketing applications for products containing the same active ingredient.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or 505(b)(2) NDA,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8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accepting ANDAs or 505(b)(2) NDAs for drugs referencing the approved application for review.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80" w:lineRule="exact"/>
        <w:rPr>
          <w:sz w:val="20"/>
          <w:szCs w:val="20"/>
          <w:color w:val="auto"/>
        </w:rPr>
      </w:pPr>
    </w:p>
    <w:p>
      <w:pPr>
        <w:jc w:val="both"/>
        <w:ind w:left="120" w:right="260" w:firstLine="551"/>
        <w:spacing w:after="0" w:line="245"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04" w:lineRule="exact"/>
        <w:rPr>
          <w:sz w:val="20"/>
          <w:szCs w:val="20"/>
          <w:color w:val="auto"/>
        </w:rPr>
      </w:pPr>
    </w:p>
    <w:p>
      <w:pPr>
        <w:jc w:val="both"/>
        <w:ind w:left="120" w:right="460" w:firstLine="551"/>
        <w:spacing w:after="0" w:line="248" w:lineRule="auto"/>
        <w:rPr>
          <w:sz w:val="20"/>
          <w:szCs w:val="20"/>
          <w:color w:val="auto"/>
        </w:rPr>
      </w:pPr>
      <w:r>
        <w:rPr>
          <w:rFonts w:ascii="Arial" w:cs="Arial" w:eastAsia="Arial" w:hAnsi="Arial"/>
          <w:sz w:val="18"/>
          <w:szCs w:val="18"/>
          <w:color w:val="auto"/>
        </w:rPr>
        <w:t>Pharmaceutical manufacturers are subject to additional healthcare fraud and abuse laws, regulation and enforcement by the federal government and by authorities in the states and foreign jurisdictions in which they conduct their business. Such laws include, without limitation, U.S. federal anti-kickback, false claims, civil monetary penalty, consumer fraud, pricing reporting, data privacy and security and physician payment transparency laws and regulations as well as similar foreign laws in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80"/>
          </w:cols>
          <w:pgMar w:left="320" w:top="455" w:right="49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tracking gifts and other remuneration and transfer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the Health Insurance Portability and Accountability Act of 1996, thus complicating compliance efforts.</w:t>
      </w:r>
    </w:p>
    <w:p>
      <w:pPr>
        <w:spacing w:after="0" w:line="176"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The risk of our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cost-effectiveness, and clinical support for the use of a product to each payor separately and can be a time-consuming process,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that are used with applicable pharmaceutical products require coverage and reimbursement separate and apart from the coverage and reimbursement for their companion pharmaceutical products. Similar challenges to obtaining coverage and reimbursement, applicable to pharmaceutical products, will apply to companion diagnostics.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Moreover, third-party payors are increasingly reducing coverage and reimbursement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 Decreases in third-party reimbursement for any product or a decision by a third-party payor not to cover a product could reduce physician usage and patient demand for the product.</w:t>
      </w:r>
    </w:p>
    <w:p>
      <w:pPr>
        <w:spacing w:after="0" w:line="176"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0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Affordable Care Act, or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creates a new Patient-Centered Outcomes Research Institute to oversee, identify priorities in, and conduct comparative clinical effectiveness research, along with funding for such research; and established a Center for Medicare Innovation at the Centers for Medicare &amp; Medicaid Services to test innovative payment and service delivery models to lower Medicare and Medicaid spending, potentially including prescription drug spending.</w:t>
      </w:r>
    </w:p>
    <w:p>
      <w:pPr>
        <w:spacing w:after="0" w:line="176"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and we expect there will be additional challenges and amendments to the ACA in the future. For example, in 2017, Congress enacted the Tax Cut and JOBS Act, or Tax Act, which eliminated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eliminates, effective January 1, 2020, the ACA-mandated “Cadillac” tax on high-cost employer-sponsored health coverage and medical device tax and, effective January 1, 2021, also eliminates the health insurer tax. On December 14, 2018, a Texas U.S. District Court Judge ruled that the individual mandate is a critical</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3" w:lineRule="auto"/>
        <w:rPr>
          <w:sz w:val="20"/>
          <w:szCs w:val="20"/>
          <w:color w:val="auto"/>
        </w:rPr>
      </w:pPr>
      <w:r>
        <w:rPr>
          <w:rFonts w:ascii="Arial" w:cs="Arial" w:eastAsia="Arial" w:hAnsi="Arial"/>
          <w:sz w:val="18"/>
          <w:szCs w:val="18"/>
          <w:color w:val="auto"/>
        </w:rPr>
        <w:t>and inseverable feature of the ACA, and therefore, because it was repealed as part of the Tax Act, the remaining provisions of the ACA are invalid as well. On December 18, 2019, the U.S. Court of Appeals for the 5th Circuit ruled that the individual mandate was unconstitutional and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 In addition, there may be other efforts to challenge, repeal or replace the ACA. We are continuing to monitor any changes to the ACA that, in turn, may potentially impact our business in the future.</w:t>
      </w:r>
    </w:p>
    <w:p>
      <w:pPr>
        <w:spacing w:after="0" w:line="174"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aggregate reductions to Medicare payments to providers of 2% per fiscal year, effective April 1, 2013. The CARES Act, which was signed into law on March 27, 2020, and designed to provide financial support and resources to individuals and businesses affected by COVID-19 pandemic, suspended the 2% Medicare sequester from May 1, 2020, through December 31, 2020, and extended the sequester by one year, through 2030, in order to offset the 2020 suspension.</w:t>
      </w:r>
    </w:p>
    <w:p>
      <w:pPr>
        <w:spacing w:after="0" w:line="172"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For example, at the federal level,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other of pocket costs of drug products paid by consumers.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administration’s budget proposal for the fiscal year 2021 includes a $135 billion allowance to support legislative proposals seeking to reduce drug prices, increase competition, lower out-of-pocket drug costs for patients, and increase patient access to lower-cost generic drugs. Although a number of these and other measures may require additional authorization to become effective, Congress and the Trump administration have each indicated that it will continue to seek new legislative and/or administrative measures to control drug costs. 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Furthermore, there has been increased interest by third party payors and governmental authorities in reference pricing systems and publication of discounts and list prices.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FDA Approval and Regulation of Companion Diagnostics</w:t>
      </w:r>
    </w:p>
    <w:p>
      <w:pPr>
        <w:spacing w:after="0" w:line="10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expect that our product candidates may require use of a diagnostic to identify appropriate patient populations for our products. These diagnostics, often referred to as companion diagnostics, are medical devices, often in vitro devices, which provide information that is essential for the safe and effective use of a corresponding drug.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400"/>
        <w:spacing w:after="0" w:line="255" w:lineRule="auto"/>
        <w:rPr>
          <w:sz w:val="20"/>
          <w:szCs w:val="20"/>
          <w:color w:val="auto"/>
        </w:rPr>
      </w:pPr>
      <w:r>
        <w:rPr>
          <w:rFonts w:ascii="Arial" w:cs="Arial" w:eastAsia="Arial" w:hAnsi="Arial"/>
          <w:sz w:val="18"/>
          <w:szCs w:val="18"/>
          <w:color w:val="auto"/>
        </w:rPr>
        <w:t>tests require marketing clearance or approval from the FDA prior to commercial distribution. The two primary types of FDA marketing authorization applicable to a medical device are premarket notification, also called 510(k) clearance, and premarket approval, or PMA approval. We expect that any companion diagnostic developed for our product candidates will utilize the PMA pathway.</w:t>
      </w:r>
    </w:p>
    <w:p>
      <w:pPr>
        <w:spacing w:after="0" w:line="164"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a PMA application typically requires data regarding analytical and clinical validation studies.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7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PMA approval is not guaranteed, and the FDA may ultimately respond to a PMA submission with a not approvable determination based on deficiencies in the application and require additional clinical trial or other data that may be expensive and time -consuming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77"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 xml:space="preserve">In August 2014, the FDA issued final guidance clarifying the requirements that will apply to approval of therapeutic products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companion diagnostics. According to the guidance, if FDA determines that a companion diagnostic device is essential to the safe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effective use of a novel therapeutic product or indication, FDA generally will not approve the therapeutic product or new therapeutic product indication if the companion diagnostic device is not approved or cleared for that indication at the same time. The review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in conjunction with the review of our therapeutic treatments for cancer will, therefore, likely involve coordination of review by the FDA’s Center for Drug Evaluation and Research and the FDA’s Center for Devices and Radiological Health Office of In Vitro Diagnostics.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 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Employees</w:t>
      </w:r>
    </w:p>
    <w:p>
      <w:pPr>
        <w:spacing w:after="0" w:line="214"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As of June 24, 2020, we had 36 full-time employees, including 15 employees with Ph.D., M.D. or Pharm.D. degrees. Of these full-time employees, 31 employees are engaged in research and development activities.</w:t>
      </w:r>
    </w:p>
    <w:p>
      <w:pPr>
        <w:spacing w:after="0" w:line="145" w:lineRule="exact"/>
        <w:rPr>
          <w:sz w:val="20"/>
          <w:szCs w:val="20"/>
          <w:color w:val="auto"/>
        </w:rPr>
      </w:pPr>
    </w:p>
    <w:p>
      <w:pPr>
        <w:ind w:left="120" w:right="740" w:firstLine="551"/>
        <w:spacing w:after="0" w:line="276" w:lineRule="auto"/>
        <w:rPr>
          <w:sz w:val="20"/>
          <w:szCs w:val="20"/>
          <w:color w:val="auto"/>
        </w:rPr>
      </w:pPr>
      <w:r>
        <w:rPr>
          <w:rFonts w:ascii="Arial" w:cs="Arial" w:eastAsia="Arial" w:hAnsi="Arial"/>
          <w:sz w:val="18"/>
          <w:szCs w:val="18"/>
          <w:color w:val="auto"/>
        </w:rPr>
        <w:t>None of our employees are represented by labor unions or covered by collective bargaining agreements. We consider our relationship with our employees to be good.</w:t>
      </w:r>
    </w:p>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Facilities</w:t>
      </w:r>
    </w:p>
    <w:p>
      <w:pPr>
        <w:spacing w:after="0" w:line="21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Our corporate headquarters is located at 8 Clarke Drive, Cranbury, New Jersey 08512, where we lease a facility containing 18,446 square feet of office and laboratory space pursuant to a lease agreement that expires in June 2022. We also lease 6,297 square feet of laboratory space at 3000 Eastpark, South Brunswick, New Jersey 08512 pursuant to a that expires in July 2022. Finally, we lease 3,292 square feet of office space at 420 Bedford Drive, Lexington, Massachusetts 02420 pursuant to a lease that expires in August 2023 with an option to extend for an additional three years.</w:t>
      </w:r>
    </w:p>
    <w:p>
      <w:pPr>
        <w:spacing w:after="0" w:line="172" w:lineRule="exact"/>
        <w:rPr>
          <w:sz w:val="20"/>
          <w:szCs w:val="20"/>
          <w:color w:val="auto"/>
        </w:rPr>
      </w:pPr>
    </w:p>
    <w:p>
      <w:pPr>
        <w:ind w:left="120" w:right="780" w:firstLine="551"/>
        <w:spacing w:after="0" w:line="276" w:lineRule="auto"/>
        <w:rPr>
          <w:sz w:val="20"/>
          <w:szCs w:val="20"/>
          <w:color w:val="auto"/>
        </w:rPr>
      </w:pPr>
      <w:r>
        <w:rPr>
          <w:rFonts w:ascii="Arial" w:cs="Arial" w:eastAsia="Arial" w:hAnsi="Arial"/>
          <w:sz w:val="18"/>
          <w:szCs w:val="18"/>
          <w:color w:val="auto"/>
        </w:rPr>
        <w:t>We believe that our current facilities are adequate for our current needs and that suitable additional or substitute space at commercially reasonable terms will be available as needed to accommodate any future expansion of our operations.</w:t>
      </w:r>
    </w:p>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Proceedings</w:t>
      </w:r>
    </w:p>
    <w:p>
      <w:pPr>
        <w:spacing w:after="0" w:line="214"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As of the date of this prospectus, we were not a party to any material legal matters or claims. In the future, we may become party to legal matters and claims in the ordinary course of business, the resolution of which we do not anticipate would have a material adverse impact on our financial position, results of operations or cash flows.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80"/>
          </w:cols>
          <w:pgMar w:left="320" w:top="455" w:right="49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Officers, Directors and Key Employees</w:t>
      </w:r>
    </w:p>
    <w:p>
      <w:pPr>
        <w:spacing w:after="0" w:line="214" w:lineRule="exact"/>
        <w:rPr>
          <w:sz w:val="20"/>
          <w:szCs w:val="20"/>
          <w:color w:val="auto"/>
        </w:rPr>
      </w:pPr>
    </w:p>
    <w:p>
      <w:pPr>
        <w:ind w:left="120" w:right="20" w:firstLine="551"/>
        <w:spacing w:after="0" w:line="276" w:lineRule="auto"/>
        <w:rPr>
          <w:sz w:val="20"/>
          <w:szCs w:val="20"/>
          <w:color w:val="auto"/>
        </w:rPr>
      </w:pPr>
      <w:r>
        <w:rPr>
          <w:rFonts w:ascii="Arial" w:cs="Arial" w:eastAsia="Arial" w:hAnsi="Arial"/>
          <w:sz w:val="18"/>
          <w:szCs w:val="18"/>
          <w:color w:val="auto"/>
        </w:rPr>
        <w:t>The following table sets forth the names, ages and positions of our executive officers, directors and key employees as of the date of this prospectus: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340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Age</w:t>
            </w:r>
          </w:p>
        </w:tc>
        <w:tc>
          <w:tcPr>
            <w:tcW w:w="140" w:type="dxa"/>
            <w:vAlign w:val="bottom"/>
          </w:tcPr>
          <w:p>
            <w:pPr>
              <w:spacing w:after="0"/>
              <w:rPr>
                <w:sz w:val="17"/>
                <w:szCs w:val="17"/>
                <w:color w:val="auto"/>
              </w:rPr>
            </w:pPr>
          </w:p>
        </w:tc>
        <w:tc>
          <w:tcPr>
            <w:tcW w:w="6660" w:type="dxa"/>
            <w:vAlign w:val="bottom"/>
          </w:tcPr>
          <w:p>
            <w:pPr>
              <w:ind w:left="3040"/>
              <w:spacing w:after="0"/>
              <w:rPr>
                <w:sz w:val="20"/>
                <w:szCs w:val="20"/>
                <w:color w:val="auto"/>
              </w:rPr>
            </w:pPr>
            <w:r>
              <w:rPr>
                <w:rFonts w:ascii="Arial" w:cs="Arial" w:eastAsia="Arial" w:hAnsi="Arial"/>
                <w:sz w:val="14"/>
                <w:szCs w:val="14"/>
                <w:b w:val="1"/>
                <w:bCs w:val="1"/>
                <w:color w:val="auto"/>
              </w:rPr>
              <w:t>Position</w:t>
            </w:r>
          </w:p>
        </w:tc>
      </w:tr>
      <w:tr>
        <w:trPr>
          <w:trHeight w:val="176"/>
        </w:trPr>
        <w:tc>
          <w:tcPr>
            <w:tcW w:w="38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w:t>
            </w:r>
          </w:p>
        </w:tc>
        <w:tc>
          <w:tcPr>
            <w:tcW w:w="2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660" w:type="dxa"/>
            <w:vAlign w:val="bottom"/>
            <w:tcBorders>
              <w:top w:val="single" w:sz="8" w:color="auto"/>
            </w:tcBorders>
            <w:shd w:val="clear" w:color="auto" w:fill="CCEEFF"/>
          </w:tcPr>
          <w:p>
            <w:pPr>
              <w:spacing w:after="0"/>
              <w:rPr>
                <w:sz w:val="15"/>
                <w:szCs w:val="15"/>
                <w:color w:val="auto"/>
              </w:rPr>
            </w:pP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David H. Mack, Ph.D.</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58</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Winston Kung</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Chief Operating Officer and Chief Financial Officer</w:t>
            </w: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Leila Alland, M.D.</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57</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Chief Medical Officer</w:t>
            </w:r>
          </w:p>
        </w:tc>
      </w:tr>
      <w:tr>
        <w:trPr>
          <w:trHeight w:val="202"/>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Deepika Jalota, Pharm.D.</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44</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Senior Vice President, Head of Regulatory Affairs</w:t>
            </w:r>
          </w:p>
        </w:tc>
      </w:tr>
      <w:tr>
        <w:trPr>
          <w:trHeight w:val="311"/>
        </w:trPr>
        <w:tc>
          <w:tcPr>
            <w:tcW w:w="3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60" w:type="dxa"/>
            <w:vAlign w:val="bottom"/>
          </w:tcPr>
          <w:p>
            <w:pPr>
              <w:spacing w:after="0"/>
              <w:rPr>
                <w:sz w:val="24"/>
                <w:szCs w:val="24"/>
                <w:color w:val="auto"/>
              </w:rPr>
            </w:pP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Heyman, Ph.D</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 and Chairman of the Board of Directors</w:t>
            </w: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Arnold Levine, Ph.D.</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80</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Arnold Oronsky, Ph.D.</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80</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Thilo Schroeder, Ph.D.</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39</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Thompson, M.D.</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60</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311"/>
        </w:trPr>
        <w:tc>
          <w:tcPr>
            <w:tcW w:w="3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Key Employees: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60" w:type="dxa"/>
            <w:vAlign w:val="bottom"/>
          </w:tcPr>
          <w:p>
            <w:pPr>
              <w:spacing w:after="0"/>
              <w:rPr>
                <w:sz w:val="24"/>
                <w:szCs w:val="24"/>
                <w:color w:val="auto"/>
              </w:rPr>
            </w:pP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Thomas Davis, Ph.D.</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57</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Vice President, Biology</w:t>
            </w: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Melissa Dumble, Ph.D.</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45</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Vice President, Pharmacology and Translational Medicine</w:t>
            </w:r>
          </w:p>
        </w:tc>
      </w:tr>
      <w:tr>
        <w:trPr>
          <w:trHeight w:val="202"/>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Binh Vu, Ph.D.</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52</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Vice President, Chemistry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0"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Member of the audit committee</w:t>
      </w:r>
    </w:p>
    <w:p>
      <w:pPr>
        <w:ind w:left="540" w:hanging="424"/>
        <w:spacing w:after="0" w:line="187" w:lineRule="auto"/>
        <w:tabs>
          <w:tab w:leader="none" w:pos="540" w:val="left"/>
        </w:tabs>
        <w:numPr>
          <w:ilvl w:val="0"/>
          <w:numId w:val="86"/>
        </w:numPr>
        <w:rPr>
          <w:rFonts w:ascii="Arial" w:cs="Arial" w:eastAsia="Arial" w:hAnsi="Arial"/>
          <w:sz w:val="18"/>
          <w:szCs w:val="18"/>
          <w:color w:val="auto"/>
          <w:vertAlign w:val="superscript"/>
        </w:rPr>
      </w:pPr>
      <w:r>
        <w:rPr>
          <w:rFonts w:ascii="Arial" w:cs="Arial" w:eastAsia="Arial" w:hAnsi="Arial"/>
          <w:sz w:val="11"/>
          <w:szCs w:val="11"/>
          <w:color w:val="auto"/>
        </w:rPr>
        <w:t>Member of the compensation committee</w:t>
      </w:r>
    </w:p>
    <w:p>
      <w:pPr>
        <w:ind w:left="540" w:hanging="424"/>
        <w:spacing w:after="0" w:line="183" w:lineRule="auto"/>
        <w:tabs>
          <w:tab w:leader="none" w:pos="540" w:val="left"/>
        </w:tabs>
        <w:numPr>
          <w:ilvl w:val="0"/>
          <w:numId w:val="86"/>
        </w:numPr>
        <w:rPr>
          <w:rFonts w:ascii="Arial" w:cs="Arial" w:eastAsia="Arial" w:hAnsi="Arial"/>
          <w:sz w:val="20"/>
          <w:szCs w:val="20"/>
          <w:color w:val="auto"/>
          <w:vertAlign w:val="superscript"/>
        </w:rPr>
      </w:pPr>
      <w:r>
        <w:rPr>
          <w:rFonts w:ascii="Arial" w:cs="Arial" w:eastAsia="Arial" w:hAnsi="Arial"/>
          <w:sz w:val="12"/>
          <w:szCs w:val="12"/>
          <w:color w:val="auto"/>
        </w:rPr>
        <w:t>Member of the corporate governance and nominating committee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02"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b w:val="1"/>
          <w:bCs w:val="1"/>
          <w:color w:val="auto"/>
        </w:rPr>
        <w:t xml:space="preserve">David H. Mack, Ph.D. </w:t>
      </w:r>
      <w:r>
        <w:rPr>
          <w:rFonts w:ascii="Arial" w:cs="Arial" w:eastAsia="Arial" w:hAnsi="Arial"/>
          <w:sz w:val="18"/>
          <w:szCs w:val="18"/>
          <w:color w:val="auto"/>
        </w:rPr>
        <w:t>has served as a member of our board of directors since June 2013 and as our Chief Executive Officer and</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since July 2013. Previously, Dr. Mack was a general partner at Alta Partners, a venture capital firm focusing on investments in biotechnology and life sciences companies, from 2002 to 2012. Prior to working at Alta Partners, Dr. Mack served as Vice President of Genomics Research at Eos Biotechnology, which was acquired by Protein Design Labs in 2003. From 1994 to 1997, Dr. Mack served as the Head of Cancer Biology at Affymetrix, a biotechnology company that was acquired by Thermo Fisher (NYSE: TMO) in January 2016, where he oversaw the development and application of DNA array technology in the areas of oncology and inflammation. Dr. Mack is a member of the board of directors of Aduro BioTech (NASDAQ: ADRO), a biopharmaceutical company. Dr. Mack has co-authored more than 30 scientific articles and reviews, including papers published in Cell, Science, and Nature, and is an inventor on 26 issued US patents. Dr. Mack was an American Cancer Society Postdoctoral Fellow in microbiology and immunology at Stanford University School of Medicine. Dr. Mack received a B.A. in Molecular Biology from the University of California, Berkeley and a Ph.D. in Molecular Genetics and Cell Biology from the University of Chicago. We believe that Dr. Mack is qualified to serve on our board of directors because of the perspective and experience he provides as our Chief Executive Officer as well as his broad experience in the biotechnology and life sciences industries.</w:t>
      </w:r>
    </w:p>
    <w:p>
      <w:pPr>
        <w:spacing w:after="0" w:line="180" w:lineRule="exact"/>
        <w:rPr>
          <w:sz w:val="20"/>
          <w:szCs w:val="20"/>
          <w:color w:val="auto"/>
        </w:rPr>
      </w:pPr>
    </w:p>
    <w:p>
      <w:pPr>
        <w:ind w:left="120" w:right="340" w:firstLine="551"/>
        <w:spacing w:after="0" w:line="256" w:lineRule="auto"/>
        <w:rPr>
          <w:sz w:val="20"/>
          <w:szCs w:val="20"/>
          <w:color w:val="auto"/>
        </w:rPr>
      </w:pPr>
      <w:r>
        <w:rPr>
          <w:rFonts w:ascii="Arial" w:cs="Arial" w:eastAsia="Arial" w:hAnsi="Arial"/>
          <w:sz w:val="18"/>
          <w:szCs w:val="18"/>
          <w:b w:val="1"/>
          <w:bCs w:val="1"/>
          <w:color w:val="auto"/>
        </w:rPr>
        <w:t xml:space="preserve">Winston Kung </w:t>
      </w:r>
      <w:r>
        <w:rPr>
          <w:rFonts w:ascii="Arial" w:cs="Arial" w:eastAsia="Arial" w:hAnsi="Arial"/>
          <w:sz w:val="18"/>
          <w:szCs w:val="18"/>
          <w:color w:val="auto"/>
        </w:rPr>
        <w:t>has served as our Chief Operating Officer and Chief Financial Officer since December 2017. From April 2013 to</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2017, Mr. Kung worked at Celgene Corporation, a global biopharmaceutical company, where he held multiple positions, including Vice</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5" w:right="4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President of Business Development and Global Alliances, and Chief Business Officer at Celgene Cellular Therapeutics (a wholly-owned subsidiary of Celgene Corporation). At Celgene, Mr. Kung led the formation of a strategic long-range plan for the company, along with overseeing multiple transactions and a team that managed the company’s alliance portfolio of over 100 collaborations, equity investments and company integrations. Prior to working at Celgene, Mr. Kung worked at Citigroup from June 2010 to April 2013 in its Global Healthcare Investment Banking group and at Lehman Brothers (which was subsequently acquired by Barclays) from May 2007 to June 2010 in its Global Mergers and Acquisition Group. At Citigroup and Barclays, Mr. Kung worked on various transactions including public and private financings, merger and acquisitions, spin-outs and other financial advisory engagements. From August 2004 to May 2007, Mr. Kung worked at Amgen (NASDAQ: AMGN), a global biopharmaceutical company, as a co-founder of the Alliance Management group, and served as the deal lead on multiple acquisitions as part of the Corporate Development group. Mr. Kung also worked at Genentech, a biotechnology company (acquired by Roche), from November 1999 to September 2002 as part of the Business and Corporate Development group. Mr. Kung previously served on the board of directors of Alliqua BioMedicial (NASDAQ: ALQA) and GNS Healthcare, a private, healthcare artificial intelligence company. Mr. Kung received a B.A. in Biology and International Relations from Brown University and a MBA from Harvard Business School.</w:t>
      </w:r>
    </w:p>
    <w:p>
      <w:pPr>
        <w:spacing w:after="0" w:line="178"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b w:val="1"/>
          <w:bCs w:val="1"/>
          <w:color w:val="auto"/>
        </w:rPr>
        <w:t xml:space="preserve">Leila Alland, M.D. </w:t>
      </w:r>
      <w:r>
        <w:rPr>
          <w:rFonts w:ascii="Arial" w:cs="Arial" w:eastAsia="Arial" w:hAnsi="Arial"/>
          <w:sz w:val="17"/>
          <w:szCs w:val="17"/>
          <w:color w:val="auto"/>
        </w:rPr>
        <w:t>has served as our Chief Medical Officer since December 2019. From March 2018 to November 2019, Dr. Alland</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the Chief Medical Officer at Affimed, a clinical stage immune-oncology company. Dr. Alland served as the Chief Medical Officer at Tarveda Therapeutics, a biotechnology company, from January 2016 to March 2018. Previously, Dr. Alland served as the Vice President and Head of Oncology Early Clinical Development at AstraZeneca (NYSE: AZN) from October 2013 to December 2015. Dr. Alland has also held leadership positions at Bristol-Myers Squibb (NYSE: BMY) from April 2006 to September 2013, Novartis from November 2003 to March 2006 and Schering-Plough from June 2001 to November 2003, where she worked on a broad range of oncology products from early to late stage development and contributed to multiple successful drug approvals. From September 1994 to June 2000, Dr. Alland served as Assistant Professor of Pediatrics at Albert Einstein College of Medicine, where she was awarded the James S. McDonnell Foundation Scholar Award and pursued basic cancer research. Dr. Alland sits on the Scientific Advisory Council of Columbia University’s Center for Radiological Research and serves as a reviewer for the Cancer Prevention and Research Institute of Texas. Dr. Alland serves as a member of the board of directors of Cytovia Therapeutics. Dr. Alland received a B.A. in Biology from the University of Pennsylvania and a M.D. from New York University School of Medicine. Dr. Alland completed her residency in Pediatrics at The Children’s Hospital of Philadelphia and her fellowship in Pediatric Hematology/Oncology at The New York Hospital and Memorial Sloan-Kettering Cancer Center.</w:t>
      </w:r>
    </w:p>
    <w:p>
      <w:pPr>
        <w:spacing w:after="0" w:line="170"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b w:val="1"/>
          <w:bCs w:val="1"/>
          <w:color w:val="auto"/>
        </w:rPr>
        <w:t xml:space="preserve">Deepika Jalota, Pharm.D. </w:t>
      </w:r>
      <w:r>
        <w:rPr>
          <w:rFonts w:ascii="Arial" w:cs="Arial" w:eastAsia="Arial" w:hAnsi="Arial"/>
          <w:sz w:val="18"/>
          <w:szCs w:val="18"/>
          <w:color w:val="auto"/>
        </w:rPr>
        <w:t>has served as our Senior Vice President and Head of Regulatory Affairs since June 2019.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Dr. Jalota was employed by Bayer HealthCare Pharmaceuticals from July 2007 to May 2019 and held multiple leadership positions within Global Regulatory Affairs in oncology and other therapeutic areas. She was most recently Vice President, Global Regulatory Strategy, Oncology from July 2017 to June 2019 and was responsible for overseeing global regulatory strategy development for multiple early and late stage oncology assets. Dr. Jalota also served as Senior Director, Global Regulatory Strategy, Oncology from June 2016 to July 2017 and Director and Head of Global Regulatory Strategy, Dermatology and Ophthalmology from January 2014 to June 2016. Prior to joining Bayer HealthCare Pharmaceuticals, Dr. Jalota was employed by Sanofi-Aventis, Forest Laboratories and Procter and Gamble. Dr. Jalota received a B.S. in Pharmacy from Rutgers University, Ernest Mario School of Pharmacy and a Pharm.D. from the University of Florida, College of Pharmacy.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0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b w:val="1"/>
          <w:bCs w:val="1"/>
          <w:color w:val="auto"/>
        </w:rPr>
        <w:t xml:space="preserve">Richard Heyman, Ph.D. </w:t>
      </w:r>
      <w:r>
        <w:rPr>
          <w:rFonts w:ascii="Arial" w:cs="Arial" w:eastAsia="Arial" w:hAnsi="Arial"/>
          <w:sz w:val="18"/>
          <w:szCs w:val="18"/>
          <w:color w:val="auto"/>
        </w:rPr>
        <w:t>has served as a member of our board of directors and as our Chairman of our board of directors since</w:t>
      </w:r>
      <w:r>
        <w:rPr>
          <w:rFonts w:ascii="Arial" w:cs="Arial" w:eastAsia="Arial" w:hAnsi="Arial"/>
          <w:sz w:val="18"/>
          <w:szCs w:val="18"/>
          <w:b w:val="1"/>
          <w:bCs w:val="1"/>
          <w:color w:val="auto"/>
        </w:rPr>
        <w:t xml:space="preserve"> </w:t>
      </w:r>
      <w:r>
        <w:rPr>
          <w:rFonts w:ascii="Arial" w:cs="Arial" w:eastAsia="Arial" w:hAnsi="Arial"/>
          <w:sz w:val="18"/>
          <w:szCs w:val="18"/>
          <w:color w:val="auto"/>
        </w:rPr>
        <w:t>June 2020. Dr. Heyman has served on the board of directors of ORIC Pharmaceuticals (NASDAQ: ORIC), a clinical-stage biopharmaceutical company, since March 2015 and was appointed the chairman of the board of directors in May 2018. Dr Heyman also served as ORIC Pharmaceuticals’s President and Chief Executive Officer, from November 2015 to May 2016, and as Acting President and Chief Executive Officer, from November 2017 to May 2018. Since June 2015, he has served as the Executive Chairman and Co-Founder of Metacrine, a private biotechnology company. Since 2019, Dr. Heyman has served as a venture partner for Arch Ventures, a venture capital firm. From August 2013 to April 2015, Dr. Heyman served as President and Chief Executive Officer of Seragon Pharmaceutical, which was acquired by Roche Genentech in 2014. Prior to that, he served as Co-Founder, President and Chief Executive Officer of Aragon Pharmaceuticals, a biotechnology company that was acquired by Johnson &amp; Johnson (NYSE: JNJ), a medical device, pharmaceutical and consumer packaged goods company, in 2013. Dr. Heyman currently also serves on the board of directors of Gritstone Oncology (NASDAQ: GRTS), an oncology company. He is Vice Chair of the Board of Trustees at the Salk Institute and serves on the Board Foundation for the American Association for Cancer Research and on the executive committee at the University of California at San Diego Moores Cancer Center. Dr. Heyman received a B.S. in Chemistry from the University of Connecticut and a Ph.D. in Pharmacology from the University of Minnesota. We believe that Dr. Heyman is qualified to serve on our board of directors because of his perspective having served as both an executive and director of similar corporations, including public companies, his scientific background and his extensive career in the biotechnology industry.</w:t>
      </w:r>
    </w:p>
    <w:p>
      <w:pPr>
        <w:spacing w:after="0" w:line="186"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b w:val="1"/>
          <w:bCs w:val="1"/>
          <w:color w:val="auto"/>
        </w:rPr>
        <w:t xml:space="preserve">Arnold Levine, Ph.D. </w:t>
      </w:r>
      <w:r>
        <w:rPr>
          <w:rFonts w:ascii="Arial" w:cs="Arial" w:eastAsia="Arial" w:hAnsi="Arial"/>
          <w:sz w:val="18"/>
          <w:szCs w:val="18"/>
          <w:color w:val="auto"/>
        </w:rPr>
        <w:t>has served as a member of our board of directors since June 2013. Since 2011, Dr. Levine has served as a</w:t>
      </w:r>
      <w:r>
        <w:rPr>
          <w:rFonts w:ascii="Arial" w:cs="Arial" w:eastAsia="Arial" w:hAnsi="Arial"/>
          <w:sz w:val="18"/>
          <w:szCs w:val="18"/>
          <w:b w:val="1"/>
          <w:bCs w:val="1"/>
          <w:color w:val="auto"/>
        </w:rPr>
        <w:t xml:space="preserve"> </w:t>
      </w:r>
      <w:r>
        <w:rPr>
          <w:rFonts w:ascii="Arial" w:cs="Arial" w:eastAsia="Arial" w:hAnsi="Arial"/>
          <w:sz w:val="18"/>
          <w:szCs w:val="18"/>
          <w:color w:val="auto"/>
        </w:rPr>
        <w:t>Professor Emeritus at The Simons Center for Systems Biology at the Institute for Advanced Study in Princeton, New Jersey, an institute he helped establish. Dr. Levine trained as a Postdoctoral Fellow at California Institute of Technology in the laboratory of Robert Sinsheimer. Dr. Levine is a widely acclaimed leader in cancer research. Dr. Levine currently serves on the board of directors of Meira GTX (NASDAQ: MGTX), a clinical-stage gene therapy company, GeneCentric Therapeutics, a private biomarker producer, and Chugai Pharmabody Research, a subsidiary of Chugai Pharmaceutical focused on utilizing proprietary antibody engineering technologies.</w:t>
      </w:r>
    </w:p>
    <w:p>
      <w:pPr>
        <w:spacing w:after="0" w:line="2"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Dr. Levine previously was a member of the board of directors of Adaptive Biotechnologies (NASDAQ: ADPT), a commercial-stage biotechnology company. In 1979, Dr. Levine and others discovered the p53 tumor suppressor protein. Dr. Levine helped shape U.S. science priorities as chairman of an influential 1996 review panel on federal AIDS research funding. He also chaired the National Cancer Advisory Board, which advises the National Academy of Sciences and its Institute of Medicine on cancer policy. He was elected to the National Academy of Sciences in 1991 and to its Institute of Medicine in 1995. In April 2001, Levine received the first Albany Medical Center Prize in Medicine and Biomedical Research, the largest annual prize in science or medicine offered in the United States. In 1968, Dr. Levine joined Princeton University as an Assistant Professor, becoming a Professor of biochemistry in 1976. In 1979, he moved to the SUNY Stony Brook School of Medicine to Chair the Department of Microbiology. He returned to Princeton in 1984 and between 1984 and 1996, he presided over a major expansion of Princeton’s life sciences programs as Chairman of the Department of Molecular Biology. From 1998 to 2002, Dr. Levine was President of the Rockefeller University. Dr. Levine received a B.A. from Harpur College, State University of New York and a Ph.D. in Microbiology from the University of Pennsylvania. We believe Dr. Levine is qualified to serve on our board of directors due to his extensive academic and professional experience in cancer research and molecular biology.</w:t>
      </w:r>
    </w:p>
    <w:p>
      <w:pPr>
        <w:spacing w:after="0" w:line="180" w:lineRule="exact"/>
        <w:rPr>
          <w:sz w:val="20"/>
          <w:szCs w:val="20"/>
          <w:color w:val="auto"/>
        </w:rPr>
      </w:pPr>
    </w:p>
    <w:p>
      <w:pPr>
        <w:ind w:left="120" w:right="200" w:firstLine="551"/>
        <w:spacing w:after="0" w:line="278" w:lineRule="auto"/>
        <w:rPr>
          <w:sz w:val="20"/>
          <w:szCs w:val="20"/>
          <w:color w:val="auto"/>
        </w:rPr>
      </w:pPr>
      <w:r>
        <w:rPr>
          <w:rFonts w:ascii="Arial" w:cs="Arial" w:eastAsia="Arial" w:hAnsi="Arial"/>
          <w:sz w:val="18"/>
          <w:szCs w:val="18"/>
          <w:b w:val="1"/>
          <w:bCs w:val="1"/>
          <w:color w:val="auto"/>
        </w:rPr>
        <w:t xml:space="preserve">Arnold Oronsky, Ph.D. </w:t>
      </w:r>
      <w:r>
        <w:rPr>
          <w:rFonts w:ascii="Arial" w:cs="Arial" w:eastAsia="Arial" w:hAnsi="Arial"/>
          <w:sz w:val="18"/>
          <w:szCs w:val="18"/>
          <w:color w:val="auto"/>
        </w:rPr>
        <w:t>has served as a member of our board of directors since July 2013. Dr. Oronsky is a Managing Partner at</w:t>
      </w:r>
      <w:r>
        <w:rPr>
          <w:rFonts w:ascii="Arial" w:cs="Arial" w:eastAsia="Arial" w:hAnsi="Arial"/>
          <w:sz w:val="18"/>
          <w:szCs w:val="18"/>
          <w:b w:val="1"/>
          <w:bCs w:val="1"/>
          <w:color w:val="auto"/>
        </w:rPr>
        <w:t xml:space="preserve"> </w:t>
      </w:r>
      <w:r>
        <w:rPr>
          <w:rFonts w:ascii="Arial" w:cs="Arial" w:eastAsia="Arial" w:hAnsi="Arial"/>
          <w:sz w:val="18"/>
          <w:szCs w:val="18"/>
          <w:color w:val="auto"/>
        </w:rPr>
        <w:t>InterWest Venture Management Company, a venture capital firm</w:t>
      </w:r>
    </w:p>
    <w:p>
      <w:pPr>
        <w:spacing w:after="0" w:line="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investing primarily in information technology and healthcare companies. Dr. Oronsky has worked at InterWest Partners since 1994. In addition, Dr. Oronsky also serves as a Senior Lecturer in the Department of Medicine at Johns Hopkins Medical School. Prior to joining InterWest Partners, Dr. Oronsky served as the Vice President for discovery research of the Lederle Laboratories division of American Cyanamid Company, where he directed the research for new drugs. Dr. Oronsky has published over 125 scientific articles and has served on the board of directors of Centrexion Therapeutics since 2013, Dynavax Technologies (NASDAQ: DVAX) since 1996, Epicent Rx since 2003, KalVista Pharmaceuticals (NASDAQ: KALV) since 2016, Prothex Pharmaceuticals since 2007 and Sera Prognostics since 2015. Dr. Oronsky previously served as a director of Applied Genetic Technologies (NASDAQ: AGTC) from 2003 to 2017 and Tesaro, a biopharmaceutical company acquired by GSK, from 2011 to 2018. Dr. Oronsky received a A.B. degree in History from New York University and a Ph.D. in Immunology from Columbia University. We believe Dr. Oronsky is qualified to serve on our board of directors because of his experience in the healthcare industry as well as his prior experience on the boards of U.S. private and public companies.</w:t>
      </w:r>
    </w:p>
    <w:p>
      <w:pPr>
        <w:spacing w:after="0" w:line="178"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b w:val="1"/>
          <w:bCs w:val="1"/>
          <w:color w:val="auto"/>
        </w:rPr>
        <w:t xml:space="preserve">Thilo Schroeder, Ph.D. </w:t>
      </w:r>
      <w:r>
        <w:rPr>
          <w:rFonts w:ascii="Arial" w:cs="Arial" w:eastAsia="Arial" w:hAnsi="Arial"/>
          <w:sz w:val="18"/>
          <w:szCs w:val="18"/>
          <w:color w:val="auto"/>
        </w:rPr>
        <w:t>has served as a member of our board of directors since November 2019. Dr. Schroeder is a Partner at</w:t>
      </w:r>
      <w:r>
        <w:rPr>
          <w:rFonts w:ascii="Arial" w:cs="Arial" w:eastAsia="Arial" w:hAnsi="Arial"/>
          <w:sz w:val="18"/>
          <w:szCs w:val="18"/>
          <w:b w:val="1"/>
          <w:bCs w:val="1"/>
          <w:color w:val="auto"/>
        </w:rPr>
        <w:t xml:space="preserve"> </w:t>
      </w:r>
      <w:r>
        <w:rPr>
          <w:rFonts w:ascii="Arial" w:cs="Arial" w:eastAsia="Arial" w:hAnsi="Arial"/>
          <w:sz w:val="18"/>
          <w:szCs w:val="18"/>
          <w:color w:val="auto"/>
        </w:rPr>
        <w:t>Nextech Invest Ltd. and has worked there since July 2012. Dr. Schroeder began his career at the pioneering cancer immunology company Micromet (acquired by Amgen) while studying at Ecole Supérieure de Biotechnologie de Strasbourg (ESBS) and conducting research at the University of Sydney. Dr. Schroeder currently serves as a member of the board of directors of Revolution Medicines (NASDAQ: RVMD), IDEAYA Biosciences (NASDAQ: IDYA), Circle Pharma, Silverback Therapeutics and MOMA Therapeutics. Dr. Schroeder was previously a member of the board of directors of ImaginAb, Blueprint Medicines (NASDAQ: BPMC) and Peloton Therapeutics (acquired by Merck). Dr. Schroeder studied biotechnology, protein biochemistry and process engineering at ESBS and received a Ph.D. in Biochemistry from the University of Zurich. We believe Dr. Schroeder is qualified to serve on our board of directors due to his professional experience as well as his prior experience serving on the boards of U.S. private and public companies.</w:t>
      </w:r>
    </w:p>
    <w:p>
      <w:pPr>
        <w:spacing w:after="0" w:line="176"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b w:val="1"/>
          <w:bCs w:val="1"/>
          <w:color w:val="auto"/>
        </w:rPr>
        <w:t xml:space="preserve">Peter Thompson, M.D. </w:t>
      </w:r>
      <w:r>
        <w:rPr>
          <w:rFonts w:ascii="Arial" w:cs="Arial" w:eastAsia="Arial" w:hAnsi="Arial"/>
          <w:sz w:val="18"/>
          <w:szCs w:val="18"/>
          <w:color w:val="auto"/>
        </w:rPr>
        <w:t>has served as a member of our board of directors since November 2014. Dr. Thompson is a Private Equity</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at OrbiMed Advisors LLC, an investment firm focused on the healthcare sector, where he previously served as a Venture Partner. Dr. Thompson currently serves on the board of directors of Alpine Immune Sciences (NASDAQ: ALPN), a clinical-stage immunotherapy company, Corvus Pharmaceuticals (NASDAQ: CRVS), a clinical-stage precision medicine company, and Prevail Therapeutics (NASDAQ: PRVL), a precision medicine company focusing on neurodegenerative disorders. Dr. Thompson also currently serves on the board of directors of several private companies. Dr. Thompson has previously served on the board of directors of Adaptimmune Therapeutics (NASDAQ: ADAP), a clinical-stage biopharmaceutical company, Principia Biopharma (NASDAQ: PRNB), a late-stage biopharmaceutical company, and Synthorx (NASDAQ: THOR), a clinical-stage biotechnology company. Dr. Thompson has cofounded numerous companies, including Edgewise Therapeutics, Silverback Therapeutics and Cleave Biosciences. Dr. Thompson also previously served in executive leadership roles at Trubion Pharmaceuticals, Chiron and Becton, Dickinson and Company. Dr. Thompson is an Affiliate Professor of Neurosurgery at the University of Washington. In addition, Dr. Thompson holds numerous patents and is a board-certified internist and oncologist. Dr. Thompson received a B.S. in Molecular Biology and Mathematics from Brown University and a M.D. from Brown University Medical School. We believe Dr. Thompson’s experience in management and venture capital in the biopharmaceutical industry provides him with the qualifications and skills to serve as a member of our board of directors.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Employees</w:t>
      </w:r>
    </w:p>
    <w:p>
      <w:pPr>
        <w:spacing w:after="0" w:line="102" w:lineRule="exact"/>
        <w:rPr>
          <w:sz w:val="20"/>
          <w:szCs w:val="20"/>
          <w:color w:val="auto"/>
        </w:rPr>
      </w:pPr>
    </w:p>
    <w:p>
      <w:pPr>
        <w:ind w:left="120" w:right="160" w:firstLine="551"/>
        <w:spacing w:after="0" w:line="278" w:lineRule="auto"/>
        <w:rPr>
          <w:sz w:val="20"/>
          <w:szCs w:val="20"/>
          <w:color w:val="auto"/>
        </w:rPr>
      </w:pPr>
      <w:r>
        <w:rPr>
          <w:rFonts w:ascii="Arial" w:cs="Arial" w:eastAsia="Arial" w:hAnsi="Arial"/>
          <w:sz w:val="18"/>
          <w:szCs w:val="18"/>
          <w:b w:val="1"/>
          <w:bCs w:val="1"/>
          <w:color w:val="auto"/>
        </w:rPr>
        <w:t xml:space="preserve">Thomas Davis, Ph.D. </w:t>
      </w:r>
      <w:r>
        <w:rPr>
          <w:rFonts w:ascii="Arial" w:cs="Arial" w:eastAsia="Arial" w:hAnsi="Arial"/>
          <w:sz w:val="18"/>
          <w:szCs w:val="18"/>
          <w:color w:val="auto"/>
        </w:rPr>
        <w:t>has served as our Vice President of Biology since March 2016. Prior to joining our company, Dr. Davis was</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of Preclinical Oncology and PTC Therapeutics,</w:t>
      </w:r>
    </w:p>
    <w:p>
      <w:pPr>
        <w:spacing w:after="0" w:line="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5" w:right="4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60"/>
        <w:spacing w:after="0" w:line="243" w:lineRule="auto"/>
        <w:rPr>
          <w:sz w:val="20"/>
          <w:szCs w:val="20"/>
          <w:color w:val="auto"/>
        </w:rPr>
      </w:pPr>
      <w:r>
        <w:rPr>
          <w:rFonts w:ascii="Arial" w:cs="Arial" w:eastAsia="Arial" w:hAnsi="Arial"/>
          <w:sz w:val="18"/>
          <w:szCs w:val="18"/>
          <w:color w:val="auto"/>
        </w:rPr>
        <w:t>where he was responsible for building and developing the internal oncology portfolio. During his 13 year tenure at PTC Therapeutics, Dr. Davis’s group developed three drug candidates, two of which (PTC299 and PTC596) have entered clinical trials. His industry experience began at Pharmacia Corporation, where he led a team tasked with expanding the selective COX2 inhibitor celecoxib (Celebrex, Pfizer) into the oncology arena. Dr. Davis has co-authored over 20 manuscripts and is an inventor on over 10 issued U.S. patents. Dr. Davis received a B.S. in Microbiology from Iowa State University and a Ph.D. in Microbiology and Immunology from the University of Kentucky. He also completed a Postdoctoral Fellowship at the University of Wisconsin, Madison.</w:t>
      </w:r>
    </w:p>
    <w:p>
      <w:pPr>
        <w:spacing w:after="0" w:line="172"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b w:val="1"/>
          <w:bCs w:val="1"/>
          <w:color w:val="auto"/>
        </w:rPr>
        <w:t xml:space="preserve">Melissa Dumble, Ph.D. </w:t>
      </w:r>
      <w:r>
        <w:rPr>
          <w:rFonts w:ascii="Arial" w:cs="Arial" w:eastAsia="Arial" w:hAnsi="Arial"/>
          <w:sz w:val="18"/>
          <w:szCs w:val="18"/>
          <w:color w:val="auto"/>
        </w:rPr>
        <w:t>has served as our Vice President of Pharmacology and Translational Medicine since October 2017.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joining our company, Dr. Dumble was a Research Leader at Bristol-Myers Squibb (BMS, Lawrenceville site) developing small molecules to regulate tumor intrinsic targets that may sensitize cancers to immuno-oncology agents. Before her tenure at BMS, she worked at PTC Therapeutics and Enzon Pharmaceuticals, leading drug discovery projects in oncology, infectious disease and genetic disorders from lead optimization to clinical trials. Dr. Dumble began her career at GSK Oncology, training as a pharmacologist and working on many of the marketed kinase inhibitors (e.g. Votrient</w:t>
      </w:r>
      <w:r>
        <w:rPr>
          <w:rFonts w:ascii="Arial" w:cs="Arial" w:eastAsia="Arial" w:hAnsi="Arial"/>
          <w:sz w:val="15"/>
          <w:szCs w:val="15"/>
          <w:color w:val="auto"/>
        </w:rPr>
        <w:t>TM</w:t>
      </w:r>
      <w:r>
        <w:rPr>
          <w:rFonts w:ascii="Arial" w:cs="Arial" w:eastAsia="Arial" w:hAnsi="Arial"/>
          <w:sz w:val="18"/>
          <w:szCs w:val="18"/>
          <w:color w:val="auto"/>
        </w:rPr>
        <w:t>, Mekinist</w:t>
      </w:r>
      <w:r>
        <w:rPr>
          <w:rFonts w:ascii="Arial" w:cs="Arial" w:eastAsia="Arial" w:hAnsi="Arial"/>
          <w:sz w:val="15"/>
          <w:szCs w:val="15"/>
          <w:color w:val="auto"/>
        </w:rPr>
        <w:t>TM</w:t>
      </w:r>
      <w:r>
        <w:rPr>
          <w:rFonts w:ascii="Arial" w:cs="Arial" w:eastAsia="Arial" w:hAnsi="Arial"/>
          <w:sz w:val="18"/>
          <w:szCs w:val="18"/>
          <w:color w:val="auto"/>
        </w:rPr>
        <w:t>, Tafinlar</w:t>
      </w:r>
      <w:r>
        <w:rPr>
          <w:rFonts w:ascii="Arial" w:cs="Arial" w:eastAsia="Arial" w:hAnsi="Arial"/>
          <w:sz w:val="15"/>
          <w:szCs w:val="15"/>
          <w:color w:val="auto"/>
        </w:rPr>
        <w:t>TM</w:t>
      </w:r>
      <w:r>
        <w:rPr>
          <w:rFonts w:ascii="Arial" w:cs="Arial" w:eastAsia="Arial" w:hAnsi="Arial"/>
          <w:sz w:val="18"/>
          <w:szCs w:val="18"/>
          <w:color w:val="auto"/>
        </w:rPr>
        <w:t>). In addition, she led the team of scientists developing an oral Akt inhibitor to clinical trials. Dr. Dumble has co-authored over 20 manuscripts and is an inventor on 5 issued patents. Dr. Dumble received a B.S. in Biochemistry and Human Biology and a Ph.D. in Cell and Molecular Biology from the University of Western Australia. She also completed a Postdoctoral Fellowship at Baylor College of Medicine, Houston. Her studies were based on understanding the role of p53 in stem cell dynamics, cancer and aging.</w:t>
      </w:r>
    </w:p>
    <w:p>
      <w:pPr>
        <w:spacing w:after="0" w:line="180"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b w:val="1"/>
          <w:bCs w:val="1"/>
          <w:color w:val="auto"/>
        </w:rPr>
        <w:t xml:space="preserve">Binh Vu, Ph.D. </w:t>
      </w:r>
      <w:r>
        <w:rPr>
          <w:rFonts w:ascii="Arial" w:cs="Arial" w:eastAsia="Arial" w:hAnsi="Arial"/>
          <w:sz w:val="18"/>
          <w:szCs w:val="18"/>
          <w:color w:val="auto"/>
        </w:rPr>
        <w:t>has served as our Vice President of Chemistry since June 2015 and served as our Director of Research from</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2013 to October 2014 and our Vice President of Pre-Clinical Discovery from November 2014 to May 2015. Prior to joining our company, Dr. Vu was a Research Leader at Roche where he spent 15 years working in small molecule oncology drug discovery. While at Roche, Dr. Vu was a key contributor to the discovery and development of Nutlins, small molecule MDM2 antagonists which target the p53 pathway. He has extensively published on p53 biology and drug discovery, and is an inventor on 14 issued U.S. patents. Dr. Vu received a B.S. in Chemistry from the University of California, Irvine and a Ph.D. in Chemistry from the University of California, Los Angeles. He also completed an NIH Postdoctoral Fellowship at the University of Texas at Austin.</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Board Composition</w:t>
      </w:r>
    </w:p>
    <w:p>
      <w:pPr>
        <w:spacing w:after="0" w:line="214" w:lineRule="exact"/>
        <w:rPr>
          <w:sz w:val="20"/>
          <w:szCs w:val="20"/>
          <w:color w:val="auto"/>
        </w:rPr>
      </w:pPr>
    </w:p>
    <w:p>
      <w:pPr>
        <w:ind w:left="660"/>
        <w:spacing w:after="0"/>
        <w:tabs>
          <w:tab w:leader="none" w:pos="4840" w:val="left"/>
        </w:tabs>
        <w:rPr>
          <w:sz w:val="20"/>
          <w:szCs w:val="20"/>
          <w:color w:val="auto"/>
        </w:rPr>
      </w:pPr>
      <w:r>
        <w:rPr>
          <w:rFonts w:ascii="Arial" w:cs="Arial" w:eastAsia="Arial" w:hAnsi="Arial"/>
          <w:sz w:val="18"/>
          <w:szCs w:val="18"/>
          <w:color w:val="auto"/>
        </w:rPr>
        <w:t>Our board of directors currently consists of</w:t>
      </w:r>
      <w:r>
        <w:rPr>
          <w:sz w:val="20"/>
          <w:szCs w:val="20"/>
          <w:color w:val="auto"/>
        </w:rPr>
        <w:tab/>
      </w:r>
      <w:r>
        <w:rPr>
          <w:rFonts w:ascii="Arial" w:cs="Arial" w:eastAsia="Arial" w:hAnsi="Arial"/>
          <w:sz w:val="17"/>
          <w:szCs w:val="17"/>
          <w:color w:val="auto"/>
        </w:rPr>
        <w:t>members. After the completion of this offering, the number of directors will be</w:t>
      </w:r>
    </w:p>
    <w:p>
      <w:pPr>
        <w:spacing w:after="0" w:line="18"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fixed by our board of directors, subject to the terms of our amended and restated certificate of incorporation and amended and restated bylaws. The voting agreement and the provisions of our current certificate of incorporation that govern the election and designation of our directors will terminate in connection with this offering, after which no contractual obligations will concern the election of our directors. Each of our current directors will continue to serve as a director until the election and qualification of his or her successor, or until his or her earlier death, resignation or removal.</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Classified Board of Directors</w:t>
      </w:r>
    </w:p>
    <w:p>
      <w:pPr>
        <w:spacing w:after="0" w:line="214"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Our amended and restated certificate of incorporation, which will be effective immediately prior to the completion of this offering, will provide that our board of directors will be divided into three classes with staggered three-year terms. Only one class of directors will be elected at each annual meeting of</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76" w:lineRule="auto"/>
        <w:rPr>
          <w:sz w:val="20"/>
          <w:szCs w:val="20"/>
          <w:color w:val="auto"/>
        </w:rPr>
      </w:pPr>
      <w:r>
        <w:rPr>
          <w:rFonts w:ascii="Arial" w:cs="Arial" w:eastAsia="Arial" w:hAnsi="Arial"/>
          <w:sz w:val="18"/>
          <w:szCs w:val="18"/>
          <w:color w:val="auto"/>
        </w:rPr>
        <w:t>stockholders, with the other classes continuing for the remainder of their respective three-year terms. Our directors will be divided among the three classes as follows:</w:t>
      </w:r>
    </w:p>
    <w:p>
      <w:pPr>
        <w:spacing w:after="0" w:line="50"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2860" w:type="dxa"/>
            <w:vAlign w:val="bottom"/>
            <w:gridSpan w:val="2"/>
          </w:tcPr>
          <w:p>
            <w:pPr>
              <w:spacing w:after="0"/>
              <w:rPr>
                <w:sz w:val="20"/>
                <w:szCs w:val="20"/>
                <w:color w:val="auto"/>
              </w:rPr>
            </w:pPr>
            <w:r>
              <w:rPr>
                <w:rFonts w:ascii="Arial" w:cs="Arial" w:eastAsia="Arial" w:hAnsi="Arial"/>
                <w:sz w:val="18"/>
                <w:szCs w:val="18"/>
                <w:color w:val="auto"/>
              </w:rPr>
              <w:t>•  The Class I directors will be</w:t>
            </w:r>
          </w:p>
        </w:tc>
        <w:tc>
          <w:tcPr>
            <w:tcW w:w="7460" w:type="dxa"/>
            <w:vAlign w:val="bottom"/>
          </w:tcPr>
          <w:p>
            <w:pPr>
              <w:ind w:left="360"/>
              <w:spacing w:after="0"/>
              <w:rPr>
                <w:sz w:val="20"/>
                <w:szCs w:val="20"/>
                <w:color w:val="auto"/>
              </w:rPr>
            </w:pPr>
            <w:r>
              <w:rPr>
                <w:rFonts w:ascii="Arial" w:cs="Arial" w:eastAsia="Arial" w:hAnsi="Arial"/>
                <w:sz w:val="18"/>
                <w:szCs w:val="18"/>
                <w:color w:val="auto"/>
              </w:rPr>
              <w:t>, and their terms will expire at the annual meeting of stockholders to be held in 2021;</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tcPr>
          <w:p>
            <w:pPr>
              <w:ind w:left="80"/>
              <w:spacing w:after="0"/>
              <w:rPr>
                <w:sz w:val="20"/>
                <w:szCs w:val="20"/>
                <w:color w:val="auto"/>
              </w:rPr>
            </w:pPr>
            <w:r>
              <w:rPr>
                <w:rFonts w:ascii="Arial" w:cs="Arial" w:eastAsia="Arial" w:hAnsi="Arial"/>
                <w:sz w:val="18"/>
                <w:szCs w:val="18"/>
                <w:color w:val="auto"/>
              </w:rPr>
              <w:t>The Class II directors will be</w:t>
            </w:r>
          </w:p>
        </w:tc>
        <w:tc>
          <w:tcPr>
            <w:tcW w:w="7460" w:type="dxa"/>
            <w:vAlign w:val="bottom"/>
          </w:tcPr>
          <w:p>
            <w:pPr>
              <w:ind w:left="400"/>
              <w:spacing w:after="0"/>
              <w:rPr>
                <w:sz w:val="20"/>
                <w:szCs w:val="20"/>
                <w:color w:val="auto"/>
              </w:rPr>
            </w:pPr>
            <w:r>
              <w:rPr>
                <w:rFonts w:ascii="Arial" w:cs="Arial" w:eastAsia="Arial" w:hAnsi="Arial"/>
                <w:sz w:val="18"/>
                <w:szCs w:val="18"/>
                <w:color w:val="auto"/>
                <w:w w:val="99"/>
              </w:rPr>
              <w:t>, and their terms will expire at the annual meeting of stockholders to be held in 2022; and</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tcPr>
          <w:p>
            <w:pPr>
              <w:ind w:left="80"/>
              <w:spacing w:after="0"/>
              <w:rPr>
                <w:sz w:val="20"/>
                <w:szCs w:val="20"/>
                <w:color w:val="auto"/>
              </w:rPr>
            </w:pPr>
            <w:r>
              <w:rPr>
                <w:rFonts w:ascii="Arial" w:cs="Arial" w:eastAsia="Arial" w:hAnsi="Arial"/>
                <w:sz w:val="18"/>
                <w:szCs w:val="18"/>
                <w:color w:val="auto"/>
              </w:rPr>
              <w:t>The Class III directors will be</w:t>
            </w:r>
          </w:p>
        </w:tc>
        <w:tc>
          <w:tcPr>
            <w:tcW w:w="7460" w:type="dxa"/>
            <w:vAlign w:val="bottom"/>
          </w:tcPr>
          <w:p>
            <w:pPr>
              <w:ind w:left="460"/>
              <w:spacing w:after="0"/>
              <w:rPr>
                <w:sz w:val="20"/>
                <w:szCs w:val="20"/>
                <w:color w:val="auto"/>
              </w:rPr>
            </w:pPr>
            <w:r>
              <w:rPr>
                <w:rFonts w:ascii="Arial" w:cs="Arial" w:eastAsia="Arial" w:hAnsi="Arial"/>
                <w:sz w:val="18"/>
                <w:szCs w:val="18"/>
                <w:color w:val="auto"/>
              </w:rPr>
              <w:t>, and their terms will expire at the annual meeting of stockholders to be held in 2023.</w:t>
            </w:r>
          </w:p>
        </w:tc>
      </w:tr>
    </w:tbl>
    <w:p>
      <w:pPr>
        <w:spacing w:after="0" w:line="176"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and amended and restated bylaws. Any additional directorships resulting from an increase in the number of directors will be distributed among the three classes so that, as nearly as possible, each class will consist of one third of our directors. This classification of our board of directors may have the effect of delaying or preventing changes in control of our company.</w:t>
      </w: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Director Independence</w:t>
      </w:r>
    </w:p>
    <w:p>
      <w:pPr>
        <w:spacing w:after="0" w:line="21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intend to apply to list our common stock on the Nasdaq Global Market. Under the rules of the Nasdaq Stock Market LLC, or Nasdaq, independent directors must comprise a majority of a listed company’s board of directors within one year of the completion of this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Securities Exchange Act of 1934, as amended, or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0"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70"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To be considered independent for purposes of Rule 10C-1 and under the rules of Nasdaq, the board of directors of a listed company must affirmatively determine that each member of the compensation committee is independent, including a consideration of all factors specifically relevant to determining whether the director has a relationship to the company that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79" w:lineRule="exact"/>
        <w:rPr>
          <w:sz w:val="20"/>
          <w:szCs w:val="20"/>
          <w:color w:val="auto"/>
        </w:rPr>
      </w:pPr>
    </w:p>
    <w:p>
      <w:pPr>
        <w:jc w:val="both"/>
        <w:ind w:left="120" w:right="480" w:firstLine="551"/>
        <w:spacing w:after="0" w:line="255" w:lineRule="auto"/>
        <w:rPr>
          <w:sz w:val="20"/>
          <w:szCs w:val="20"/>
          <w:color w:val="auto"/>
        </w:rPr>
      </w:pPr>
      <w:r>
        <w:rPr>
          <w:rFonts w:ascii="Arial" w:cs="Arial" w:eastAsia="Arial" w:hAnsi="Arial"/>
          <w:sz w:val="18"/>
          <w:szCs w:val="18"/>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00"/>
          </w:cols>
          <w:pgMar w:left="320" w:top="455" w:right="47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her responsibilities. Based upon information requested from and provided by each director concerning his or her background, employment</w:t>
      </w:r>
    </w:p>
    <w:p>
      <w:pPr>
        <w:spacing w:after="0" w:line="13" w:lineRule="exact"/>
        <w:rPr>
          <w:sz w:val="20"/>
          <w:szCs w:val="20"/>
          <w:color w:val="auto"/>
        </w:rPr>
      </w:pPr>
    </w:p>
    <w:p>
      <w:pPr>
        <w:ind w:left="120"/>
        <w:spacing w:after="0"/>
        <w:tabs>
          <w:tab w:leader="none" w:pos="7880" w:val="left"/>
          <w:tab w:leader="none" w:pos="9780" w:val="left"/>
        </w:tabs>
        <w:rPr>
          <w:sz w:val="20"/>
          <w:szCs w:val="20"/>
          <w:color w:val="auto"/>
        </w:rPr>
      </w:pPr>
      <w:r>
        <w:rPr>
          <w:rFonts w:ascii="Arial" w:cs="Arial" w:eastAsia="Arial" w:hAnsi="Arial"/>
          <w:sz w:val="18"/>
          <w:szCs w:val="18"/>
          <w:color w:val="auto"/>
        </w:rPr>
        <w:t>and affiliations, including family relationships, our board of directors has determined that</w:t>
      </w:r>
      <w:r>
        <w:rPr>
          <w:sz w:val="20"/>
          <w:szCs w:val="20"/>
          <w:color w:val="auto"/>
        </w:rPr>
        <w:tab/>
      </w:r>
      <w:r>
        <w:rPr>
          <w:rFonts w:ascii="Arial" w:cs="Arial" w:eastAsia="Arial" w:hAnsi="Arial"/>
          <w:sz w:val="18"/>
          <w:szCs w:val="18"/>
          <w:color w:val="auto"/>
        </w:rPr>
        <w:t>, representing</w:t>
      </w:r>
      <w:r>
        <w:rPr>
          <w:sz w:val="20"/>
          <w:szCs w:val="20"/>
          <w:color w:val="auto"/>
        </w:rPr>
        <w:tab/>
      </w:r>
      <w:r>
        <w:rPr>
          <w:rFonts w:ascii="Arial" w:cs="Arial" w:eastAsia="Arial" w:hAnsi="Arial"/>
          <w:sz w:val="18"/>
          <w:szCs w:val="18"/>
          <w:color w:val="auto"/>
        </w:rPr>
        <w:t>of</w:t>
      </w:r>
    </w:p>
    <w:p>
      <w:pPr>
        <w:ind w:left="120"/>
        <w:spacing w:after="0" w:line="234" w:lineRule="auto"/>
        <w:tabs>
          <w:tab w:leader="none" w:pos="1160" w:val="left"/>
        </w:tabs>
        <w:rPr>
          <w:sz w:val="20"/>
          <w:szCs w:val="20"/>
          <w:color w:val="auto"/>
        </w:rPr>
      </w:pPr>
      <w:r>
        <w:rPr>
          <w:rFonts w:ascii="Arial" w:cs="Arial" w:eastAsia="Arial" w:hAnsi="Arial"/>
          <w:sz w:val="18"/>
          <w:szCs w:val="18"/>
          <w:color w:val="auto"/>
        </w:rPr>
        <w:t>our</w:t>
      </w:r>
      <w:r>
        <w:rPr>
          <w:sz w:val="20"/>
          <w:szCs w:val="20"/>
          <w:color w:val="auto"/>
        </w:rPr>
        <w:tab/>
      </w:r>
      <w:r>
        <w:rPr>
          <w:rFonts w:ascii="Arial" w:cs="Arial" w:eastAsia="Arial" w:hAnsi="Arial"/>
          <w:sz w:val="18"/>
          <w:szCs w:val="18"/>
          <w:color w:val="auto"/>
        </w:rPr>
        <w:t>directors, do not have a relationship that would interfere with the exercise of independent judgment in carrying out the</w:t>
      </w:r>
    </w:p>
    <w:p>
      <w:pPr>
        <w:spacing w:after="0" w:line="1" w:lineRule="exact"/>
        <w:rPr>
          <w:sz w:val="20"/>
          <w:szCs w:val="20"/>
          <w:color w:val="auto"/>
        </w:rPr>
      </w:pPr>
    </w:p>
    <w:p>
      <w:pPr>
        <w:ind w:left="120" w:right="160"/>
        <w:spacing w:after="0" w:line="250" w:lineRule="auto"/>
        <w:rPr>
          <w:sz w:val="20"/>
          <w:szCs w:val="20"/>
          <w:color w:val="auto"/>
        </w:rPr>
      </w:pPr>
      <w:r>
        <w:rPr>
          <w:rFonts w:ascii="Arial" w:cs="Arial" w:eastAsia="Arial" w:hAnsi="Arial"/>
          <w:sz w:val="18"/>
          <w:szCs w:val="18"/>
          <w:color w:val="auto"/>
        </w:rPr>
        <w:t>responsibilities of a director and that each of these directors is “independent” as that term is defined under the rules of Nasdaq. Dr. Mack is not an independent director because he is our President and Chief Executive Officer.</w:t>
      </w:r>
    </w:p>
    <w:p>
      <w:pPr>
        <w:spacing w:after="0" w:line="168"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 There are no family relationships among any of our directors or executive officers.</w:t>
      </w: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Board Leadership Structure</w:t>
      </w:r>
    </w:p>
    <w:p>
      <w:pPr>
        <w:spacing w:after="0" w:line="214" w:lineRule="exact"/>
        <w:rPr>
          <w:sz w:val="20"/>
          <w:szCs w:val="20"/>
          <w:color w:val="auto"/>
        </w:rPr>
      </w:pPr>
    </w:p>
    <w:p>
      <w:pPr>
        <w:ind w:left="120" w:right="200" w:firstLine="551"/>
        <w:spacing w:after="0" w:line="243" w:lineRule="auto"/>
        <w:rPr>
          <w:sz w:val="20"/>
          <w:szCs w:val="20"/>
          <w:color w:val="auto"/>
        </w:rPr>
      </w:pPr>
      <w:r>
        <w:rPr>
          <w:rFonts w:ascii="Arial" w:cs="Arial" w:eastAsia="Arial" w:hAnsi="Arial"/>
          <w:sz w:val="18"/>
          <w:szCs w:val="18"/>
          <w:color w:val="auto"/>
        </w:rPr>
        <w:t>Our board of directors is currently chaired by Richard Heyman, Ph.D. As a general policy, our board of directors believes that separation of the positions of chair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Dr. Mack serves as our Chief Executive Officer while Dr. Heyman serves as the chair of our board of directors, but is not an officer. We currently expect and intend the positions of chair of our board of directors and Chief Executive Officer to continue to be held by two individuals in the future.</w:t>
      </w: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Role of the Board in Risk Oversight</w:t>
      </w:r>
    </w:p>
    <w:p>
      <w:pPr>
        <w:spacing w:after="0" w:line="21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audit committee is responsible for overseeing the management of risks relating to accounting matters and financial reporting. The compensation committee is responsible for overseeing the management of risks relating to our executive compensation plans and arrangements.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Board Committees</w:t>
      </w:r>
    </w:p>
    <w:p>
      <w:pPr>
        <w:spacing w:after="0" w:line="21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Our board of directors has an audit committee, a compensation committee and a corporate governance and nominating committee, each of which has the composition and the responsibilities described below. Each committee intends to adopt a written charter that satisfies the applicable rules and regulations of the Securities Exchange Commission, or SEC, and the listing standards of Nasdaq, which we will post on our website at www.pmvpharma.com upon the completion of this offering. Information contained on, or that can be accessible through, our website is not a part of this prospectus and the inclusion of our website address in this prospectus is an inactive textual reference only.</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Upon the effectiveness of the registration statement of which this prospectus forms a part, the members of our audit committee will be , and will be the chair of our audit committee. Our board of directors has determined that all members are independent under the listing standards of Nasdaq and Rule 10A-3(b)(1) of the Exchange Act and that is an audit committee</w:t>
      </w:r>
    </w:p>
    <w:p>
      <w:pPr>
        <w:spacing w:after="0" w:line="1"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color w:val="auto"/>
        </w:rPr>
        <w:t>financial expert, as that term is defined under the SEC rules implementing Section 407 of the Sarbanes-Oxley Act of 2012, as amended, and possesses financial sophistication, as defined under the rules of Nasdaq. Our board of directors has also determined that each member of our audit committee can read and understand fundamental financial statements, in accordance with applicable requirements. Our audit committee will oversee our corporate accounting and financial reporting process and assist our board of directors in monitoring our financial systems. Among other matters, our audit committee will also:</w:t>
      </w:r>
    </w:p>
    <w:p>
      <w:pPr>
        <w:spacing w:after="0" w:line="81" w:lineRule="exact"/>
        <w:rPr>
          <w:sz w:val="20"/>
          <w:szCs w:val="20"/>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select and hire the independent registered public accounting firm to audit our financial statements;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help to ensure the independence and performance of the independent registered public accounting firm;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approve audit and non-audit services and fees;</w:t>
      </w:r>
    </w:p>
    <w:p>
      <w:pPr>
        <w:spacing w:after="0" w:line="117" w:lineRule="exact"/>
        <w:rPr>
          <w:rFonts w:ascii="Arial" w:cs="Arial" w:eastAsia="Arial" w:hAnsi="Arial"/>
          <w:sz w:val="18"/>
          <w:szCs w:val="18"/>
          <w:color w:val="auto"/>
        </w:rPr>
      </w:pPr>
    </w:p>
    <w:p>
      <w:pPr>
        <w:jc w:val="both"/>
        <w:ind w:left="880" w:right="320" w:hanging="224"/>
        <w:spacing w:after="0" w:line="255"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 financial statements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prepare the audit committee report that the SEC requires to be included in our annual proxy statement;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 reports and communications from the independent registered public accounting firm;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 disclosure controls and procedures;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 and monitor conflicts of interest situations, and approve or prohibit any involvement in matters that may involve a conflict of interest or taking of a corporate opportunity;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 related party transactions; and</w:t>
      </w:r>
    </w:p>
    <w:p>
      <w:pPr>
        <w:spacing w:after="0" w:line="117" w:lineRule="exact"/>
        <w:rPr>
          <w:rFonts w:ascii="Arial" w:cs="Arial" w:eastAsia="Arial" w:hAnsi="Arial"/>
          <w:sz w:val="18"/>
          <w:szCs w:val="18"/>
          <w:color w:val="auto"/>
        </w:rPr>
      </w:pPr>
    </w:p>
    <w:p>
      <w:pPr>
        <w:ind w:left="880" w:right="180" w:hanging="224"/>
        <w:spacing w:after="0" w:line="276"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effectiveness of the registration statement of which this prospectus forms a part, the members of our compensation</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committee will be , and will be the chair of our compensation committee. Our board of directors has determined that all members are independent under the listing standards of Nasdaq and are “non-employee directors” as defined in Rule 16b-3 promulgated under the Exchange Act. Our compensation committee will oversee our compensation policies, plans and benefits programs. Among other matters, our compensation committee will also:</w:t>
      </w:r>
    </w:p>
    <w:p>
      <w:pPr>
        <w:spacing w:after="0" w:line="82" w:lineRule="exact"/>
        <w:rPr>
          <w:sz w:val="20"/>
          <w:szCs w:val="20"/>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oversee our overall compensation philosophy and compensation policies, plans and benefit programs;</w:t>
      </w:r>
    </w:p>
    <w:p>
      <w:pPr>
        <w:spacing w:after="0" w:line="117" w:lineRule="exact"/>
        <w:rPr>
          <w:rFonts w:ascii="Arial" w:cs="Arial" w:eastAsia="Arial" w:hAnsi="Arial"/>
          <w:sz w:val="18"/>
          <w:szCs w:val="18"/>
          <w:color w:val="auto"/>
        </w:rPr>
      </w:pPr>
    </w:p>
    <w:p>
      <w:pPr>
        <w:ind w:left="5480" w:right="180" w:hanging="4824"/>
        <w:spacing w:after="0" w:line="448" w:lineRule="auto"/>
        <w:tabs>
          <w:tab w:leader="none" w:pos="878"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and approve or recommend to the board of directors for approval compensation for our executive officers and directors; 158</w:t>
      </w:r>
    </w:p>
    <w:p>
      <w:pPr>
        <w:sectPr>
          <w:pgSz w:w="11900" w:h="16838" w:orient="portrait"/>
          <w:cols w:equalWidth="0" w:num="1">
            <w:col w:w="11100"/>
          </w:cols>
          <w:pgMar w:left="320" w:top="455" w:right="47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prepare the compensation committee report that the SEC will require to be included in our annual proxy statement;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administer our equity compensation plans.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Governance and Nominating Committee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effectiveness of the registration statement of which this prospectus forms a part, the members of our corporate</w:t>
      </w:r>
    </w:p>
    <w:p>
      <w:pPr>
        <w:spacing w:after="0" w:line="18" w:lineRule="exact"/>
        <w:rPr>
          <w:sz w:val="20"/>
          <w:szCs w:val="20"/>
          <w:color w:val="auto"/>
        </w:rPr>
      </w:pPr>
    </w:p>
    <w:p>
      <w:pPr>
        <w:ind w:left="120" w:right="320"/>
        <w:spacing w:after="0" w:line="239" w:lineRule="auto"/>
        <w:rPr>
          <w:sz w:val="20"/>
          <w:szCs w:val="20"/>
          <w:color w:val="auto"/>
        </w:rPr>
      </w:pPr>
      <w:r>
        <w:rPr>
          <w:rFonts w:ascii="Arial" w:cs="Arial" w:eastAsia="Arial" w:hAnsi="Arial"/>
          <w:sz w:val="18"/>
          <w:szCs w:val="18"/>
          <w:color w:val="auto"/>
        </w:rPr>
        <w:t>governance and nominating committee will be , and will be the chair of our corporate governance and nominating committee. Our board of directors has determined that all members of the corporate governance and nominating committee are independent under the listing standards of Nasdaq. Our corporate governance and nominating committee will oversee and assist our board of directors in reviewing and recommending nominees for election as directors. Among other matters, our corporate governance and nominating committee will:</w:t>
      </w:r>
    </w:p>
    <w:p>
      <w:pPr>
        <w:spacing w:after="0" w:line="81" w:lineRule="exact"/>
        <w:rPr>
          <w:sz w:val="20"/>
          <w:szCs w:val="20"/>
          <w:color w:val="auto"/>
        </w:rPr>
      </w:pPr>
    </w:p>
    <w:p>
      <w:pPr>
        <w:ind w:left="880" w:right="80" w:hanging="224"/>
        <w:spacing w:after="0" w:line="276" w:lineRule="auto"/>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identify, evaluate and make recommendations to our board of directors regarding nominees for election to our board of directors and its committees;</w:t>
      </w:r>
    </w:p>
    <w:p>
      <w:pPr>
        <w:spacing w:after="0" w:line="50" w:lineRule="exact"/>
        <w:rPr>
          <w:rFonts w:ascii="Arial" w:cs="Arial" w:eastAsia="Arial" w:hAnsi="Arial"/>
          <w:sz w:val="18"/>
          <w:szCs w:val="18"/>
          <w:color w:val="auto"/>
        </w:rPr>
      </w:pPr>
    </w:p>
    <w:p>
      <w:pPr>
        <w:ind w:left="880" w:right="600" w:hanging="224"/>
        <w:spacing w:after="0" w:line="276" w:lineRule="auto"/>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consider and make recommendations to our board of directors regarding the composition of our board of directors and its committees;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3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14"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70" w:lineRule="exact"/>
        <w:rPr>
          <w:sz w:val="20"/>
          <w:szCs w:val="20"/>
          <w:color w:val="auto"/>
        </w:rPr>
      </w:pPr>
    </w:p>
    <w:p>
      <w:pPr>
        <w:ind w:left="120" w:right="140" w:firstLine="1351"/>
        <w:spacing w:after="0" w:line="248" w:lineRule="auto"/>
        <w:rPr>
          <w:sz w:val="20"/>
          <w:szCs w:val="20"/>
          <w:color w:val="auto"/>
        </w:rPr>
      </w:pPr>
      <w:r>
        <w:rPr>
          <w:rFonts w:ascii="Arial" w:cs="Arial" w:eastAsia="Arial" w:hAnsi="Arial"/>
          <w:sz w:val="18"/>
          <w:szCs w:val="18"/>
          <w:color w:val="auto"/>
        </w:rPr>
        <w:t>and have or may be deemed to have an interest in certain transactions requiring disclosure under Item 404 of Regulation S-K under the Securities Act of 1933, as amended, or Securities Act. These transactions between us and members of our compensation committee and affiliates of such members are disclosed in “Certain Relationships and Related Party Transactions,” and such disclosure is incorporated by reference herein.</w:t>
      </w: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Scientific Advisory Board</w:t>
      </w:r>
    </w:p>
    <w:p>
      <w:pPr>
        <w:spacing w:after="0" w:line="21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 xml:space="preserve">We have established a scientific advisory board composed of leading academic and industry scientists. We seek advice and input from these scientists on an </w:t>
      </w:r>
      <w:r>
        <w:rPr>
          <w:rFonts w:ascii="Arial" w:cs="Arial" w:eastAsia="Arial" w:hAnsi="Arial"/>
          <w:sz w:val="18"/>
          <w:szCs w:val="18"/>
          <w:i w:val="1"/>
          <w:iCs w:val="1"/>
          <w:color w:val="auto"/>
        </w:rPr>
        <w:t>ad hoc</w:t>
      </w:r>
      <w:r>
        <w:rPr>
          <w:rFonts w:ascii="Arial" w:cs="Arial" w:eastAsia="Arial" w:hAnsi="Arial"/>
          <w:sz w:val="18"/>
          <w:szCs w:val="18"/>
          <w:color w:val="auto"/>
        </w:rPr>
        <w:t xml:space="preserve"> basis, individually or as a group, to provide scientific and clinical feedback and advice related to our research and development platform and programs. The members of our advisory board consist of experts across a range of key disciplines relevant to our programs. Except for Drs. Levine and Heyman, who are members of our board of directors, our advisors are not our employees or directors and have no decision-making authority over our activities. Our advisors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 All of our advisors are affiliated with other entities and devote only a small portion of their time to us. Our advisors receive cash and equity compensation based upon consulting services rendered.</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5" w:right="47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14"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Prior to the completion of this offering, we intend to adopt a written code of business conduct and ethics that will apply to our directors, officers and employees, including our principal executive officer, principal financial officer, principal accounting officer or controller or persons performing similar functions. Following this offering, the code of business conduct and ethics will be available on our website at www.pmvpharma.com.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Information contained on, or that can be accessible through, our website is not a part of this prospectus and the inclusion of our website address in this prospectus is an inactive textual reference only.</w:t>
      </w: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 Compensation</w:t>
      </w:r>
    </w:p>
    <w:p>
      <w:pPr>
        <w:spacing w:after="0" w:line="214" w:lineRule="exact"/>
        <w:rPr>
          <w:sz w:val="20"/>
          <w:szCs w:val="20"/>
          <w:color w:val="auto"/>
        </w:rPr>
      </w:pPr>
    </w:p>
    <w:p>
      <w:pPr>
        <w:ind w:left="120" w:right="400" w:firstLine="551"/>
        <w:spacing w:after="0" w:line="277" w:lineRule="auto"/>
        <w:rPr>
          <w:sz w:val="20"/>
          <w:szCs w:val="20"/>
          <w:color w:val="auto"/>
        </w:rPr>
      </w:pPr>
      <w:r>
        <w:rPr>
          <w:rFonts w:ascii="Arial" w:cs="Arial" w:eastAsia="Arial" w:hAnsi="Arial"/>
          <w:sz w:val="17"/>
          <w:szCs w:val="17"/>
          <w:color w:val="auto"/>
        </w:rPr>
        <w:t>Prior to this offering, we did not have a formal policy with respect to compensation payable to our non-employee directors. We reimburse our directors for expenses associated with attending meetings of our board of directors and its committees. Following the completion of this offering, we expect to implement an annual cash and equity compensation program for our non-employee directors.</w:t>
      </w:r>
    </w:p>
    <w:p>
      <w:pPr>
        <w:spacing w:after="0" w:line="147"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The following table presents the total compensation that each of our then non-employee directors received during the year ended December 31, 2019.</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34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Fees Earned or</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gridSpan w:val="2"/>
          </w:tcPr>
          <w:p>
            <w:pPr>
              <w:jc w:val="center"/>
              <w:ind w:right="784"/>
              <w:spacing w:after="0"/>
              <w:rPr>
                <w:sz w:val="20"/>
                <w:szCs w:val="20"/>
                <w:color w:val="auto"/>
              </w:rPr>
            </w:pPr>
            <w:r>
              <w:rPr>
                <w:rFonts w:ascii="Arial" w:cs="Arial" w:eastAsia="Arial" w:hAnsi="Arial"/>
                <w:sz w:val="14"/>
                <w:szCs w:val="14"/>
                <w:b w:val="1"/>
                <w:bCs w:val="1"/>
                <w:color w:val="auto"/>
              </w:rPr>
              <w:t>All Other</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Paid in Cash</w:t>
            </w: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1860" w:type="dxa"/>
            <w:vAlign w:val="bottom"/>
            <w:gridSpan w:val="2"/>
          </w:tcPr>
          <w:p>
            <w:pPr>
              <w:jc w:val="center"/>
              <w:ind w:right="784"/>
              <w:spacing w:after="0"/>
              <w:rPr>
                <w:sz w:val="20"/>
                <w:szCs w:val="20"/>
                <w:color w:val="auto"/>
              </w:rPr>
            </w:pPr>
            <w:r>
              <w:rPr>
                <w:rFonts w:ascii="Arial" w:cs="Arial" w:eastAsia="Arial" w:hAnsi="Arial"/>
                <w:sz w:val="14"/>
                <w:szCs w:val="14"/>
                <w:b w:val="1"/>
                <w:bCs w:val="1"/>
                <w:color w:val="auto"/>
              </w:rPr>
              <w:t>Compensation</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7"/>
        </w:trPr>
        <w:tc>
          <w:tcPr>
            <w:tcW w:w="3540" w:type="dxa"/>
            <w:vAlign w:val="bottom"/>
          </w:tcPr>
          <w:p>
            <w:pPr>
              <w:spacing w:after="0"/>
              <w:rPr>
                <w:sz w:val="15"/>
                <w:szCs w:val="15"/>
                <w:color w:val="auto"/>
              </w:rPr>
            </w:pPr>
          </w:p>
        </w:tc>
        <w:tc>
          <w:tcPr>
            <w:tcW w:w="2780" w:type="dxa"/>
            <w:vAlign w:val="bottom"/>
            <w:gridSpan w:val="2"/>
          </w:tcPr>
          <w:p>
            <w:pPr>
              <w:jc w:val="right"/>
              <w:ind w:right="353"/>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5"/>
                <w:szCs w:val="15"/>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w:t>
            </w:r>
          </w:p>
        </w:tc>
      </w:tr>
      <w:tr>
        <w:trPr>
          <w:trHeight w:val="196"/>
        </w:trPr>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Arnold Levine, Ph.D.</w:t>
            </w:r>
          </w:p>
        </w:tc>
        <w:tc>
          <w:tcPr>
            <w:tcW w:w="17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100,000</w:t>
            </w:r>
          </w:p>
        </w:tc>
        <w:tc>
          <w:tcPr>
            <w:tcW w:w="840" w:type="dxa"/>
            <w:vAlign w:val="bottom"/>
            <w:tcBorders>
              <w:top w:val="single" w:sz="8" w:color="CCEEFF"/>
            </w:tcBorders>
            <w:shd w:val="clear" w:color="auto" w:fill="CCEEFF"/>
          </w:tcPr>
          <w:p>
            <w:pPr>
              <w:jc w:val="right"/>
              <w:ind w:right="584"/>
              <w:spacing w:after="0"/>
              <w:rPr>
                <w:sz w:val="20"/>
                <w:szCs w:val="20"/>
                <w:color w:val="auto"/>
              </w:rPr>
            </w:pPr>
            <w:r>
              <w:rPr>
                <w:rFonts w:ascii="Arial" w:cs="Arial" w:eastAsia="Arial" w:hAnsi="Arial"/>
                <w:sz w:val="15"/>
                <w:szCs w:val="15"/>
                <w:color w:val="auto"/>
                <w:w w:val="87"/>
              </w:rPr>
              <w:t>(1)</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Arnold Oronsky, Ph.D.</w:t>
            </w:r>
          </w:p>
        </w:tc>
        <w:tc>
          <w:tcPr>
            <w:tcW w:w="1740" w:type="dxa"/>
            <w:vAlign w:val="bottom"/>
          </w:tcPr>
          <w:p>
            <w:pPr>
              <w:spacing w:after="0"/>
              <w:rPr>
                <w:sz w:val="17"/>
                <w:szCs w:val="17"/>
                <w:color w:val="auto"/>
              </w:rPr>
            </w:pPr>
          </w:p>
        </w:tc>
        <w:tc>
          <w:tcPr>
            <w:tcW w:w="17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764"/>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Thilo Schroeder, Ph.D.</w:t>
            </w:r>
          </w:p>
        </w:tc>
        <w:tc>
          <w:tcPr>
            <w:tcW w:w="17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764"/>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Peter Thompson, M.D.</w:t>
            </w:r>
          </w:p>
        </w:tc>
        <w:tc>
          <w:tcPr>
            <w:tcW w:w="1740" w:type="dxa"/>
            <w:vAlign w:val="bottom"/>
          </w:tcPr>
          <w:p>
            <w:pPr>
              <w:spacing w:after="0"/>
              <w:rPr>
                <w:sz w:val="17"/>
                <w:szCs w:val="17"/>
                <w:color w:val="auto"/>
              </w:rPr>
            </w:pPr>
          </w:p>
        </w:tc>
        <w:tc>
          <w:tcPr>
            <w:tcW w:w="17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764"/>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Steve Winick, J.D.</w:t>
            </w:r>
            <w:r>
              <w:rPr>
                <w:rFonts w:ascii="Arial" w:cs="Arial" w:eastAsia="Arial" w:hAnsi="Arial"/>
                <w:sz w:val="15"/>
                <w:szCs w:val="15"/>
                <w:color w:val="auto"/>
              </w:rPr>
              <w:t>(2)</w:t>
            </w:r>
          </w:p>
        </w:tc>
        <w:tc>
          <w:tcPr>
            <w:tcW w:w="17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764"/>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6" w:lineRule="exact"/>
        <w:rPr>
          <w:sz w:val="20"/>
          <w:szCs w:val="20"/>
          <w:color w:val="auto"/>
        </w:rPr>
      </w:pPr>
    </w:p>
    <w:p>
      <w:pPr>
        <w:ind w:left="540" w:right="120" w:hanging="424"/>
        <w:spacing w:after="0" w:line="183" w:lineRule="auto"/>
        <w:tabs>
          <w:tab w:leader="none" w:pos="540" w:val="left"/>
        </w:tabs>
        <w:numPr>
          <w:ilvl w:val="0"/>
          <w:numId w:val="91"/>
        </w:numPr>
        <w:rPr>
          <w:rFonts w:ascii="Arial" w:cs="Arial" w:eastAsia="Arial" w:hAnsi="Arial"/>
          <w:sz w:val="24"/>
          <w:szCs w:val="24"/>
          <w:color w:val="auto"/>
          <w:vertAlign w:val="superscript"/>
        </w:rPr>
      </w:pPr>
      <w:r>
        <w:rPr>
          <w:rFonts w:ascii="Arial" w:cs="Arial" w:eastAsia="Arial" w:hAnsi="Arial"/>
          <w:sz w:val="14"/>
          <w:szCs w:val="14"/>
          <w:color w:val="auto"/>
        </w:rPr>
        <w:t>Dr. Levine received an annual compensation of $100,000 pursuant to a consulting agreement. For additional information regarding our consulting agreement with Dr. Levine, see “Certain Relationships and Related Party Transactions—Consulting Agreement with Arnold Levine, Ph.D.”</w:t>
      </w:r>
    </w:p>
    <w:p>
      <w:pPr>
        <w:ind w:left="120"/>
        <w:spacing w:after="0"/>
        <w:tabs>
          <w:tab w:leader="none" w:pos="520" w:val="left"/>
          <w:tab w:leader="none" w:pos="4740" w:val="left"/>
        </w:tabs>
        <w:rPr>
          <w:sz w:val="20"/>
          <w:szCs w:val="20"/>
          <w:color w:val="auto"/>
        </w:rPr>
      </w:pPr>
      <w:r>
        <w:rPr>
          <w:rFonts w:ascii="Arial" w:cs="Arial" w:eastAsia="Arial" w:hAnsi="Arial"/>
          <w:sz w:val="21"/>
          <w:szCs w:val="21"/>
          <w:color w:val="auto"/>
          <w:vertAlign w:val="superscript"/>
        </w:rPr>
        <w:t>(2)</w:t>
      </w:r>
      <w:r>
        <w:rPr>
          <w:sz w:val="20"/>
          <w:szCs w:val="20"/>
          <w:color w:val="auto"/>
        </w:rPr>
        <w:tab/>
      </w:r>
      <w:r>
        <w:rPr>
          <w:rFonts w:ascii="Arial" w:cs="Arial" w:eastAsia="Arial" w:hAnsi="Arial"/>
          <w:sz w:val="13"/>
          <w:szCs w:val="13"/>
          <w:color w:val="auto"/>
        </w:rPr>
        <w:t>Mr. Winick resigned from our board of directors effective</w:t>
      </w:r>
      <w:r>
        <w:rPr>
          <w:sz w:val="20"/>
          <w:szCs w:val="20"/>
          <w:color w:val="auto"/>
        </w:rPr>
        <w:tab/>
      </w:r>
      <w:r>
        <w:rPr>
          <w:rFonts w:ascii="Arial" w:cs="Arial" w:eastAsia="Arial" w:hAnsi="Arial"/>
          <w:sz w:val="14"/>
          <w:szCs w:val="14"/>
          <w:color w:val="auto"/>
        </w:rPr>
        <w:t>, 2020.</w:t>
      </w:r>
    </w:p>
    <w:p>
      <w:pPr>
        <w:spacing w:after="0" w:line="175" w:lineRule="exact"/>
        <w:rPr>
          <w:sz w:val="20"/>
          <w:szCs w:val="20"/>
          <w:color w:val="auto"/>
        </w:rPr>
      </w:pPr>
    </w:p>
    <w:p>
      <w:pPr>
        <w:ind w:left="120" w:right="60" w:firstLine="551"/>
        <w:spacing w:after="0" w:line="306" w:lineRule="auto"/>
        <w:rPr>
          <w:sz w:val="20"/>
          <w:szCs w:val="20"/>
          <w:color w:val="auto"/>
        </w:rPr>
      </w:pPr>
      <w:r>
        <w:rPr>
          <w:rFonts w:ascii="Arial" w:cs="Arial" w:eastAsia="Arial" w:hAnsi="Arial"/>
          <w:sz w:val="17"/>
          <w:szCs w:val="17"/>
          <w:color w:val="auto"/>
        </w:rPr>
        <w:t>Directors who are also our employees receive no additional compensation for their service as directors. Dr. Mack was an employee director during 2019. See the section titled “Executive Compensation” for additional information about Dr. Mack’s compensation.</w:t>
      </w:r>
    </w:p>
    <w:p>
      <w:pPr>
        <w:spacing w:after="0" w:line="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40"/>
          </w:cols>
          <w:pgMar w:left="320" w:top="455" w:right="4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14" w:lineRule="exact"/>
        <w:rPr>
          <w:sz w:val="20"/>
          <w:szCs w:val="20"/>
          <w:color w:val="auto"/>
        </w:rPr>
      </w:pPr>
    </w:p>
    <w:p>
      <w:pPr>
        <w:ind w:left="120" w:right="340" w:firstLine="551"/>
        <w:spacing w:after="0" w:line="276" w:lineRule="auto"/>
        <w:rPr>
          <w:sz w:val="20"/>
          <w:szCs w:val="20"/>
          <w:color w:val="auto"/>
        </w:rPr>
      </w:pPr>
      <w:r>
        <w:rPr>
          <w:rFonts w:ascii="Arial" w:cs="Arial" w:eastAsia="Arial" w:hAnsi="Arial"/>
          <w:sz w:val="18"/>
          <w:szCs w:val="18"/>
          <w:color w:val="auto"/>
        </w:rPr>
        <w:t>Our named executive officers for 2019, who consist of our principal executive officer and the next two most highly compensated executive officers, are:</w:t>
      </w:r>
    </w:p>
    <w:p>
      <w:pPr>
        <w:spacing w:after="0" w:line="50" w:lineRule="exact"/>
        <w:rPr>
          <w:sz w:val="20"/>
          <w:szCs w:val="20"/>
          <w:color w:val="auto"/>
        </w:rPr>
      </w:pPr>
    </w:p>
    <w:p>
      <w:pPr>
        <w:ind w:left="880" w:hanging="224"/>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David H. Mack, Ph.D., our President and Chief Executive Officer;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Winston Kung, our Chief Operating Officer and Chief Financial Officer;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Deepika Jalota, our Senior Vice President and Head of Regulatory Affairs.</w:t>
      </w: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Compensation Table</w:t>
      </w:r>
    </w:p>
    <w:p>
      <w:pPr>
        <w:spacing w:after="0" w:line="214" w:lineRule="exact"/>
        <w:rPr>
          <w:sz w:val="20"/>
          <w:szCs w:val="20"/>
          <w:color w:val="auto"/>
        </w:rPr>
      </w:pPr>
    </w:p>
    <w:p>
      <w:pPr>
        <w:ind w:left="120" w:right="900" w:firstLine="551"/>
        <w:spacing w:after="0" w:line="276" w:lineRule="auto"/>
        <w:rPr>
          <w:sz w:val="20"/>
          <w:szCs w:val="20"/>
          <w:color w:val="auto"/>
        </w:rPr>
      </w:pPr>
      <w:r>
        <w:rPr>
          <w:rFonts w:ascii="Arial" w:cs="Arial" w:eastAsia="Arial" w:hAnsi="Arial"/>
          <w:sz w:val="18"/>
          <w:szCs w:val="18"/>
          <w:color w:val="auto"/>
        </w:rPr>
        <w:t>The following table sets forth information regarding the compensation of our named executive officers for the year ended December 31, 2019.</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Nonequity</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Option</w:t>
            </w: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Incentive Plan</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30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Bonus</w:t>
            </w:r>
          </w:p>
        </w:tc>
        <w:tc>
          <w:tcPr>
            <w:tcW w:w="1180" w:type="dxa"/>
            <w:vAlign w:val="bottom"/>
            <w:gridSpan w:val="2"/>
          </w:tcPr>
          <w:p>
            <w:pPr>
              <w:jc w:val="center"/>
              <w:ind w:right="460"/>
              <w:spacing w:after="0" w:line="159" w:lineRule="exact"/>
              <w:rPr>
                <w:sz w:val="20"/>
                <w:szCs w:val="20"/>
                <w:color w:val="auto"/>
              </w:rPr>
            </w:pPr>
            <w:r>
              <w:rPr>
                <w:rFonts w:ascii="Arial" w:cs="Arial" w:eastAsia="Arial" w:hAnsi="Arial"/>
                <w:sz w:val="14"/>
                <w:szCs w:val="14"/>
                <w:b w:val="1"/>
                <w:bCs w:val="1"/>
                <w:color w:val="auto"/>
              </w:rPr>
              <w:t>Awards</w:t>
            </w:r>
          </w:p>
        </w:tc>
        <w:tc>
          <w:tcPr>
            <w:tcW w:w="128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Compensation</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940" w:type="dxa"/>
            <w:vAlign w:val="bottom"/>
            <w:tcBorders>
              <w:bottom w:val="single" w:sz="8" w:color="auto"/>
            </w:tcBorders>
            <w:vMerge w:val="continue"/>
          </w:tcPr>
          <w:p>
            <w:pPr>
              <w:spacing w:after="0"/>
              <w:rPr>
                <w:sz w:val="16"/>
                <w:szCs w:val="16"/>
                <w:color w:val="auto"/>
              </w:rPr>
            </w:pPr>
          </w:p>
        </w:tc>
        <w:tc>
          <w:tcPr>
            <w:tcW w:w="3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600" w:type="dxa"/>
            <w:vAlign w:val="bottom"/>
          </w:tcPr>
          <w:p>
            <w:pPr>
              <w:jc w:val="center"/>
              <w:ind w:right="41"/>
              <w:spacing w:after="0" w:line="167"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280" w:type="dxa"/>
            <w:vAlign w:val="bottom"/>
          </w:tcPr>
          <w:p>
            <w:pPr>
              <w:spacing w:after="0"/>
              <w:rPr>
                <w:sz w:val="16"/>
                <w:szCs w:val="16"/>
                <w:color w:val="auto"/>
              </w:rPr>
            </w:pPr>
          </w:p>
        </w:tc>
        <w:tc>
          <w:tcPr>
            <w:tcW w:w="720" w:type="dxa"/>
            <w:vAlign w:val="bottom"/>
          </w:tcPr>
          <w:p>
            <w:pPr>
              <w:jc w:val="center"/>
              <w:spacing w:after="0" w:line="167"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460" w:type="dxa"/>
            <w:vAlign w:val="bottom"/>
          </w:tcPr>
          <w:p>
            <w:pPr>
              <w:spacing w:after="0"/>
              <w:rPr>
                <w:sz w:val="16"/>
                <w:szCs w:val="16"/>
                <w:color w:val="auto"/>
              </w:rPr>
            </w:pPr>
          </w:p>
        </w:tc>
        <w:tc>
          <w:tcPr>
            <w:tcW w:w="1020" w:type="dxa"/>
            <w:vAlign w:val="bottom"/>
          </w:tcPr>
          <w:p>
            <w:pPr>
              <w:jc w:val="center"/>
              <w:spacing w:after="0" w:line="167"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(3)</w:t>
            </w:r>
          </w:p>
        </w:tc>
        <w:tc>
          <w:tcPr>
            <w:tcW w:w="2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5"/>
        </w:trPr>
        <w:tc>
          <w:tcPr>
            <w:tcW w:w="496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7"/>
                <w:szCs w:val="17"/>
                <w:color w:val="auto"/>
              </w:rPr>
              <w:t>David H. Mack, Ph.D.</w:t>
            </w:r>
          </w:p>
        </w:tc>
        <w:tc>
          <w:tcPr>
            <w:tcW w:w="2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ind w:left="60"/>
              <w:spacing w:after="0" w:line="155" w:lineRule="exact"/>
              <w:rPr>
                <w:sz w:val="20"/>
                <w:szCs w:val="20"/>
                <w:color w:val="auto"/>
              </w:rPr>
            </w:pPr>
            <w:r>
              <w:rPr>
                <w:rFonts w:ascii="Arial" w:cs="Arial" w:eastAsia="Arial" w:hAnsi="Arial"/>
                <w:sz w:val="17"/>
                <w:szCs w:val="17"/>
                <w:color w:val="auto"/>
              </w:rPr>
              <w:t>2019</w:t>
            </w:r>
          </w:p>
        </w:tc>
        <w:tc>
          <w:tcPr>
            <w:tcW w:w="2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461,250</w:t>
            </w:r>
          </w:p>
        </w:tc>
        <w:tc>
          <w:tcPr>
            <w:tcW w:w="2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ind w:left="420"/>
              <w:spacing w:after="0" w:line="155" w:lineRule="exact"/>
              <w:rPr>
                <w:sz w:val="20"/>
                <w:szCs w:val="20"/>
                <w:color w:val="auto"/>
              </w:rPr>
            </w:pPr>
            <w:r>
              <w:rPr>
                <w:rFonts w:ascii="Arial" w:cs="Arial" w:eastAsia="Arial" w:hAnsi="Arial"/>
                <w:sz w:val="17"/>
                <w:szCs w:val="17"/>
                <w:color w:val="auto"/>
                <w:w w:val="93"/>
              </w:rPr>
              <w:t>—</w:t>
            </w:r>
          </w:p>
        </w:tc>
        <w:tc>
          <w:tcPr>
            <w:tcW w:w="2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w:t>
            </w:r>
          </w:p>
        </w:tc>
        <w:tc>
          <w:tcPr>
            <w:tcW w:w="4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166,860</w:t>
            </w:r>
          </w:p>
        </w:tc>
        <w:tc>
          <w:tcPr>
            <w:tcW w:w="2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628,110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and Chief Executive Officer</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4960" w:type="dxa"/>
            <w:vAlign w:val="bottom"/>
            <w:gridSpan w:val="2"/>
          </w:tcPr>
          <w:p>
            <w:pPr>
              <w:spacing w:after="0"/>
              <w:rPr>
                <w:sz w:val="20"/>
                <w:szCs w:val="20"/>
                <w:color w:val="auto"/>
              </w:rPr>
            </w:pPr>
            <w:r>
              <w:rPr>
                <w:rFonts w:ascii="Arial" w:cs="Arial" w:eastAsia="Arial" w:hAnsi="Arial"/>
                <w:sz w:val="18"/>
                <w:szCs w:val="18"/>
                <w:color w:val="auto"/>
              </w:rPr>
              <w:t>Winston Kung</w:t>
            </w:r>
          </w:p>
        </w:tc>
        <w:tc>
          <w:tcPr>
            <w:tcW w:w="940" w:type="dxa"/>
            <w:vAlign w:val="bottom"/>
            <w:gridSpan w:val="3"/>
          </w:tcPr>
          <w:p>
            <w:pPr>
              <w:ind w:left="260"/>
              <w:spacing w:after="0"/>
              <w:rPr>
                <w:sz w:val="20"/>
                <w:szCs w:val="20"/>
                <w:color w:val="auto"/>
              </w:rPr>
            </w:pPr>
            <w:r>
              <w:rPr>
                <w:rFonts w:ascii="Arial" w:cs="Arial" w:eastAsia="Arial" w:hAnsi="Arial"/>
                <w:sz w:val="18"/>
                <w:szCs w:val="18"/>
                <w:color w:val="auto"/>
              </w:rPr>
              <w:t>2019</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410,000</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152,440</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562,440</w:t>
            </w:r>
          </w:p>
        </w:tc>
        <w:tc>
          <w:tcPr>
            <w:tcW w:w="0" w:type="dxa"/>
            <w:vAlign w:val="bottom"/>
          </w:tcPr>
          <w:p>
            <w:pPr>
              <w:spacing w:after="0"/>
              <w:rPr>
                <w:sz w:val="1"/>
                <w:szCs w:val="1"/>
                <w:color w:val="auto"/>
              </w:rPr>
            </w:pPr>
          </w:p>
        </w:tc>
      </w:tr>
      <w:tr>
        <w:trPr>
          <w:trHeight w:val="241"/>
        </w:trPr>
        <w:tc>
          <w:tcPr>
            <w:tcW w:w="496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Operating Officer and Chief Financial Officer</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1940" w:type="dxa"/>
            <w:vAlign w:val="bottom"/>
          </w:tcPr>
          <w:p>
            <w:pPr>
              <w:spacing w:after="0"/>
              <w:rPr>
                <w:sz w:val="7"/>
                <w:szCs w:val="7"/>
                <w:color w:val="auto"/>
              </w:rPr>
            </w:pPr>
          </w:p>
        </w:tc>
        <w:tc>
          <w:tcPr>
            <w:tcW w:w="3020" w:type="dxa"/>
            <w:vAlign w:val="bottom"/>
          </w:tcPr>
          <w:p>
            <w:pPr>
              <w:spacing w:after="0"/>
              <w:rPr>
                <w:sz w:val="7"/>
                <w:szCs w:val="7"/>
                <w:color w:val="auto"/>
              </w:rPr>
            </w:pPr>
          </w:p>
        </w:tc>
        <w:tc>
          <w:tcPr>
            <w:tcW w:w="660" w:type="dxa"/>
            <w:vAlign w:val="bottom"/>
            <w:gridSpan w:val="2"/>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49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Deepika Jalota, Pharm.D</w:t>
            </w:r>
          </w:p>
        </w:tc>
        <w:tc>
          <w:tcPr>
            <w:tcW w:w="940" w:type="dxa"/>
            <w:vAlign w:val="bottom"/>
            <w:gridSpan w:val="3"/>
            <w:shd w:val="clear" w:color="auto" w:fill="CCEEFF"/>
          </w:tcPr>
          <w:p>
            <w:pPr>
              <w:ind w:left="260"/>
              <w:spacing w:after="0" w:line="182" w:lineRule="exact"/>
              <w:rPr>
                <w:sz w:val="20"/>
                <w:szCs w:val="20"/>
                <w:color w:val="auto"/>
              </w:rPr>
            </w:pPr>
            <w:r>
              <w:rPr>
                <w:rFonts w:ascii="Arial" w:cs="Arial" w:eastAsia="Arial" w:hAnsi="Arial"/>
                <w:sz w:val="18"/>
                <w:szCs w:val="18"/>
                <w:color w:val="auto"/>
              </w:rPr>
              <w:t>2019</w:t>
            </w:r>
          </w:p>
        </w:tc>
        <w:tc>
          <w:tcPr>
            <w:tcW w:w="9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196,875</w:t>
            </w:r>
          </w:p>
        </w:tc>
        <w:tc>
          <w:tcPr>
            <w:tcW w:w="88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8"/>
                <w:szCs w:val="18"/>
                <w:color w:val="auto"/>
              </w:rPr>
              <w:t>75,000</w:t>
            </w:r>
          </w:p>
        </w:tc>
        <w:tc>
          <w:tcPr>
            <w:tcW w:w="118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8"/>
                <w:szCs w:val="18"/>
                <w:color w:val="auto"/>
              </w:rPr>
              <w:t>177,341</w:t>
            </w:r>
            <w:r>
              <w:rPr>
                <w:rFonts w:ascii="Arial" w:cs="Arial" w:eastAsia="Arial" w:hAnsi="Arial"/>
                <w:sz w:val="15"/>
                <w:szCs w:val="15"/>
                <w:color w:val="auto"/>
              </w:rPr>
              <w:t>(4)</w:t>
            </w:r>
          </w:p>
        </w:tc>
        <w:tc>
          <w:tcPr>
            <w:tcW w:w="12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116,375</w:t>
            </w:r>
          </w:p>
        </w:tc>
        <w:tc>
          <w:tcPr>
            <w:tcW w:w="80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565,591</w:t>
            </w:r>
          </w:p>
        </w:tc>
        <w:tc>
          <w:tcPr>
            <w:tcW w:w="0" w:type="dxa"/>
            <w:vAlign w:val="bottom"/>
          </w:tcPr>
          <w:p>
            <w:pPr>
              <w:spacing w:after="0"/>
              <w:rPr>
                <w:sz w:val="1"/>
                <w:szCs w:val="1"/>
                <w:color w:val="auto"/>
              </w:rPr>
            </w:pPr>
          </w:p>
        </w:tc>
      </w:tr>
      <w:tr>
        <w:trPr>
          <w:trHeight w:val="223"/>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Senior Vice President and Head of Regulatory Affairs</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0" w:lineRule="exact"/>
        <w:rPr>
          <w:sz w:val="20"/>
          <w:szCs w:val="20"/>
          <w:color w:val="auto"/>
        </w:rPr>
      </w:pPr>
    </w:p>
    <w:p>
      <w:pPr>
        <w:ind w:left="660" w:hanging="544"/>
        <w:spacing w:after="0"/>
        <w:tabs>
          <w:tab w:leader="none" w:pos="660" w:val="left"/>
        </w:tabs>
        <w:numPr>
          <w:ilvl w:val="0"/>
          <w:numId w:val="93"/>
        </w:numPr>
        <w:rPr>
          <w:rFonts w:ascii="Arial" w:cs="Arial" w:eastAsia="Arial" w:hAnsi="Arial"/>
          <w:sz w:val="24"/>
          <w:szCs w:val="24"/>
          <w:color w:val="auto"/>
          <w:vertAlign w:val="superscript"/>
        </w:rPr>
      </w:pPr>
      <w:r>
        <w:rPr>
          <w:rFonts w:ascii="Arial" w:cs="Arial" w:eastAsia="Arial" w:hAnsi="Arial"/>
          <w:sz w:val="14"/>
          <w:szCs w:val="14"/>
          <w:color w:val="auto"/>
        </w:rPr>
        <w:t>The amounts reported represent one-time sign on bonuses paid following the named executive officer’s commencement of employment.</w:t>
      </w:r>
    </w:p>
    <w:p>
      <w:pPr>
        <w:ind w:left="660" w:right="100" w:hanging="544"/>
        <w:spacing w:after="0" w:line="204" w:lineRule="auto"/>
        <w:tabs>
          <w:tab w:leader="none" w:pos="660" w:val="left"/>
        </w:tabs>
        <w:numPr>
          <w:ilvl w:val="0"/>
          <w:numId w:val="93"/>
        </w:numPr>
        <w:rPr>
          <w:rFonts w:ascii="Arial" w:cs="Arial" w:eastAsia="Arial" w:hAnsi="Arial"/>
          <w:sz w:val="24"/>
          <w:szCs w:val="24"/>
          <w:color w:val="auto"/>
          <w:vertAlign w:val="superscript"/>
        </w:rPr>
      </w:pPr>
      <w:r>
        <w:rPr>
          <w:rFonts w:ascii="Arial" w:cs="Arial" w:eastAsia="Arial" w:hAnsi="Arial"/>
          <w:sz w:val="14"/>
          <w:szCs w:val="14"/>
          <w:color w:val="auto"/>
        </w:rPr>
        <w:t>The amounts reported represent the aggregate grant-date fair value of the options calculated in accordance with ASC 718. Such grant-date fair value does not take into account any estimated forfeitures related to performance or service vesting conditions. The assumptions used in calculating the grant-date fair value of the option reported in this column are set forth in the section captioned “Management’s Discussion and Analysis of Financial Condition and Results of Operations— Critical Accounting Policies and Estimates.” These amounts do not reflect the actual economic value that may be realized by the named executive officer.</w:t>
      </w:r>
    </w:p>
    <w:p>
      <w:pPr>
        <w:spacing w:after="0" w:line="2" w:lineRule="exact"/>
        <w:rPr>
          <w:rFonts w:ascii="Arial" w:cs="Arial" w:eastAsia="Arial" w:hAnsi="Arial"/>
          <w:sz w:val="24"/>
          <w:szCs w:val="24"/>
          <w:color w:val="auto"/>
          <w:vertAlign w:val="superscript"/>
        </w:rPr>
      </w:pPr>
    </w:p>
    <w:p>
      <w:pPr>
        <w:ind w:left="660" w:right="320" w:hanging="544"/>
        <w:spacing w:after="0" w:line="182" w:lineRule="auto"/>
        <w:tabs>
          <w:tab w:leader="none" w:pos="660" w:val="left"/>
        </w:tabs>
        <w:numPr>
          <w:ilvl w:val="0"/>
          <w:numId w:val="93"/>
        </w:numPr>
        <w:rPr>
          <w:rFonts w:ascii="Arial" w:cs="Arial" w:eastAsia="Arial" w:hAnsi="Arial"/>
          <w:sz w:val="23"/>
          <w:szCs w:val="23"/>
          <w:color w:val="auto"/>
          <w:vertAlign w:val="superscript"/>
        </w:rPr>
      </w:pPr>
      <w:r>
        <w:rPr>
          <w:rFonts w:ascii="Arial" w:cs="Arial" w:eastAsia="Arial" w:hAnsi="Arial"/>
          <w:sz w:val="14"/>
          <w:szCs w:val="14"/>
          <w:color w:val="auto"/>
        </w:rPr>
        <w:t>The 2019 amounts reported represent cash bonuses earned under our 2019 bonus plan based upon the achievement of company objectives for the year ended December 31, 2019, which were paid in 2019. Our bonus plans are more fully described below under the section titled “—Management Bonus Plan.”</w:t>
      </w:r>
    </w:p>
    <w:p>
      <w:pPr>
        <w:spacing w:after="0" w:line="1" w:lineRule="exact"/>
        <w:rPr>
          <w:rFonts w:ascii="Arial" w:cs="Arial" w:eastAsia="Arial" w:hAnsi="Arial"/>
          <w:sz w:val="23"/>
          <w:szCs w:val="23"/>
          <w:color w:val="auto"/>
          <w:vertAlign w:val="superscript"/>
        </w:rPr>
      </w:pPr>
    </w:p>
    <w:p>
      <w:pPr>
        <w:ind w:left="660" w:right="160" w:hanging="544"/>
        <w:spacing w:after="0" w:line="185" w:lineRule="auto"/>
        <w:tabs>
          <w:tab w:leader="none" w:pos="660" w:val="left"/>
        </w:tabs>
        <w:numPr>
          <w:ilvl w:val="0"/>
          <w:numId w:val="93"/>
        </w:numPr>
        <w:rPr>
          <w:rFonts w:ascii="Arial" w:cs="Arial" w:eastAsia="Arial" w:hAnsi="Arial"/>
          <w:sz w:val="24"/>
          <w:szCs w:val="24"/>
          <w:color w:val="auto"/>
          <w:vertAlign w:val="superscript"/>
        </w:rPr>
      </w:pPr>
      <w:r>
        <w:rPr>
          <w:rFonts w:ascii="Arial" w:cs="Arial" w:eastAsia="Arial" w:hAnsi="Arial"/>
          <w:sz w:val="14"/>
          <w:szCs w:val="14"/>
          <w:color w:val="auto"/>
        </w:rPr>
        <w:t>Represents an August 21, 2019, grant of 475,000 options to Dr. Jalota pursuant to our 2013 Equity Incentive Plan, as amended, or 2013 Plan, as described further in the table of outstanding equity awards below.</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40"/>
          </w:cols>
          <w:pgMar w:left="320" w:top="455" w:right="4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concerning outstanding equity awards held by each of our named executive officers as of</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0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rPr>
              <w:t>Number of</w:t>
            </w:r>
          </w:p>
        </w:tc>
        <w:tc>
          <w:tcPr>
            <w:tcW w:w="134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rPr>
              <w:t>Number of</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Securities</w:t>
            </w: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Securities</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Underlying</w:t>
            </w: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Underlying</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Unexercised</w:t>
            </w: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Unexercised</w:t>
            </w: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Option</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5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432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right"/>
              <w:ind w:right="691"/>
              <w:spacing w:after="0" w:line="159" w:lineRule="exact"/>
              <w:rPr>
                <w:sz w:val="20"/>
                <w:szCs w:val="20"/>
                <w:color w:val="auto"/>
              </w:rPr>
            </w:pPr>
            <w:r>
              <w:rPr>
                <w:rFonts w:ascii="Arial" w:cs="Arial" w:eastAsia="Arial" w:hAnsi="Arial"/>
                <w:sz w:val="14"/>
                <w:szCs w:val="14"/>
                <w:b w:val="1"/>
                <w:bCs w:val="1"/>
                <w:color w:val="auto"/>
              </w:rPr>
              <w:t>Grant</w:t>
            </w:r>
          </w:p>
        </w:tc>
        <w:tc>
          <w:tcPr>
            <w:tcW w:w="124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rPr>
              <w:t>Options (#)</w:t>
            </w:r>
          </w:p>
        </w:tc>
        <w:tc>
          <w:tcPr>
            <w:tcW w:w="134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rPr>
              <w:t>Options (#)</w:t>
            </w:r>
          </w:p>
        </w:tc>
        <w:tc>
          <w:tcPr>
            <w:tcW w:w="110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rPr>
              <w:t>Exercise</w:t>
            </w:r>
          </w:p>
        </w:tc>
        <w:tc>
          <w:tcPr>
            <w:tcW w:w="92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7"/>
        </w:trPr>
        <w:tc>
          <w:tcPr>
            <w:tcW w:w="400" w:type="dxa"/>
            <w:vAlign w:val="bottom"/>
            <w:tcBorders>
              <w:bottom w:val="single" w:sz="8" w:color="auto"/>
            </w:tcBorders>
            <w:vMerge w:val="continue"/>
          </w:tcPr>
          <w:p>
            <w:pPr>
              <w:spacing w:after="0"/>
              <w:rPr>
                <w:sz w:val="16"/>
                <w:szCs w:val="16"/>
                <w:color w:val="auto"/>
              </w:rPr>
            </w:pPr>
          </w:p>
        </w:tc>
        <w:tc>
          <w:tcPr>
            <w:tcW w:w="43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jc w:val="right"/>
              <w:ind w:right="651"/>
              <w:spacing w:after="0" w:line="167" w:lineRule="exact"/>
              <w:rPr>
                <w:sz w:val="20"/>
                <w:szCs w:val="20"/>
                <w:color w:val="auto"/>
              </w:rPr>
            </w:pPr>
            <w:r>
              <w:rPr>
                <w:rFonts w:ascii="Arial" w:cs="Arial" w:eastAsia="Arial" w:hAnsi="Arial"/>
                <w:sz w:val="12"/>
                <w:szCs w:val="12"/>
                <w:b w:val="1"/>
                <w:bCs w:val="1"/>
                <w:color w:val="auto"/>
              </w:rPr>
              <w:t>Date</w:t>
            </w:r>
            <w:r>
              <w:rPr>
                <w:rFonts w:ascii="Arial" w:cs="Arial" w:eastAsia="Arial" w:hAnsi="Arial"/>
                <w:sz w:val="19"/>
                <w:szCs w:val="19"/>
                <w:b w:val="1"/>
                <w:bCs w:val="1"/>
                <w:color w:val="auto"/>
                <w:vertAlign w:val="superscript"/>
              </w:rPr>
              <w:t>(1)</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Exercisable</w:t>
            </w: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Unexercisable</w:t>
            </w:r>
          </w:p>
        </w:tc>
        <w:tc>
          <w:tcPr>
            <w:tcW w:w="1100" w:type="dxa"/>
            <w:vAlign w:val="bottom"/>
            <w:gridSpan w:val="2"/>
          </w:tcPr>
          <w:p>
            <w:pPr>
              <w:jc w:val="center"/>
              <w:ind w:right="380"/>
              <w:spacing w:after="0" w:line="167" w:lineRule="exact"/>
              <w:rPr>
                <w:sz w:val="20"/>
                <w:szCs w:val="20"/>
                <w:color w:val="auto"/>
              </w:rPr>
            </w:pPr>
            <w:r>
              <w:rPr>
                <w:rFonts w:ascii="Arial" w:cs="Arial" w:eastAsia="Arial" w:hAnsi="Arial"/>
                <w:sz w:val="12"/>
                <w:szCs w:val="12"/>
                <w:b w:val="1"/>
                <w:bCs w:val="1"/>
                <w:color w:val="auto"/>
              </w:rPr>
              <w:t xml:space="preserve">Price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55"/>
        </w:trPr>
        <w:tc>
          <w:tcPr>
            <w:tcW w:w="472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6"/>
                <w:szCs w:val="16"/>
                <w:color w:val="auto"/>
              </w:rPr>
              <w:t>David H. Mack, Ph.D.</w:t>
            </w:r>
          </w:p>
        </w:tc>
        <w:tc>
          <w:tcPr>
            <w:tcW w:w="3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5/12/2015</w:t>
            </w:r>
          </w:p>
        </w:tc>
        <w:tc>
          <w:tcPr>
            <w:tcW w:w="520" w:type="dxa"/>
            <w:vAlign w:val="bottom"/>
            <w:tcBorders>
              <w:top w:val="single" w:sz="8" w:color="CCEEFF"/>
            </w:tcBorders>
            <w:shd w:val="clear" w:color="auto" w:fill="CCEEFF"/>
          </w:tcPr>
          <w:p>
            <w:pPr>
              <w:jc w:val="right"/>
              <w:ind w:right="291"/>
              <w:spacing w:after="0" w:line="155" w:lineRule="exact"/>
              <w:rPr>
                <w:sz w:val="20"/>
                <w:szCs w:val="20"/>
                <w:color w:val="auto"/>
              </w:rPr>
            </w:pPr>
            <w:r>
              <w:rPr>
                <w:rFonts w:ascii="Arial" w:cs="Arial" w:eastAsia="Arial" w:hAnsi="Arial"/>
                <w:sz w:val="14"/>
                <w:szCs w:val="14"/>
                <w:color w:val="auto"/>
                <w:w w:val="81"/>
              </w:rPr>
              <w:t>(3)</w:t>
            </w: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2,608,000</w:t>
            </w:r>
          </w:p>
        </w:tc>
        <w:tc>
          <w:tcPr>
            <w:tcW w:w="3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3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ind w:left="420"/>
              <w:spacing w:after="0" w:line="155" w:lineRule="exact"/>
              <w:rPr>
                <w:sz w:val="20"/>
                <w:szCs w:val="20"/>
                <w:color w:val="auto"/>
              </w:rPr>
            </w:pPr>
            <w:r>
              <w:rPr>
                <w:rFonts w:ascii="Arial" w:cs="Arial" w:eastAsia="Arial" w:hAnsi="Arial"/>
                <w:sz w:val="16"/>
                <w:szCs w:val="16"/>
                <w:color w:val="auto"/>
                <w:w w:val="89"/>
              </w:rPr>
              <w:t>0.10</w:t>
            </w:r>
          </w:p>
        </w:tc>
        <w:tc>
          <w:tcPr>
            <w:tcW w:w="3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5/12/2025</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4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91"/>
              <w:spacing w:after="0" w:line="189" w:lineRule="exact"/>
              <w:rPr>
                <w:sz w:val="20"/>
                <w:szCs w:val="20"/>
                <w:color w:val="auto"/>
              </w:rPr>
            </w:pPr>
            <w:r>
              <w:rPr>
                <w:rFonts w:ascii="Arial" w:cs="Arial" w:eastAsia="Arial" w:hAnsi="Arial"/>
                <w:sz w:val="13"/>
                <w:szCs w:val="13"/>
                <w:color w:val="auto"/>
              </w:rPr>
              <w:t>11/16/2016</w:t>
            </w:r>
            <w:r>
              <w:rPr>
                <w:rFonts w:ascii="Arial" w:cs="Arial" w:eastAsia="Arial" w:hAnsi="Arial"/>
                <w:sz w:val="21"/>
                <w:szCs w:val="21"/>
                <w:color w:val="auto"/>
                <w:vertAlign w:val="superscript"/>
              </w:rPr>
              <w:t>(4)</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1,267,017</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0.26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11/16/2026</w:t>
            </w:r>
          </w:p>
        </w:tc>
        <w:tc>
          <w:tcPr>
            <w:tcW w:w="0" w:type="dxa"/>
            <w:vAlign w:val="bottom"/>
          </w:tcPr>
          <w:p>
            <w:pPr>
              <w:spacing w:after="0"/>
              <w:rPr>
                <w:sz w:val="1"/>
                <w:szCs w:val="1"/>
                <w:color w:val="auto"/>
              </w:rPr>
            </w:pPr>
          </w:p>
        </w:tc>
      </w:tr>
      <w:tr>
        <w:trPr>
          <w:trHeight w:val="210"/>
        </w:trPr>
        <w:tc>
          <w:tcPr>
            <w:tcW w:w="40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91"/>
              <w:spacing w:after="0" w:line="210" w:lineRule="exact"/>
              <w:rPr>
                <w:sz w:val="20"/>
                <w:szCs w:val="20"/>
                <w:color w:val="auto"/>
              </w:rPr>
            </w:pPr>
            <w:r>
              <w:rPr>
                <w:rFonts w:ascii="Arial" w:cs="Arial" w:eastAsia="Arial" w:hAnsi="Arial"/>
                <w:sz w:val="15"/>
                <w:szCs w:val="15"/>
                <w:color w:val="auto"/>
              </w:rPr>
              <w:t>5/16/2017</w:t>
            </w:r>
            <w:r>
              <w:rPr>
                <w:rFonts w:ascii="Arial" w:cs="Arial" w:eastAsia="Arial" w:hAnsi="Arial"/>
                <w:sz w:val="24"/>
                <w:szCs w:val="24"/>
                <w:color w:val="auto"/>
                <w:vertAlign w:val="superscript"/>
              </w:rPr>
              <w:t>(5)</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1,566,791</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859,209</w:t>
            </w:r>
          </w:p>
        </w:tc>
        <w:tc>
          <w:tcPr>
            <w:tcW w:w="11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0.56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5/16/2027</w:t>
            </w:r>
          </w:p>
        </w:tc>
        <w:tc>
          <w:tcPr>
            <w:tcW w:w="0" w:type="dxa"/>
            <w:vAlign w:val="bottom"/>
          </w:tcPr>
          <w:p>
            <w:pPr>
              <w:spacing w:after="0"/>
              <w:rPr>
                <w:sz w:val="1"/>
                <w:szCs w:val="1"/>
                <w:color w:val="auto"/>
              </w:rPr>
            </w:pPr>
          </w:p>
        </w:tc>
      </w:tr>
      <w:tr>
        <w:trPr>
          <w:trHeight w:val="189"/>
        </w:trPr>
        <w:tc>
          <w:tcPr>
            <w:tcW w:w="4720" w:type="dxa"/>
            <w:vAlign w:val="bottom"/>
            <w:gridSpan w:val="2"/>
          </w:tcPr>
          <w:p>
            <w:pPr>
              <w:spacing w:after="0"/>
              <w:rPr>
                <w:sz w:val="20"/>
                <w:szCs w:val="20"/>
                <w:color w:val="auto"/>
              </w:rPr>
            </w:pPr>
            <w:r>
              <w:rPr>
                <w:rFonts w:ascii="Arial" w:cs="Arial" w:eastAsia="Arial" w:hAnsi="Arial"/>
                <w:sz w:val="16"/>
                <w:szCs w:val="16"/>
                <w:color w:val="auto"/>
              </w:rPr>
              <w:t>Winston Kung</w:t>
            </w:r>
          </w:p>
        </w:tc>
        <w:tc>
          <w:tcPr>
            <w:tcW w:w="320" w:type="dxa"/>
            <w:vAlign w:val="bottom"/>
          </w:tcPr>
          <w:p>
            <w:pPr>
              <w:spacing w:after="0"/>
              <w:rPr>
                <w:sz w:val="16"/>
                <w:szCs w:val="16"/>
                <w:color w:val="auto"/>
              </w:rPr>
            </w:pPr>
          </w:p>
        </w:tc>
        <w:tc>
          <w:tcPr>
            <w:tcW w:w="1380" w:type="dxa"/>
            <w:vAlign w:val="bottom"/>
            <w:gridSpan w:val="2"/>
          </w:tcPr>
          <w:p>
            <w:pPr>
              <w:jc w:val="right"/>
              <w:ind w:right="291"/>
              <w:spacing w:after="0" w:line="189" w:lineRule="exact"/>
              <w:rPr>
                <w:sz w:val="20"/>
                <w:szCs w:val="20"/>
                <w:color w:val="auto"/>
              </w:rPr>
            </w:pPr>
            <w:r>
              <w:rPr>
                <w:rFonts w:ascii="Arial" w:cs="Arial" w:eastAsia="Arial" w:hAnsi="Arial"/>
                <w:sz w:val="13"/>
                <w:szCs w:val="13"/>
                <w:color w:val="auto"/>
              </w:rPr>
              <w:t>2/22/2018</w:t>
            </w:r>
            <w:r>
              <w:rPr>
                <w:rFonts w:ascii="Arial" w:cs="Arial" w:eastAsia="Arial" w:hAnsi="Arial"/>
                <w:sz w:val="21"/>
                <w:szCs w:val="21"/>
                <w:color w:val="auto"/>
                <w:vertAlign w:val="superscript"/>
              </w:rPr>
              <w:t>(6)</w:t>
            </w:r>
          </w:p>
        </w:tc>
        <w:tc>
          <w:tcPr>
            <w:tcW w:w="1240" w:type="dxa"/>
            <w:vAlign w:val="bottom"/>
            <w:gridSpan w:val="2"/>
          </w:tcPr>
          <w:p>
            <w:pPr>
              <w:jc w:val="right"/>
              <w:ind w:right="380"/>
              <w:spacing w:after="0"/>
              <w:rPr>
                <w:sz w:val="20"/>
                <w:szCs w:val="20"/>
                <w:color w:val="auto"/>
              </w:rPr>
            </w:pPr>
            <w:r>
              <w:rPr>
                <w:rFonts w:ascii="Arial" w:cs="Arial" w:eastAsia="Arial" w:hAnsi="Arial"/>
                <w:sz w:val="16"/>
                <w:szCs w:val="16"/>
                <w:color w:val="auto"/>
              </w:rPr>
              <w:t>2,506,440</w:t>
            </w:r>
          </w:p>
        </w:tc>
        <w:tc>
          <w:tcPr>
            <w:tcW w:w="13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420"/>
              <w:spacing w:after="0"/>
              <w:rPr>
                <w:sz w:val="20"/>
                <w:szCs w:val="20"/>
                <w:color w:val="auto"/>
              </w:rPr>
            </w:pPr>
            <w:r>
              <w:rPr>
                <w:rFonts w:ascii="Arial" w:cs="Arial" w:eastAsia="Arial" w:hAnsi="Arial"/>
                <w:sz w:val="16"/>
                <w:szCs w:val="16"/>
                <w:color w:val="auto"/>
              </w:rPr>
              <w:t>0.61</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2/22/2028</w:t>
            </w:r>
          </w:p>
        </w:tc>
        <w:tc>
          <w:tcPr>
            <w:tcW w:w="0" w:type="dxa"/>
            <w:vAlign w:val="bottom"/>
          </w:tcPr>
          <w:p>
            <w:pPr>
              <w:spacing w:after="0"/>
              <w:rPr>
                <w:sz w:val="1"/>
                <w:szCs w:val="1"/>
                <w:color w:val="auto"/>
              </w:rPr>
            </w:pPr>
          </w:p>
        </w:tc>
      </w:tr>
      <w:tr>
        <w:trPr>
          <w:trHeight w:val="189"/>
        </w:trPr>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Deepika Jalota, Pharm.D.</w:t>
            </w:r>
          </w:p>
        </w:tc>
        <w:tc>
          <w:tcPr>
            <w:tcW w:w="1700" w:type="dxa"/>
            <w:vAlign w:val="bottom"/>
            <w:gridSpan w:val="3"/>
            <w:shd w:val="clear" w:color="auto" w:fill="CCEEFF"/>
          </w:tcPr>
          <w:p>
            <w:pPr>
              <w:jc w:val="right"/>
              <w:ind w:right="291"/>
              <w:spacing w:after="0" w:line="189" w:lineRule="exact"/>
              <w:rPr>
                <w:sz w:val="20"/>
                <w:szCs w:val="20"/>
                <w:color w:val="auto"/>
              </w:rPr>
            </w:pPr>
            <w:r>
              <w:rPr>
                <w:rFonts w:ascii="Arial" w:cs="Arial" w:eastAsia="Arial" w:hAnsi="Arial"/>
                <w:sz w:val="13"/>
                <w:szCs w:val="13"/>
                <w:color w:val="auto"/>
              </w:rPr>
              <w:t>8/21/2019</w:t>
            </w:r>
            <w:r>
              <w:rPr>
                <w:rFonts w:ascii="Arial" w:cs="Arial" w:eastAsia="Arial" w:hAnsi="Arial"/>
                <w:sz w:val="21"/>
                <w:szCs w:val="21"/>
                <w:color w:val="auto"/>
                <w:vertAlign w:val="superscript"/>
              </w:rPr>
              <w:t>(7)</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475,000</w:t>
            </w:r>
          </w:p>
        </w:tc>
        <w:tc>
          <w:tcPr>
            <w:tcW w:w="11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0.67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8/21/2029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0" w:lineRule="exact"/>
        <w:rPr>
          <w:sz w:val="20"/>
          <w:szCs w:val="20"/>
          <w:color w:val="auto"/>
        </w:rPr>
      </w:pPr>
    </w:p>
    <w:p>
      <w:pPr>
        <w:ind w:left="660" w:hanging="544"/>
        <w:spacing w:after="0"/>
        <w:tabs>
          <w:tab w:leader="none" w:pos="66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Each of the outstanding options to purchase shares of our common stock was granted pursuant to our 2013 Plan.</w:t>
      </w:r>
    </w:p>
    <w:p>
      <w:pPr>
        <w:ind w:left="660" w:hanging="544"/>
        <w:spacing w:after="0" w:line="187" w:lineRule="auto"/>
        <w:tabs>
          <w:tab w:leader="none" w:pos="660" w:val="left"/>
        </w:tabs>
        <w:numPr>
          <w:ilvl w:val="0"/>
          <w:numId w:val="94"/>
        </w:numPr>
        <w:rPr>
          <w:rFonts w:ascii="Arial" w:cs="Arial" w:eastAsia="Arial" w:hAnsi="Arial"/>
          <w:sz w:val="18"/>
          <w:szCs w:val="18"/>
          <w:color w:val="auto"/>
          <w:vertAlign w:val="superscript"/>
        </w:rPr>
      </w:pPr>
      <w:r>
        <w:rPr>
          <w:rFonts w:ascii="Arial" w:cs="Arial" w:eastAsia="Arial" w:hAnsi="Arial"/>
          <w:sz w:val="11"/>
          <w:szCs w:val="11"/>
          <w:color w:val="auto"/>
        </w:rPr>
        <w:t>This column represents the fair market value of a share of our common stock on the date of grant, as determined by our board of directors.</w:t>
      </w:r>
    </w:p>
    <w:p>
      <w:pPr>
        <w:ind w:left="660" w:right="140" w:hanging="544"/>
        <w:spacing w:after="0" w:line="182" w:lineRule="auto"/>
        <w:tabs>
          <w:tab w:leader="none" w:pos="660" w:val="left"/>
        </w:tabs>
        <w:numPr>
          <w:ilvl w:val="0"/>
          <w:numId w:val="94"/>
        </w:numPr>
        <w:rPr>
          <w:rFonts w:ascii="Arial" w:cs="Arial" w:eastAsia="Arial" w:hAnsi="Arial"/>
          <w:sz w:val="23"/>
          <w:szCs w:val="23"/>
          <w:color w:val="auto"/>
          <w:vertAlign w:val="superscript"/>
        </w:rPr>
      </w:pPr>
      <w:r>
        <w:rPr>
          <w:rFonts w:ascii="Arial" w:cs="Arial" w:eastAsia="Arial" w:hAnsi="Arial"/>
          <w:sz w:val="14"/>
          <w:szCs w:val="14"/>
          <w:color w:val="auto"/>
        </w:rPr>
        <w:t>The option vests as to 1/4th of the shares of our common stock underlying it on May 12, 2016, and as to 1/60th in monthly installments after the initial vesting date, subject to the named executive officer’s continued service through each vesting date.</w:t>
      </w:r>
    </w:p>
    <w:p>
      <w:pPr>
        <w:spacing w:after="0" w:line="1" w:lineRule="exact"/>
        <w:rPr>
          <w:rFonts w:ascii="Arial" w:cs="Arial" w:eastAsia="Arial" w:hAnsi="Arial"/>
          <w:sz w:val="23"/>
          <w:szCs w:val="23"/>
          <w:color w:val="auto"/>
          <w:vertAlign w:val="superscript"/>
        </w:rPr>
      </w:pPr>
    </w:p>
    <w:p>
      <w:pPr>
        <w:ind w:left="660" w:right="380" w:hanging="544"/>
        <w:spacing w:after="0" w:line="182" w:lineRule="auto"/>
        <w:tabs>
          <w:tab w:leader="none" w:pos="660" w:val="left"/>
        </w:tabs>
        <w:numPr>
          <w:ilvl w:val="0"/>
          <w:numId w:val="94"/>
        </w:numPr>
        <w:rPr>
          <w:rFonts w:ascii="Arial" w:cs="Arial" w:eastAsia="Arial" w:hAnsi="Arial"/>
          <w:sz w:val="23"/>
          <w:szCs w:val="23"/>
          <w:color w:val="auto"/>
          <w:vertAlign w:val="superscript"/>
        </w:rPr>
      </w:pPr>
      <w:r>
        <w:rPr>
          <w:rFonts w:ascii="Arial" w:cs="Arial" w:eastAsia="Arial" w:hAnsi="Arial"/>
          <w:sz w:val="14"/>
          <w:szCs w:val="14"/>
          <w:color w:val="auto"/>
        </w:rPr>
        <w:t>The option vests as to 1/48th of the shares of our common stock underlying it in monthly installments after November 16, 2016, subject to the named executive officer’s continued service through each vesting date.</w:t>
      </w:r>
    </w:p>
    <w:p>
      <w:pPr>
        <w:spacing w:after="0" w:line="1" w:lineRule="exact"/>
        <w:rPr>
          <w:rFonts w:ascii="Arial" w:cs="Arial" w:eastAsia="Arial" w:hAnsi="Arial"/>
          <w:sz w:val="23"/>
          <w:szCs w:val="23"/>
          <w:color w:val="auto"/>
          <w:vertAlign w:val="superscript"/>
        </w:rPr>
      </w:pPr>
    </w:p>
    <w:p>
      <w:pPr>
        <w:ind w:left="660" w:right="240" w:hanging="544"/>
        <w:spacing w:after="0" w:line="182" w:lineRule="auto"/>
        <w:tabs>
          <w:tab w:leader="none" w:pos="660" w:val="left"/>
        </w:tabs>
        <w:numPr>
          <w:ilvl w:val="0"/>
          <w:numId w:val="94"/>
        </w:numPr>
        <w:rPr>
          <w:rFonts w:ascii="Arial" w:cs="Arial" w:eastAsia="Arial" w:hAnsi="Arial"/>
          <w:sz w:val="23"/>
          <w:szCs w:val="23"/>
          <w:color w:val="auto"/>
          <w:vertAlign w:val="superscript"/>
        </w:rPr>
      </w:pPr>
      <w:r>
        <w:rPr>
          <w:rFonts w:ascii="Arial" w:cs="Arial" w:eastAsia="Arial" w:hAnsi="Arial"/>
          <w:sz w:val="14"/>
          <w:szCs w:val="14"/>
          <w:color w:val="auto"/>
        </w:rPr>
        <w:t>The option vests as to 1/48th of the shares of our common stock underlying it in monthly installments after May 16, 2017, subject to the named executive officer’s continued service through each vesting date.</w:t>
      </w:r>
    </w:p>
    <w:p>
      <w:pPr>
        <w:spacing w:after="0" w:line="1" w:lineRule="exact"/>
        <w:rPr>
          <w:rFonts w:ascii="Arial" w:cs="Arial" w:eastAsia="Arial" w:hAnsi="Arial"/>
          <w:sz w:val="23"/>
          <w:szCs w:val="23"/>
          <w:color w:val="auto"/>
          <w:vertAlign w:val="superscript"/>
        </w:rPr>
      </w:pPr>
    </w:p>
    <w:p>
      <w:pPr>
        <w:ind w:left="660" w:right="140" w:hanging="544"/>
        <w:spacing w:after="0" w:line="215" w:lineRule="auto"/>
        <w:tabs>
          <w:tab w:leader="none" w:pos="66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The option includes two tranches. The first tranche (covering 75% of the shares of our common stock underlying the option) vests as to 1/4th of the shares of our common stock underlying it on November 27, 2018, and as to an additional 1/48th of the shares of our common stock underlying it in monthly installments after the initial vesting date, subject to named executive officer’s continued service through each vesting date. The second tranche (covering 25% of the total number of shares of our common stock underlying the option) vest as to 1/48th of the shares of our common stock underlying it in monthly installments, subject to named executive officer’s continued service through each vesting date, following achievement of the performance vesting condition, which is the first to occur of (i) the first day of our initial public offering or (ii) an alliance transaction entered into by us with the approval of our board which is valued at $100,000,000.</w:t>
      </w:r>
    </w:p>
    <w:p>
      <w:pPr>
        <w:spacing w:after="0" w:line="3" w:lineRule="exact"/>
        <w:rPr>
          <w:rFonts w:ascii="Arial" w:cs="Arial" w:eastAsia="Arial" w:hAnsi="Arial"/>
          <w:sz w:val="24"/>
          <w:szCs w:val="24"/>
          <w:color w:val="auto"/>
          <w:vertAlign w:val="superscript"/>
        </w:rPr>
      </w:pPr>
    </w:p>
    <w:p>
      <w:pPr>
        <w:ind w:left="660" w:right="280" w:hanging="544"/>
        <w:spacing w:after="0" w:line="185" w:lineRule="auto"/>
        <w:tabs>
          <w:tab w:leader="none" w:pos="66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The option vests as to 1/4th of the shares of our common stock underlying it on June 10, 2020, and as to an additional 1/48th of the shares of our common stock underlying it in monthly installments after the initial vesting date, subject to the named executive officer’s continued service through each vesting date.</w:t>
      </w: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David H. Mack, Ph.D.</w:t>
      </w:r>
    </w:p>
    <w:p>
      <w:pPr>
        <w:spacing w:after="0" w:line="104" w:lineRule="exact"/>
        <w:rPr>
          <w:sz w:val="20"/>
          <w:szCs w:val="20"/>
          <w:color w:val="auto"/>
        </w:rPr>
      </w:pPr>
    </w:p>
    <w:p>
      <w:pPr>
        <w:ind w:left="120" w:right="60" w:firstLine="551"/>
        <w:spacing w:after="0" w:line="262" w:lineRule="auto"/>
        <w:rPr>
          <w:sz w:val="20"/>
          <w:szCs w:val="20"/>
          <w:color w:val="auto"/>
        </w:rPr>
      </w:pPr>
      <w:r>
        <w:rPr>
          <w:rFonts w:ascii="Arial" w:cs="Arial" w:eastAsia="Arial" w:hAnsi="Arial"/>
          <w:sz w:val="17"/>
          <w:szCs w:val="17"/>
          <w:color w:val="auto"/>
        </w:rPr>
        <w:t>We currently expect that, prior to the completion of this offering, we will enter into a continuing employment letter with Dr. Mack, our President and Chief Executive Officer. The confirmatory employment letter currently is expected to have no specific term and will provide</w:t>
      </w:r>
    </w:p>
    <w:p>
      <w:pPr>
        <w:ind w:left="120" w:right="200"/>
        <w:spacing w:after="0" w:line="245" w:lineRule="auto"/>
        <w:rPr>
          <w:sz w:val="20"/>
          <w:szCs w:val="20"/>
          <w:color w:val="auto"/>
        </w:rPr>
      </w:pPr>
      <w:r>
        <w:rPr>
          <w:rFonts w:ascii="Arial" w:cs="Arial" w:eastAsia="Arial" w:hAnsi="Arial"/>
          <w:sz w:val="18"/>
          <w:szCs w:val="18"/>
          <w:color w:val="auto"/>
        </w:rPr>
        <w:t>for at-will employment. Dr. Mack’s current annual base salary is $ , and Dr. Mack’s annual target bonus is % of his annual base salary.</w:t>
      </w: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Winston Kung</w:t>
      </w:r>
    </w:p>
    <w:p>
      <w:pPr>
        <w:spacing w:after="0" w:line="104" w:lineRule="exact"/>
        <w:rPr>
          <w:sz w:val="20"/>
          <w:szCs w:val="20"/>
          <w:color w:val="auto"/>
        </w:rPr>
      </w:pPr>
    </w:p>
    <w:p>
      <w:pPr>
        <w:ind w:left="120" w:right="340" w:firstLine="551"/>
        <w:spacing w:after="0" w:line="276" w:lineRule="auto"/>
        <w:rPr>
          <w:sz w:val="20"/>
          <w:szCs w:val="20"/>
          <w:color w:val="auto"/>
        </w:rPr>
      </w:pPr>
      <w:r>
        <w:rPr>
          <w:rFonts w:ascii="Arial" w:cs="Arial" w:eastAsia="Arial" w:hAnsi="Arial"/>
          <w:sz w:val="18"/>
          <w:szCs w:val="18"/>
          <w:color w:val="auto"/>
        </w:rPr>
        <w:t>We have entered into an employment offer letter agreement with Mr. Kung in connection with his employment with us. This offer letter provides for “at will” employment.</w:t>
      </w:r>
    </w:p>
    <w:p>
      <w:pPr>
        <w:spacing w:after="0" w:line="145" w:lineRule="exact"/>
        <w:rPr>
          <w:sz w:val="20"/>
          <w:szCs w:val="20"/>
          <w:color w:val="auto"/>
        </w:rPr>
      </w:pPr>
    </w:p>
    <w:p>
      <w:pPr>
        <w:jc w:val="both"/>
        <w:ind w:left="120" w:right="140" w:firstLine="551"/>
        <w:spacing w:after="0" w:line="255" w:lineRule="auto"/>
        <w:rPr>
          <w:sz w:val="20"/>
          <w:szCs w:val="20"/>
          <w:color w:val="auto"/>
        </w:rPr>
      </w:pPr>
      <w:r>
        <w:rPr>
          <w:rFonts w:ascii="Arial" w:cs="Arial" w:eastAsia="Arial" w:hAnsi="Arial"/>
          <w:sz w:val="18"/>
          <w:szCs w:val="18"/>
          <w:color w:val="auto"/>
        </w:rPr>
        <w:t>We currently expect that, prior to the completion of this offering, we will enter into a confirmatory employment letter with Mr. Kung, our Chief Operating Officer and Chief Financial Officer. The confirmatory employment letter currently is expected to have no specific term and will provide for at-will</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40"/>
          </w:cols>
          <w:pgMar w:left="320" w:top="455" w:right="4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5180" w:val="left"/>
          <w:tab w:leader="none" w:pos="8540" w:val="left"/>
        </w:tabs>
        <w:rPr>
          <w:sz w:val="20"/>
          <w:szCs w:val="20"/>
          <w:color w:val="auto"/>
        </w:rPr>
      </w:pPr>
      <w:r>
        <w:rPr>
          <w:rFonts w:ascii="Arial" w:cs="Arial" w:eastAsia="Arial" w:hAnsi="Arial"/>
          <w:sz w:val="18"/>
          <w:szCs w:val="18"/>
          <w:color w:val="auto"/>
        </w:rPr>
        <w:t>employment. Mr. Kung’s current annual base salary is $</w:t>
      </w:r>
      <w:r>
        <w:rPr>
          <w:sz w:val="20"/>
          <w:szCs w:val="20"/>
          <w:color w:val="auto"/>
        </w:rPr>
        <w:tab/>
      </w:r>
      <w:r>
        <w:rPr>
          <w:rFonts w:ascii="Arial" w:cs="Arial" w:eastAsia="Arial" w:hAnsi="Arial"/>
          <w:sz w:val="18"/>
          <w:szCs w:val="18"/>
          <w:color w:val="auto"/>
        </w:rPr>
        <w:t>, and Mr. Kung’s annual target bonus is</w:t>
      </w:r>
      <w:r>
        <w:rPr>
          <w:sz w:val="20"/>
          <w:szCs w:val="20"/>
          <w:color w:val="auto"/>
        </w:rPr>
        <w:tab/>
      </w:r>
      <w:r>
        <w:rPr>
          <w:rFonts w:ascii="Arial" w:cs="Arial" w:eastAsia="Arial" w:hAnsi="Arial"/>
          <w:sz w:val="17"/>
          <w:szCs w:val="17"/>
          <w:color w:val="auto"/>
        </w:rPr>
        <w:t>% of his annual base salary.</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Deepika Jalota, Pharm.D.</w:t>
      </w:r>
    </w:p>
    <w:p>
      <w:pPr>
        <w:spacing w:after="0" w:line="104"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We have entered into an employment offer letter agreement with Dr. Jalota in connection with his or her employment with us. This offer letter provides for “at will” employment.</w:t>
      </w:r>
    </w:p>
    <w:p>
      <w:pPr>
        <w:spacing w:after="0" w:line="145" w:lineRule="exact"/>
        <w:rPr>
          <w:sz w:val="20"/>
          <w:szCs w:val="20"/>
          <w:color w:val="auto"/>
        </w:rPr>
      </w:pPr>
    </w:p>
    <w:p>
      <w:pPr>
        <w:ind w:left="120" w:right="80" w:firstLine="551"/>
        <w:spacing w:after="0" w:line="262" w:lineRule="auto"/>
        <w:rPr>
          <w:sz w:val="20"/>
          <w:szCs w:val="20"/>
          <w:color w:val="auto"/>
        </w:rPr>
      </w:pPr>
      <w:r>
        <w:rPr>
          <w:rFonts w:ascii="Arial" w:cs="Arial" w:eastAsia="Arial" w:hAnsi="Arial"/>
          <w:sz w:val="17"/>
          <w:szCs w:val="17"/>
          <w:color w:val="auto"/>
        </w:rPr>
        <w:t>We currently expect that, prior to the completion of this offering, we will enter into a confirmatory employment letter with Dr. Jalota, our Senior Vice President and Head of Regulatory Affairs. The confirmatory employment letter currently is expected to have no specific</w:t>
      </w:r>
    </w:p>
    <w:p>
      <w:pPr>
        <w:ind w:left="320" w:right="260" w:hanging="199"/>
        <w:spacing w:after="0" w:line="245" w:lineRule="auto"/>
        <w:rPr>
          <w:sz w:val="20"/>
          <w:szCs w:val="20"/>
          <w:color w:val="auto"/>
        </w:rPr>
      </w:pPr>
      <w:r>
        <w:rPr>
          <w:rFonts w:ascii="Arial" w:cs="Arial" w:eastAsia="Arial" w:hAnsi="Arial"/>
          <w:sz w:val="18"/>
          <w:szCs w:val="18"/>
          <w:color w:val="auto"/>
        </w:rPr>
        <w:t>term and will provide for at-will employment. Dr. Jalota’s current annual base salary is $</w:t>
      </w:r>
      <w:r>
        <w:rPr>
          <w:sz w:val="20"/>
          <w:szCs w:val="20"/>
          <w:color w:val="auto"/>
        </w:rPr>
        <w:t xml:space="preserve"> </w:t>
      </w:r>
      <w:r>
        <w:rPr>
          <w:rFonts w:ascii="Arial" w:cs="Arial" w:eastAsia="Arial" w:hAnsi="Arial"/>
          <w:sz w:val="18"/>
          <w:szCs w:val="18"/>
          <w:color w:val="auto"/>
        </w:rPr>
        <w:t>, and Dr. Jalota’s annual target bonus is % of her annual base salary.</w:t>
      </w:r>
    </w:p>
    <w:p>
      <w:pPr>
        <w:spacing w:after="0" w:line="200" w:lineRule="exact"/>
        <w:rPr>
          <w:sz w:val="20"/>
          <w:szCs w:val="20"/>
          <w:color w:val="auto"/>
        </w:rPr>
      </w:pP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 Bonus Plan</w:t>
      </w:r>
    </w:p>
    <w:p>
      <w:pPr>
        <w:spacing w:after="0" w:line="214" w:lineRule="exact"/>
        <w:rPr>
          <w:sz w:val="20"/>
          <w:szCs w:val="20"/>
          <w:color w:val="auto"/>
        </w:rPr>
      </w:pPr>
    </w:p>
    <w:p>
      <w:pPr>
        <w:jc w:val="both"/>
        <w:ind w:left="120" w:right="300" w:firstLine="551"/>
        <w:spacing w:after="0" w:line="248" w:lineRule="auto"/>
        <w:rPr>
          <w:sz w:val="20"/>
          <w:szCs w:val="20"/>
          <w:color w:val="auto"/>
        </w:rPr>
      </w:pPr>
      <w:r>
        <w:rPr>
          <w:rFonts w:ascii="Arial" w:cs="Arial" w:eastAsia="Arial" w:hAnsi="Arial"/>
          <w:sz w:val="18"/>
          <w:szCs w:val="18"/>
          <w:color w:val="auto"/>
        </w:rPr>
        <w:t>Each of our executive officers is eligible for an annual bonus under our management bonus plan and has an established target bonus amount as set forth in the section captioned “Executive Compensation—Employment Arrangements with Our Named Executive Officers.” For 2019, our board determined each eligible executive officer’s actual bonus based upon an assessment of achievement of corporate goals, which included specified study, pipeline and financial goals.</w:t>
      </w: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14"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We currently have a Change in Control and Severance Policy, or Severance Policy, and have entered into participation agreements under the Severance Policy with certain employees, including Dr. Mack, Mr. Kung and Dr. Jalota.</w:t>
      </w:r>
    </w:p>
    <w:p>
      <w:pPr>
        <w:spacing w:after="0" w:line="145"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The Severance Policy and related participation agreements provide that if we (or any of our subsidiaries) terminate a participant’s employment during the period beginning three months prior to and ending 12 months after a “change in control” (as defined in the Severance Policy) (such period, the “change in control period”) other than for “cause” (as defined in the Severance Policy), death or disability, and, in the case of Dr. Mack and Mr. Kung, the termination of employment by the participant for “good reason” (as defined in the Severance Policy), the participant will receive the following:</w:t>
      </w:r>
    </w:p>
    <w:p>
      <w:pPr>
        <w:spacing w:after="0" w:line="78" w:lineRule="exact"/>
        <w:rPr>
          <w:sz w:val="20"/>
          <w:szCs w:val="20"/>
          <w:color w:val="auto"/>
        </w:rPr>
      </w:pPr>
    </w:p>
    <w:p>
      <w:pPr>
        <w:ind w:left="880" w:hanging="224"/>
        <w:spacing w:after="0" w:line="255" w:lineRule="auto"/>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100% acceleration of unvested equity awards (in the case of performance-based equity awards, unless otherwise determined by us and set forth in the equity award agreement, all performance goals and other vesting criteria will be deemed achieved at 100% of target levels);</w:t>
      </w:r>
    </w:p>
    <w:p>
      <w:pPr>
        <w:spacing w:after="0" w:line="69" w:lineRule="exact"/>
        <w:rPr>
          <w:rFonts w:ascii="Arial" w:cs="Arial" w:eastAsia="Arial" w:hAnsi="Arial"/>
          <w:sz w:val="18"/>
          <w:szCs w:val="18"/>
          <w:color w:val="auto"/>
        </w:rPr>
      </w:pPr>
    </w:p>
    <w:p>
      <w:pPr>
        <w:ind w:left="880" w:right="480" w:hanging="224"/>
        <w:spacing w:after="0" w:line="276" w:lineRule="auto"/>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lump sum payment equal to the amount specified in the participant’s participation agreement (18 months’ base salary for Dr. Mack, 12 months’ base salary for Mr. Kung and six months for Dr. Jalota);</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lump sum payment equal to a pro-rata portion of the participant’s target annual bonus for the year of termination; and</w:t>
      </w:r>
    </w:p>
    <w:p>
      <w:pPr>
        <w:spacing w:after="0" w:line="117"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payment or reimbursement of the participant’s COBRA coverage or COBRA benefit, as applicable, for a time period specified in the participant’s participation agreement (18 months for Dr. Mack, 12 months for Mr. Kung and six months for Dr. Jalota).</w:t>
      </w:r>
    </w:p>
    <w:p>
      <w:pPr>
        <w:spacing w:after="0" w:line="145" w:lineRule="exact"/>
        <w:rPr>
          <w:sz w:val="20"/>
          <w:szCs w:val="20"/>
          <w:color w:val="auto"/>
        </w:rPr>
      </w:pPr>
    </w:p>
    <w:p>
      <w:pPr>
        <w:ind w:left="120" w:right="480" w:firstLine="551"/>
        <w:spacing w:after="0" w:line="255" w:lineRule="auto"/>
        <w:rPr>
          <w:sz w:val="20"/>
          <w:szCs w:val="20"/>
          <w:color w:val="auto"/>
        </w:rPr>
      </w:pPr>
      <w:r>
        <w:rPr>
          <w:rFonts w:ascii="Arial" w:cs="Arial" w:eastAsia="Arial" w:hAnsi="Arial"/>
          <w:sz w:val="18"/>
          <w:szCs w:val="18"/>
          <w:color w:val="auto"/>
        </w:rPr>
        <w:t>The Severance Policy and related participation agreements also provide that if we (or one of our subsidiaries) terminate a participant’s employment outside the change in control period other than for cause, death or disability, the participant will receive the following:</w:t>
      </w:r>
    </w:p>
    <w:p>
      <w:pPr>
        <w:spacing w:after="0" w:line="69" w:lineRule="exact"/>
        <w:rPr>
          <w:sz w:val="20"/>
          <w:szCs w:val="20"/>
          <w:color w:val="auto"/>
        </w:rPr>
      </w:pPr>
    </w:p>
    <w:p>
      <w:pPr>
        <w:ind w:left="880" w:right="420" w:hanging="224"/>
        <w:spacing w:after="0" w:line="276"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acceleration of vesting of time-based unvested equity awards equal to the amount specified in the participant’s participation agreement (equal to the number of shares otherwise scheduled to</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80"/>
          </w:cols>
          <w:pgMar w:left="320" w:top="455" w:right="49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420"/>
        <w:spacing w:after="0" w:line="276" w:lineRule="auto"/>
        <w:rPr>
          <w:sz w:val="20"/>
          <w:szCs w:val="20"/>
          <w:color w:val="auto"/>
        </w:rPr>
      </w:pPr>
      <w:r>
        <w:rPr>
          <w:rFonts w:ascii="Arial" w:cs="Arial" w:eastAsia="Arial" w:hAnsi="Arial"/>
          <w:sz w:val="18"/>
          <w:szCs w:val="18"/>
          <w:color w:val="auto"/>
        </w:rPr>
        <w:t>vest during the 12 month period following the date of termination for Dr. Mack and the six month period following the date of termination for Mr. Kung and Dr. Jalota);</w:t>
      </w:r>
    </w:p>
    <w:p>
      <w:pPr>
        <w:spacing w:after="0" w:line="50" w:lineRule="exact"/>
        <w:rPr>
          <w:sz w:val="20"/>
          <w:szCs w:val="20"/>
          <w:color w:val="auto"/>
        </w:rPr>
      </w:pPr>
    </w:p>
    <w:p>
      <w:pPr>
        <w:ind w:left="880" w:right="60" w:hanging="224"/>
        <w:spacing w:after="0" w:line="276" w:lineRule="auto"/>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lump sum payment equal to amount specified in the participant’s participation agreement (12 months’ base salary for Dr. Mack and six months’ base salary for Mr. Kung and Dr. Jalota); and</w:t>
      </w:r>
    </w:p>
    <w:p>
      <w:pPr>
        <w:spacing w:after="0" w:line="50"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payment or reimbursement of the participant’s COBRA coverage or COBRA benefit, as applicable, for a time period specified in the participant’s participation agreement (12 months for Dr. Mack and six months for Mr. Kung and Dr. Jalota).</w:t>
      </w:r>
    </w:p>
    <w:p>
      <w:pPr>
        <w:spacing w:after="0" w:line="14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In addition, the Severance Policy provides that if any payments or benefits received by a participant under the Severance Policy or otherwise would constitute “parachute payments” within the meaning of Section 280G of the U.S. Internal Revenue Code of 1986, as amended, or Code, and be subject to excise taxes imposed by Section 4999 of the Code, such amount will either be delivered in full or reduced so as not to be subject to excise taxation, whichever amount is higher, taking into account applicable taxes. The Severance Policy does not require us to provide any tax gross-ups.</w:t>
      </w:r>
    </w:p>
    <w:p>
      <w:pPr>
        <w:spacing w:after="0" w:line="172" w:lineRule="exact"/>
        <w:rPr>
          <w:sz w:val="20"/>
          <w:szCs w:val="20"/>
          <w:color w:val="auto"/>
        </w:rPr>
      </w:pPr>
    </w:p>
    <w:p>
      <w:pPr>
        <w:ind w:left="120" w:right="580" w:firstLine="551"/>
        <w:spacing w:after="0" w:line="276" w:lineRule="auto"/>
        <w:rPr>
          <w:sz w:val="20"/>
          <w:szCs w:val="20"/>
          <w:color w:val="auto"/>
        </w:rPr>
      </w:pPr>
      <w:r>
        <w:rPr>
          <w:rFonts w:ascii="Arial" w:cs="Arial" w:eastAsia="Arial" w:hAnsi="Arial"/>
          <w:sz w:val="18"/>
          <w:szCs w:val="18"/>
          <w:color w:val="auto"/>
        </w:rPr>
        <w:t>To receive the severance described above, the participant must sign and not revoke our standard separation agreement and release of claims within the timeframe that is set forth in the Severance Policy.</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Employee Benefit and Stock Plans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Equity Incentive Plan (2020 Plan)</w:t>
      </w:r>
    </w:p>
    <w:p>
      <w:pPr>
        <w:spacing w:after="0" w:line="10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Prior to the effectiveness of this offering, we expect that our board of directors will adopt, and our stockholders will approve, our 2020 Equity Incentive Plan, or 2020 Plan. The 2020 Plan will be effective on the business day immediately prior to the effective date of the registration statement of which this prospectus forms a part. Our 2020 Plan will provide for the grant of incentive stock options, within the meaning of Section 422 of the Code, to our employees and any of our parent and subsidiary corporations’ employees, and for the grant of nonstatutory stock options, restricted stock, restricted stock units, stock appreciation rights, performance units, and performance shares to our employees, directors, and consultants and our subsidiary corporations’ employees and consultants.</w:t>
      </w:r>
    </w:p>
    <w:p>
      <w:pPr>
        <w:spacing w:after="0" w:line="17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A total of shares of our common stock are reserved for issuance pursuant to our 2020 Plan. In addition,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shares reserved for issuance under our 2020 Plan will also include (i) those shares reserved but unissued under our 2013 Plan as of the date of stockholder approval of the 2020 Plan and (ii) shares of our common stock subject to awards granted under our 2013 Plan that, after the date of stockholder approval of the 2020 Plan, expire or otherwise terminate without having been exercised in full or are forfeited to or repurchased by us (provided that the maximum number of shares that may be added to the 2020 Plan pursuant to (i) and (ii)</w:t>
      </w:r>
    </w:p>
    <w:p>
      <w:pPr>
        <w:spacing w:after="0" w:line="4" w:lineRule="exact"/>
        <w:rPr>
          <w:sz w:val="20"/>
          <w:szCs w:val="20"/>
          <w:color w:val="auto"/>
        </w:rPr>
      </w:pPr>
    </w:p>
    <w:p>
      <w:pPr>
        <w:ind w:left="120" w:right="60"/>
        <w:spacing w:after="0" w:line="250" w:lineRule="auto"/>
        <w:rPr>
          <w:sz w:val="20"/>
          <w:szCs w:val="20"/>
          <w:color w:val="auto"/>
        </w:rPr>
      </w:pPr>
      <w:r>
        <w:rPr>
          <w:rFonts w:ascii="Arial" w:cs="Arial" w:eastAsia="Arial" w:hAnsi="Arial"/>
          <w:sz w:val="18"/>
          <w:szCs w:val="18"/>
          <w:color w:val="auto"/>
        </w:rPr>
        <w:t>is shares). The number of shares available for issuance under our 2020 Plan will also include an annual increase on the first day of each fiscal year beginning with our 2021 fiscal year, equal to the lesser of:</w:t>
      </w:r>
    </w:p>
    <w:p>
      <w:pPr>
        <w:spacing w:after="0" w:line="73" w:lineRule="exact"/>
        <w:rPr>
          <w:sz w:val="20"/>
          <w:szCs w:val="20"/>
          <w:color w:val="auto"/>
        </w:rPr>
      </w:pPr>
    </w:p>
    <w:p>
      <w:pPr>
        <w:ind w:left="1480" w:hanging="824"/>
        <w:spacing w:after="0"/>
        <w:tabs>
          <w:tab w:leader="none" w:pos="1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shares;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of the outstanding shares of our common stock as of the last day of the immediately preceding fiscal year;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such other amount as our board of directors may determine.</w:t>
      </w:r>
    </w:p>
    <w:p>
      <w:pPr>
        <w:spacing w:after="0" w:line="212" w:lineRule="exact"/>
        <w:rPr>
          <w:sz w:val="20"/>
          <w:szCs w:val="20"/>
          <w:color w:val="auto"/>
        </w:rPr>
      </w:pPr>
    </w:p>
    <w:p>
      <w:pPr>
        <w:ind w:left="120" w:right="560" w:firstLine="551"/>
        <w:spacing w:after="0" w:line="276" w:lineRule="auto"/>
        <w:rPr>
          <w:sz w:val="20"/>
          <w:szCs w:val="20"/>
          <w:color w:val="auto"/>
        </w:rPr>
      </w:pPr>
      <w:r>
        <w:rPr>
          <w:rFonts w:ascii="Arial" w:cs="Arial" w:eastAsia="Arial" w:hAnsi="Arial"/>
          <w:sz w:val="18"/>
          <w:szCs w:val="18"/>
          <w:color w:val="auto"/>
        </w:rPr>
        <w:t>If an award expires or becomes unexercisable without having been exercised in full, is surrendered pursuant to an exchange program, or, with respect to restricted stock, restricted stock</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units, performance units or performance shares, is forfeited to or repurchased by us due to failure to vest, the unpurchased shares (or for awards other than stock options or stock appreciation rights, the forfeited or repurchased shares) will become available for future grant or sale under the 2020 Plan (unless the 2020 Plan has terminated). With respect to stock appreciation rights, only the net shares actually issued will cease to be available under the 2020 Plan and all remaining shares under stock appreciation rights will remain available for future grant or sale under the 2020 Plan (unless the 2020 Plan has terminated). Shares that have actually been issued under the 2020 Plan will not be returned to the 2020 Plan except if shares issued pursuant to awards of restricted stock, restricted stock units, performance shares, or performance units are repurchased by or forfeited to us, such shares will become available for future grant under the 2020 Plan. Shares used to pay the exercise price of an award or satisfy the tax withholding obligations related to an award will become available for future grant or sale under the 2020 Plan. To the extent an award is paid out in cash rather than shares, such cash payment will not result in a reduction in the number of shares available for issuance under the 2020 Plan.</w:t>
      </w:r>
    </w:p>
    <w:p>
      <w:pPr>
        <w:spacing w:after="0" w:line="180"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one or more committees appointed by our board of directors will administer our</w:t>
      </w:r>
      <w:r>
        <w:rPr>
          <w:rFonts w:ascii="Arial" w:cs="Arial" w:eastAsia="Arial" w:hAnsi="Arial"/>
          <w:sz w:val="18"/>
          <w:szCs w:val="18"/>
          <w:i w:val="1"/>
          <w:iCs w:val="1"/>
          <w:color w:val="auto"/>
        </w:rPr>
        <w:t xml:space="preserve"> </w:t>
      </w:r>
      <w:r>
        <w:rPr>
          <w:rFonts w:ascii="Arial" w:cs="Arial" w:eastAsia="Arial" w:hAnsi="Arial"/>
          <w:sz w:val="18"/>
          <w:szCs w:val="18"/>
          <w:color w:val="auto"/>
        </w:rPr>
        <w:t>2020 Plan. The compensation committee of our board of directors will initially administer our 2020 Plan. In addition, if we determine it is desirable to qualify transactions under our 2020 Plan as exempt under Rule 16b-3 of the Securities Exchange Act of 1934, as amended, or Exchange Act, such transactions will be structured to satisfy the requirements for exemption under Rule 16b-3. Subject to the provisions of our 2020 Plan, the administrator has the power to administer our 2020 Plan and make all determinations deemed necessary or advisable for administering the 2020 Plan, including but not limited to, the power to determine the fair market value of our common stock, select the service providers to whom awards may be granted, determine the number of shares covered by each award, approve forms of award agreements for use under the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2020 Plan and awards granted under it, prescribe, amend and rescind rules relating to our 2020 Plan, including creating sub-plans, modify or amend each award, including but not limited to the discretionary authority to extend the post-termination exercisability period of awards (except no option or stock appreciation right will be extended past its original maximum term), and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and/or different terms, awards of a different type, and/or cash or by which the exercise price of an outstanding award is increased or reduced. The administrator’s decisions, interpretations and other actions are final and binding on all participants.</w:t>
      </w:r>
    </w:p>
    <w:p>
      <w:pPr>
        <w:spacing w:after="0" w:line="18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may be granted under our 2020 Plan. The exercise price of options granted under our 2020 Plan</w:t>
      </w:r>
      <w:r>
        <w:rPr>
          <w:rFonts w:ascii="Arial" w:cs="Arial" w:eastAsia="Arial" w:hAnsi="Arial"/>
          <w:sz w:val="18"/>
          <w:szCs w:val="18"/>
          <w:i w:val="1"/>
          <w:iCs w:val="1"/>
          <w:color w:val="auto"/>
        </w:rPr>
        <w:t xml:space="preserve"> </w:t>
      </w:r>
      <w:r>
        <w:rPr>
          <w:rFonts w:ascii="Arial" w:cs="Arial" w:eastAsia="Arial" w:hAnsi="Arial"/>
          <w:sz w:val="18"/>
          <w:szCs w:val="18"/>
          <w:color w:val="auto"/>
        </w:rPr>
        <w:t>must at least be equal to the fair market value of our common stock on the date of grant. The term of an option may not exceed ten years. With respect to any participant who owns more than 10% of the voting power of all classes of our (or any parent or subsidiary of ours) outstanding stock, the term of an incentive stock option granted to such participant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60"/>
        <w:spacing w:after="0" w:line="248" w:lineRule="auto"/>
        <w:rPr>
          <w:sz w:val="20"/>
          <w:szCs w:val="20"/>
          <w:color w:val="auto"/>
        </w:rPr>
      </w:pPr>
      <w:r>
        <w:rPr>
          <w:rFonts w:ascii="Arial" w:cs="Arial" w:eastAsia="Arial" w:hAnsi="Arial"/>
          <w:sz w:val="18"/>
          <w:szCs w:val="18"/>
          <w:color w:val="auto"/>
        </w:rPr>
        <w:t>is due to death or disability, the option will remain exercisable for twelve months following the termination of service. In all other cases, in the absence of a specified time in an award agreement, the option will remain exercisable for three months following the termination of service. An option, however, may not be exercised later than the expiration of its term. Subject to the provisions of our 2020 Plan, the administrator determines the other terms of options.</w:t>
      </w:r>
    </w:p>
    <w:p>
      <w:pPr>
        <w:spacing w:after="0" w:line="17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Stock appreciation rights may be granted under our 2020 Plan. Stock appreciation rights allow the</w:t>
      </w:r>
      <w:r>
        <w:rPr>
          <w:rFonts w:ascii="Arial" w:cs="Arial" w:eastAsia="Arial" w:hAnsi="Arial"/>
          <w:sz w:val="18"/>
          <w:szCs w:val="18"/>
          <w:i w:val="1"/>
          <w:iCs w:val="1"/>
          <w:color w:val="auto"/>
        </w:rPr>
        <w:t xml:space="preserve"> </w:t>
      </w:r>
      <w:r>
        <w:rPr>
          <w:rFonts w:ascii="Arial" w:cs="Arial" w:eastAsia="Arial" w:hAnsi="Arial"/>
          <w:sz w:val="18"/>
          <w:szCs w:val="18"/>
          <w:color w:val="auto"/>
        </w:rPr>
        <w:t>recipient to receive the appreciation in the fair market value of our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twelve months following the termination of service.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2020 Plan, the administrator determines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83"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Restricted stock may be granted under our 2020 Plan. Restricted stock awards are grants of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that vest in accordance with terms and conditions established by the administrator. The administrator will determine the number of shares of restricted stock granted to any employee, director, or consultant and, subject to the provisions of our 2020 Plan, will determine the terms and conditions of such awards. The administrator may impose whatever vesting conditions it determines to be appropriate (for example, the administrator may set restrictions based on the achievement of specific performance goals or continued service to us), except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our right of repurchase or forfeiture.</w:t>
      </w:r>
    </w:p>
    <w:p>
      <w:pPr>
        <w:spacing w:after="0" w:line="17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Restricted stock units may be granted under our 2020 Plan. Restricted stock units are bookkeeping</w:t>
      </w:r>
      <w:r>
        <w:rPr>
          <w:rFonts w:ascii="Arial" w:cs="Arial" w:eastAsia="Arial" w:hAnsi="Arial"/>
          <w:sz w:val="18"/>
          <w:szCs w:val="18"/>
          <w:i w:val="1"/>
          <w:iCs w:val="1"/>
          <w:color w:val="auto"/>
        </w:rPr>
        <w:t xml:space="preserve"> </w:t>
      </w:r>
      <w:r>
        <w:rPr>
          <w:rFonts w:ascii="Arial" w:cs="Arial" w:eastAsia="Arial" w:hAnsi="Arial"/>
          <w:sz w:val="18"/>
          <w:szCs w:val="18"/>
          <w:color w:val="auto"/>
        </w:rPr>
        <w:t>entries representing an amount equal to the fair market value of one share of our common stock. Subject to the provisions of our 2020 Plan, the administrator determines the terms and conditions of restricted stock units, including the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In addition, the administrator, in its sole discretion, may accelerate the time at which any restrictions will lapse or be removed.</w:t>
      </w:r>
    </w:p>
    <w:p>
      <w:pPr>
        <w:spacing w:after="0" w:line="180"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i w:val="1"/>
          <w:iCs w:val="1"/>
          <w:color w:val="auto"/>
        </w:rPr>
        <w:t>Performance Units and Performance Shares</w:t>
      </w:r>
      <w:r>
        <w:rPr>
          <w:rFonts w:ascii="Arial" w:cs="Arial" w:eastAsia="Arial" w:hAnsi="Arial"/>
          <w:sz w:val="18"/>
          <w:szCs w:val="18"/>
          <w:color w:val="auto"/>
        </w:rPr>
        <w:t>. Performance units and performance shares may be granted under our 2020 Plan.</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units and performance shares are awards that will result in a payment to a participant only if performance objectives established by the administrator are achieved or the awards otherwise vest. The administrator will establish performance objectives or other vesting criteria in its discretion, which, depending on the extent to which they are met, will determine the number or the value of performance units and performance shares to be paid out to participants. The administrator may set performance objectives based on the achievement of company-wide,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1" w:lineRule="auto"/>
        <w:rPr>
          <w:sz w:val="20"/>
          <w:szCs w:val="20"/>
          <w:color w:val="auto"/>
        </w:rPr>
      </w:pPr>
      <w:r>
        <w:rPr>
          <w:rFonts w:ascii="Arial" w:cs="Arial" w:eastAsia="Arial" w:hAnsi="Arial"/>
          <w:sz w:val="18"/>
          <w:szCs w:val="18"/>
          <w:color w:val="auto"/>
        </w:rPr>
        <w:t>divisional, business unit or individual goals (including, but not limited to,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objectives or other vesting provisions for such performance units or performance shares. Performance units will have an initial value established by the administrator on or prior to the grant date. Performance shares will have an initial value equal to the fair market value of our common stock on the grant date. The administrator, in its sole discretion, may pay out earned performance units or performance shares in cash, shares or in some combination thereof.</w:t>
      </w:r>
    </w:p>
    <w:p>
      <w:pPr>
        <w:spacing w:after="0" w:line="179" w:lineRule="exact"/>
        <w:rPr>
          <w:sz w:val="20"/>
          <w:szCs w:val="20"/>
          <w:color w:val="auto"/>
        </w:rPr>
      </w:pPr>
    </w:p>
    <w:p>
      <w:pPr>
        <w:ind w:left="120" w:right="160" w:firstLine="551"/>
        <w:spacing w:after="0" w:line="257" w:lineRule="auto"/>
        <w:rPr>
          <w:sz w:val="20"/>
          <w:szCs w:val="20"/>
          <w:color w:val="auto"/>
        </w:rPr>
      </w:pPr>
      <w:r>
        <w:rPr>
          <w:rFonts w:ascii="Arial" w:cs="Arial" w:eastAsia="Arial" w:hAnsi="Arial"/>
          <w:sz w:val="17"/>
          <w:szCs w:val="17"/>
          <w:i w:val="1"/>
          <w:iCs w:val="1"/>
          <w:color w:val="auto"/>
        </w:rPr>
        <w:t>Outside Directors</w:t>
      </w:r>
      <w:r>
        <w:rPr>
          <w:rFonts w:ascii="Arial" w:cs="Arial" w:eastAsia="Arial" w:hAnsi="Arial"/>
          <w:sz w:val="17"/>
          <w:szCs w:val="17"/>
          <w:color w:val="auto"/>
        </w:rPr>
        <w:t>. All outside (non-employee) directors will be eligible to receive all types of awards (except for incentive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under our 2020 Plan. To provide a maximum limit on the cash compensation and equity awards that can be made to our outside directors, our 2020 Plan provides that in any given fiscal year, an outside director will not be granted cash compensation and equity</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awards with an aggregate value greater than $ (increased to $ in the fiscal year of his or her initial service as an outside director), with the value of each equity award based on its grant date fair value as determined according to GAAP for purposes of this limit. Any cash compensation paid or awards granted to an individual for his or her services as an employee or consultant (other than as an outside director) will not count toward this limit.</w:t>
      </w:r>
    </w:p>
    <w:p>
      <w:pPr>
        <w:spacing w:after="0" w:line="176" w:lineRule="exact"/>
        <w:rPr>
          <w:sz w:val="20"/>
          <w:szCs w:val="20"/>
          <w:color w:val="auto"/>
        </w:rPr>
      </w:pPr>
    </w:p>
    <w:p>
      <w:pPr>
        <w:jc w:val="both"/>
        <w:ind w:left="120" w:right="520" w:firstLine="551"/>
        <w:spacing w:after="0" w:line="255"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Unless the administrator provides otherwise, our 2020 Plan generally does not allow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awards and only the recipient of an award may exercise an award during his or her lifetime. If the administrator makes an award transferrable, such award will contain such additional terms and conditions as the administrator deems appropriate.</w:t>
      </w:r>
    </w:p>
    <w:p>
      <w:pPr>
        <w:spacing w:after="0" w:line="164" w:lineRule="exact"/>
        <w:rPr>
          <w:sz w:val="20"/>
          <w:szCs w:val="20"/>
          <w:color w:val="auto"/>
        </w:rPr>
      </w:pPr>
    </w:p>
    <w:p>
      <w:pPr>
        <w:jc w:val="both"/>
        <w:ind w:left="120" w:right="60" w:firstLine="551"/>
        <w:spacing w:after="0" w:line="248" w:lineRule="auto"/>
        <w:rPr>
          <w:sz w:val="20"/>
          <w:szCs w:val="20"/>
          <w:color w:val="auto"/>
        </w:rPr>
      </w:pPr>
      <w:r>
        <w:rPr>
          <w:rFonts w:ascii="Arial" w:cs="Arial" w:eastAsia="Arial" w:hAnsi="Arial"/>
          <w:sz w:val="18"/>
          <w:szCs w:val="18"/>
          <w:i w:val="1"/>
          <w:iCs w:val="1"/>
          <w:color w:val="auto"/>
        </w:rPr>
        <w:t>Certain Adjustments</w:t>
      </w:r>
      <w:r>
        <w:rPr>
          <w:rFonts w:ascii="Arial" w:cs="Arial" w:eastAsia="Arial" w:hAnsi="Arial"/>
          <w:sz w:val="18"/>
          <w:szCs w:val="18"/>
          <w:color w:val="auto"/>
        </w:rPr>
        <w:t>. In the event of certain changes in our capitalization, to prevent diminution or enlargement of the benefits or</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benefits available under our 2020 Plan, the administrator will adjust the number and class of shares that may be delivered under our 2020 Plan and/or the number, class and price of shares covered by each outstanding award and the numerical share limits set forth in our 2020 Plan.</w:t>
      </w:r>
    </w:p>
    <w:p>
      <w:pPr>
        <w:spacing w:after="0" w:line="170"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proposed liquidation or dissolution, the administrator will notify participants as soon</w:t>
      </w:r>
      <w:r>
        <w:rPr>
          <w:rFonts w:ascii="Arial" w:cs="Arial" w:eastAsia="Arial" w:hAnsi="Arial"/>
          <w:sz w:val="18"/>
          <w:szCs w:val="18"/>
          <w:i w:val="1"/>
          <w:iCs w:val="1"/>
          <w:color w:val="auto"/>
        </w:rPr>
        <w:t xml:space="preserve"> </w:t>
      </w:r>
      <w:r>
        <w:rPr>
          <w:rFonts w:ascii="Arial" w:cs="Arial" w:eastAsia="Arial" w:hAnsi="Arial"/>
          <w:sz w:val="18"/>
          <w:szCs w:val="18"/>
          <w:color w:val="auto"/>
        </w:rPr>
        <w:t>as practicable and, to the extent not exercised, all awards will terminate immediately prior to the consummation of such proposed transaction.</w:t>
      </w:r>
    </w:p>
    <w:p>
      <w:pPr>
        <w:spacing w:after="0" w:line="164" w:lineRule="exact"/>
        <w:rPr>
          <w:sz w:val="20"/>
          <w:szCs w:val="20"/>
          <w:color w:val="auto"/>
        </w:rPr>
      </w:pPr>
    </w:p>
    <w:p>
      <w:pPr>
        <w:jc w:val="both"/>
        <w:ind w:left="120" w:right="260" w:firstLine="551"/>
        <w:spacing w:after="0" w:line="255" w:lineRule="auto"/>
        <w:rPr>
          <w:sz w:val="20"/>
          <w:szCs w:val="20"/>
          <w:color w:val="auto"/>
        </w:rPr>
      </w:pPr>
      <w:r>
        <w:rPr>
          <w:rFonts w:ascii="Arial" w:cs="Arial" w:eastAsia="Arial" w:hAnsi="Arial"/>
          <w:sz w:val="18"/>
          <w:szCs w:val="18"/>
          <w:i w:val="1"/>
          <w:iCs w:val="1"/>
          <w:color w:val="auto"/>
        </w:rPr>
        <w:t>Merger or Change in Control</w:t>
      </w:r>
      <w:r>
        <w:rPr>
          <w:rFonts w:ascii="Arial" w:cs="Arial" w:eastAsia="Arial" w:hAnsi="Arial"/>
          <w:sz w:val="18"/>
          <w:szCs w:val="18"/>
          <w:color w:val="auto"/>
        </w:rPr>
        <w:t>. Our 2020 Plan provides that in the event of a merger or change in control, as defined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2020 Plan, each outstanding award will be treated as the administrator determines, without a participant’s consent. The administrator is not required to treat all awards, all awards held by a participant or all awards of the same type similarly.</w:t>
      </w:r>
    </w:p>
    <w:p>
      <w:pPr>
        <w:spacing w:after="0" w:line="16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If a successor corporation does not assume or substitute for any outstanding award, then the participant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 If an option or stock appreciation right is not assumed or substituted in the event of a change in control,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For awards granted to an outside director, in the event of a change in control, the outside director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w:t>
      </w:r>
    </w:p>
    <w:p>
      <w:pPr>
        <w:spacing w:after="0" w:line="172" w:lineRule="exact"/>
        <w:rPr>
          <w:sz w:val="20"/>
          <w:szCs w:val="20"/>
          <w:color w:val="auto"/>
        </w:rPr>
      </w:pPr>
    </w:p>
    <w:p>
      <w:pPr>
        <w:ind w:left="120" w:right="40" w:firstLine="551"/>
        <w:spacing w:after="0" w:line="263" w:lineRule="auto"/>
        <w:rPr>
          <w:sz w:val="20"/>
          <w:szCs w:val="20"/>
          <w:color w:val="auto"/>
        </w:rPr>
      </w:pPr>
      <w:r>
        <w:rPr>
          <w:rFonts w:ascii="Arial" w:cs="Arial" w:eastAsia="Arial" w:hAnsi="Arial"/>
          <w:sz w:val="17"/>
          <w:szCs w:val="17"/>
          <w:i w:val="1"/>
          <w:iCs w:val="1"/>
          <w:color w:val="auto"/>
        </w:rPr>
        <w:t>Clawback</w:t>
      </w:r>
      <w:r>
        <w:rPr>
          <w:rFonts w:ascii="Arial" w:cs="Arial" w:eastAsia="Arial" w:hAnsi="Arial"/>
          <w:sz w:val="17"/>
          <w:szCs w:val="17"/>
          <w:color w:val="auto"/>
        </w:rPr>
        <w:t>. Awards will be subject to any clawback policy of ours, and the administrator also may specify in an award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 participant’s rights, payments and/or benefits with respect to an award will be subject to reduction, cancellation, forfeiture and/or recoupment upon the occurrence of certain specified events. Our board of directors may require a participant to forfeit, return or reimburse us all or a portion of the award and/or shares issued under the award, any amounts paid under the award, and any payments or proceeds paid or provided upon disposition of the shares issued under the award in order to comply with such clawback policy or applicable laws.</w:t>
      </w:r>
    </w:p>
    <w:p>
      <w:pPr>
        <w:spacing w:after="0" w:line="157"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The administrator has the authority to amend, alter, suspend or terminate our 2020 Plan, provided such</w:t>
      </w:r>
      <w:r>
        <w:rPr>
          <w:rFonts w:ascii="Arial" w:cs="Arial" w:eastAsia="Arial" w:hAnsi="Arial"/>
          <w:sz w:val="18"/>
          <w:szCs w:val="18"/>
          <w:i w:val="1"/>
          <w:iCs w:val="1"/>
          <w:color w:val="auto"/>
        </w:rPr>
        <w:t xml:space="preserve"> </w:t>
      </w:r>
      <w:r>
        <w:rPr>
          <w:rFonts w:ascii="Arial" w:cs="Arial" w:eastAsia="Arial" w:hAnsi="Arial"/>
          <w:sz w:val="18"/>
          <w:szCs w:val="18"/>
          <w:color w:val="auto"/>
        </w:rPr>
        <w:t>action does not materially impair the rights of any participant. Our 2020 Plan automatically will terminate in 2030, unless we terminate it sooner.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2013 Equity Incentive Plan, as amended</w:t>
      </w:r>
    </w:p>
    <w:p>
      <w:pPr>
        <w:spacing w:after="0" w:line="10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Our 2013 Equity Incentive Plan, as amended, or 2013 Plan, was originally adopted by our board of directors and approved by our stockholders in July 2013. Our 2013 Plan was most recently amended in November 2019 and approved by stockholders in November 2019.</w:t>
      </w:r>
    </w:p>
    <w:p>
      <w:pPr>
        <w:spacing w:after="0" w:line="16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Our 2013 Plan allows us to provide incentive stock options, within the meaning of Section 422 of the Code, nonstatutory stock options, stock appreciation rights, restricted stock awards and restricted stock units (each, an “award” and the recipient of such award, a “participant”) to eligible employees, directors, and consultants of ours and any parent or subsidiary of ours. It is expected that as of one business day prior to the effectiveness of the registration statement of which this prospectus forms a part, our 2013 Plan will be terminated and we will not grant any additional awards under our 2013 Plan thereafter. However, our 2013 Plan will continue to govern the terms and conditions of the outstanding awards previously granted under our 2013 Plan.</w:t>
      </w:r>
    </w:p>
    <w:p>
      <w:pPr>
        <w:sectPr>
          <w:pgSz w:w="11900" w:h="16838" w:orient="portrait"/>
          <w:cols w:equalWidth="0" w:num="1">
            <w:col w:w="11140"/>
          </w:cols>
          <w:pgMar w:left="320" w:top="455" w:right="439" w:bottom="1440" w:gutter="0" w:footer="0" w:header="0"/>
        </w:sectPr>
      </w:pPr>
    </w:p>
    <w:p>
      <w:pPr>
        <w:spacing w:after="0" w:line="174" w:lineRule="exact"/>
        <w:rPr>
          <w:sz w:val="20"/>
          <w:szCs w:val="20"/>
          <w:color w:val="auto"/>
        </w:rPr>
      </w:pPr>
    </w:p>
    <w:p>
      <w:pPr>
        <w:ind w:left="120" w:right="80" w:firstLine="551"/>
        <w:spacing w:after="0" w:line="276" w:lineRule="auto"/>
        <w:rPr>
          <w:sz w:val="20"/>
          <w:szCs w:val="20"/>
          <w:color w:val="auto"/>
        </w:rPr>
      </w:pPr>
      <w:r>
        <w:rPr>
          <w:rFonts w:ascii="Arial" w:cs="Arial" w:eastAsia="Arial" w:hAnsi="Arial"/>
          <w:sz w:val="18"/>
          <w:szCs w:val="18"/>
          <w:color w:val="auto"/>
        </w:rPr>
        <w:t>As of June 30, 2020, the following awards were outstanding under our 2013 Plan: stock options covering common stock.</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shares of our</w:t>
      </w:r>
    </w:p>
    <w:p>
      <w:pPr>
        <w:spacing w:after="0" w:line="425" w:lineRule="exact"/>
        <w:rPr>
          <w:sz w:val="20"/>
          <w:szCs w:val="20"/>
          <w:color w:val="auto"/>
        </w:rPr>
      </w:pPr>
    </w:p>
    <w:p>
      <w:pPr>
        <w:sectPr>
          <w:pgSz w:w="11900" w:h="16838" w:orient="portrait"/>
          <w:cols w:equalWidth="0" w:num="2">
            <w:col w:w="9060" w:space="720"/>
            <w:col w:w="1360"/>
          </w:cols>
          <w:pgMar w:left="320" w:top="455" w:right="439" w:bottom="1440" w:gutter="0" w:footer="0" w:header="0"/>
          <w:type w:val="continuous"/>
        </w:sectPr>
      </w:pPr>
    </w:p>
    <w:p>
      <w:pPr>
        <w:ind w:left="120" w:firstLine="551"/>
        <w:spacing w:after="0" w:line="245"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2013 Plan is administered by our board of directors or one or more committees appointed by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Different committees may administer our 2013 Plan with respect to different service providers. The administrator has all authority and discretion necessary or appropriate to administer our 2013 Plan and to control its operation, including the authority to construe and interpret the terms of our 2013 Plan and the awards granted under our 2013 Plan. The administrator’s decisions are final and binding on all participants and any other persons holding awards.</w:t>
      </w:r>
    </w:p>
    <w:p>
      <w:pPr>
        <w:spacing w:after="0" w:line="172"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 administrator’s powers include the power to institute an exchange program under which (i) outstanding awards are surrendered or cancelled in exchange for awards of the same type (which may have higher or lower exercise prices and different terms), awards of a different type or cash, (ii) participants would have the opportunity to transfer any outstanding awards to a financial institution or other person or entity selected by the administrator or (iii) the exercise price of an outstanding award is increased or reduced. The administrator’s powers also include the power to prescribe, amend and</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40"/>
          </w:cols>
          <w:pgMar w:left="320" w:top="455" w:right="439" w:bottom="1440" w:gutter="0" w:footer="0" w:header="0"/>
          <w:type w:val="continuous"/>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0"/>
        <w:spacing w:after="0" w:line="276" w:lineRule="auto"/>
        <w:rPr>
          <w:sz w:val="20"/>
          <w:szCs w:val="20"/>
          <w:color w:val="auto"/>
        </w:rPr>
      </w:pPr>
      <w:r>
        <w:rPr>
          <w:rFonts w:ascii="Arial" w:cs="Arial" w:eastAsia="Arial" w:hAnsi="Arial"/>
          <w:sz w:val="18"/>
          <w:szCs w:val="18"/>
          <w:color w:val="auto"/>
        </w:rPr>
        <w:t>rescind rules and regulations relating to our 2013 Plan, to modify or amend each award and to make all other determinations deemed necessary or advisable for administering our 2013 Plan.</w:t>
      </w:r>
    </w:p>
    <w:p>
      <w:pPr>
        <w:spacing w:after="0" w:line="145" w:lineRule="exact"/>
        <w:rPr>
          <w:sz w:val="20"/>
          <w:szCs w:val="20"/>
          <w:color w:val="auto"/>
        </w:rPr>
      </w:pPr>
    </w:p>
    <w:p>
      <w:pPr>
        <w:ind w:left="120" w:right="180" w:firstLine="551"/>
        <w:spacing w:after="0" w:line="248"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directors and consultants of ours or our parent or subsidiary companies are eligible to receive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such consultants render bona fide services not in connection with the offer and sale of securities in a capital-raising transaction and do not directly promote or maintain a market for our securities. Only our employees or employees of our parent or subsidiary companies are eligible to receive incentive stock options.</w:t>
      </w:r>
    </w:p>
    <w:p>
      <w:pPr>
        <w:spacing w:after="0" w:line="170"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have been granted under our 2013 Plan. Subject to the provisions of our 2013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determines the term of an option, the number of shares subject to an option and the time period in which an option may be exercised.</w:t>
      </w:r>
    </w:p>
    <w:p>
      <w:pPr>
        <w:spacing w:after="0" w:line="16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term of an option is stated in the applicable award agreement, but the term of an option may not exceed ten years from the grant date. The administrator determines the exercise price of options, which generally may not be less than 100% of the fair market value of our common stock on the grant date, unless expressly determined in writing by the administrator on the option’s grant date. However, an incentive stock option granted to an individual who directly or by attribution owns more than 10% of the total combined voting power of all of our classes of stock or of any our parent or subsidiary may have a term of no longer than 5 years from the grant date and will have an exercise price of at least 110% of the fair market value of our common stock on the grant date. In addition, to the extent that the aggregate fair market value of the shares with respect to which incentive stock options are exercisable for the first time by an employee during any calendar year (under all our plans and any parent or subsidiary) exceeds $100,000, such options will be treated as nonstatutory stock options. Certain of the company’s outstanding options under our 2013 Plan have an early exercise provisions pursuant to which the participate may exercise the option prior to the shares being fully vested.</w:t>
      </w:r>
    </w:p>
    <w:p>
      <w:pPr>
        <w:spacing w:after="0" w:line="180"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The administrator determines how a participant may pay the exercise price of an option, and the permissible methods are generally set forth in the applicable award agreement. If a participant’s status as a “service provider” (as defined in our 2013 Plan) terminates, that participant may exercise the vested portion of his or her option for the period of time stated in the applicable award agreement. Vested options generally will remain exercisable for three months or such longer period of time as set forth in the applicable award agreement if a participant’s status as a service provider terminates for a reason other than death or disability. If a participant’s status as a service provider terminates due to death or disability, vested options generally will remain exercisable for twelve months from the date of termination (or such other longer period as set forth in the applicable award agreement). In no event will an option remain exercisable beyond its original term. If a participant does not exercise his or her option within the time specified in the award agreement, the option will terminate. Except as described above, the administrator has the discretion to determine the post-termination exercisability periods for an option.</w:t>
      </w:r>
    </w:p>
    <w:p>
      <w:pPr>
        <w:spacing w:after="0" w:line="169" w:lineRule="exact"/>
        <w:rPr>
          <w:sz w:val="20"/>
          <w:szCs w:val="20"/>
          <w:color w:val="auto"/>
        </w:rPr>
      </w:pPr>
    </w:p>
    <w:p>
      <w:pPr>
        <w:ind w:left="120" w:right="280" w:firstLine="551"/>
        <w:spacing w:after="0" w:line="245"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Unless determined otherwise by the administrator, awards may not be sold, pledged, assigned,</w:t>
      </w:r>
      <w:r>
        <w:rPr>
          <w:rFonts w:ascii="Arial" w:cs="Arial" w:eastAsia="Arial" w:hAnsi="Arial"/>
          <w:sz w:val="18"/>
          <w:szCs w:val="18"/>
          <w:i w:val="1"/>
          <w:iCs w:val="1"/>
          <w:color w:val="auto"/>
        </w:rPr>
        <w:t xml:space="preserve"> </w:t>
      </w:r>
      <w:r>
        <w:rPr>
          <w:rFonts w:ascii="Arial" w:cs="Arial" w:eastAsia="Arial" w:hAnsi="Arial"/>
          <w:sz w:val="18"/>
          <w:szCs w:val="18"/>
          <w:color w:val="auto"/>
        </w:rPr>
        <w:t>hypothecated or otherwise transferred in any manner other than by will or by the laws of descent and distribution. In addition, during an applicable participant’s lifetime, only that participant may exercise their award. If the administrator makes an award transferable, such award may only be transferred (i) by will, (ii) by the laws of descent and distribution of cash, or (iii) as permitted by Rule 701 of the Securities Act of 1933, as amended, or Securities Act.</w:t>
      </w:r>
    </w:p>
    <w:p>
      <w:pPr>
        <w:spacing w:after="0" w:line="172"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i w:val="1"/>
          <w:iCs w:val="1"/>
          <w:color w:val="auto"/>
        </w:rPr>
        <w:t>Certain Adjustments</w:t>
      </w:r>
      <w:r>
        <w:rPr>
          <w:rFonts w:ascii="Arial" w:cs="Arial" w:eastAsia="Arial" w:hAnsi="Arial"/>
          <w:sz w:val="18"/>
          <w:szCs w:val="18"/>
          <w:color w:val="auto"/>
        </w:rPr>
        <w:t>. If there is a dividend or other distribution (whether in the form of cash, shares, other securities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recapitalization, stock split, reverse stock split, reorganization, merger, consolidation, split-up, spin-off, combination, repurchase, exchange of shares or our other securities or other change in our corporate structure affecting the shares, the administrator</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00"/>
          </w:cols>
          <w:pgMar w:left="320" w:top="455" w:right="47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will make proportionate adjustments to the number and type of shares that may be delivered under our 2013 Plan or the number, type and price of shares covered by each outstanding award. The administrator’s determination regarding such adjustments will be final, binding and conclusive.</w:t>
      </w:r>
    </w:p>
    <w:p>
      <w:pPr>
        <w:spacing w:after="0" w:line="164" w:lineRule="exact"/>
        <w:rPr>
          <w:sz w:val="20"/>
          <w:szCs w:val="20"/>
          <w:color w:val="auto"/>
        </w:rPr>
      </w:pPr>
    </w:p>
    <w:p>
      <w:pPr>
        <w:jc w:val="both"/>
        <w:ind w:left="120" w:right="180" w:firstLine="551"/>
        <w:spacing w:after="0" w:line="255"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proposed dissolution or liquidation, the administrator will notify each participant as</w:t>
      </w:r>
      <w:r>
        <w:rPr>
          <w:rFonts w:ascii="Arial" w:cs="Arial" w:eastAsia="Arial" w:hAnsi="Arial"/>
          <w:sz w:val="18"/>
          <w:szCs w:val="18"/>
          <w:i w:val="1"/>
          <w:iCs w:val="1"/>
          <w:color w:val="auto"/>
        </w:rPr>
        <w:t xml:space="preserve"> </w:t>
      </w:r>
      <w:r>
        <w:rPr>
          <w:rFonts w:ascii="Arial" w:cs="Arial" w:eastAsia="Arial" w:hAnsi="Arial"/>
          <w:sz w:val="18"/>
          <w:szCs w:val="18"/>
          <w:color w:val="auto"/>
        </w:rPr>
        <w:t>soon as practicable prior to the effective date of such proposed transaction. To the extent it has not been previously exercised, an award will terminate immediately prior to the consummation of such proposed action.</w:t>
      </w:r>
    </w:p>
    <w:p>
      <w:pPr>
        <w:spacing w:after="0" w:line="164" w:lineRule="exact"/>
        <w:rPr>
          <w:sz w:val="20"/>
          <w:szCs w:val="20"/>
          <w:color w:val="auto"/>
        </w:rPr>
      </w:pPr>
    </w:p>
    <w:p>
      <w:pPr>
        <w:ind w:left="120" w:right="280" w:firstLine="551"/>
        <w:spacing w:after="0" w:line="247" w:lineRule="auto"/>
        <w:rPr>
          <w:sz w:val="20"/>
          <w:szCs w:val="20"/>
          <w:color w:val="auto"/>
        </w:rPr>
      </w:pPr>
      <w:r>
        <w:rPr>
          <w:rFonts w:ascii="Arial" w:cs="Arial" w:eastAsia="Arial" w:hAnsi="Arial"/>
          <w:sz w:val="18"/>
          <w:szCs w:val="18"/>
          <w:i w:val="1"/>
          <w:iCs w:val="1"/>
          <w:color w:val="auto"/>
        </w:rPr>
        <w:t>Merger and Change of Control</w:t>
      </w:r>
      <w:r>
        <w:rPr>
          <w:rFonts w:ascii="Arial" w:cs="Arial" w:eastAsia="Arial" w:hAnsi="Arial"/>
          <w:sz w:val="18"/>
          <w:szCs w:val="18"/>
          <w:color w:val="auto"/>
        </w:rPr>
        <w:t>. In the event of our merger with or into another corporation or entity or a “change in control”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our 2013 Plan), each outstanding award will be treated as the administrator determines, including, without limitation, that</w:t>
      </w:r>
    </w:p>
    <w:p>
      <w:pPr>
        <w:spacing w:after="0" w:line="1" w:lineRule="exact"/>
        <w:rPr>
          <w:sz w:val="20"/>
          <w:szCs w:val="20"/>
          <w:color w:val="auto"/>
        </w:rPr>
      </w:pPr>
    </w:p>
    <w:p>
      <w:pPr>
        <w:ind w:left="120" w:hanging="4"/>
        <w:spacing w:after="0" w:line="236" w:lineRule="auto"/>
        <w:tabs>
          <w:tab w:leader="none" w:pos="33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awards will be assumed, or substantially equivalent awards will be substituted, by the acquiring or succeeding corporation (or an affiliate thereof) with appropriate adjustments as to the number and kind of shares and prices; (ii) upon written notice to a participant,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us without payment) or (B) the replacement of such award with other rights or property selected by the administrator in its sole discretion or (v) any combination of the foregoing. The administrator will not be obligated to treat all awards, all awards a participant holds or all awards of the same type, similarly.</w:t>
      </w:r>
    </w:p>
    <w:p>
      <w:pPr>
        <w:spacing w:after="0" w:line="18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the event that the successor corporation does not assume or substitute for an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80" w:lineRule="exact"/>
        <w:rPr>
          <w:sz w:val="20"/>
          <w:szCs w:val="20"/>
          <w:color w:val="auto"/>
        </w:rPr>
      </w:pPr>
    </w:p>
    <w:p>
      <w:pPr>
        <w:ind w:left="120" w:right="140" w:firstLine="551"/>
        <w:spacing w:after="0" w:line="241"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at any time, terminate or amend our 2013 Plan in any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without limitation, amendment of any form of award agreement or instrument to be executed pursuant to our 2013 Plan. To the extent necessary and desirable to comply with applicable laws, we will obtain stockholder approval of any amendment to our 2013 Plan. No amendment or alteration of our 2013 Plan will impair the rights of a participant, unless mutually agreed otherwise between the participant and the administrator in writing. As noted above, it is expected that as of one business day prior to the effectiveness of the registration statement of which this prospectus forms a part, our 2013 Plan will be terminated and we will not grant any additional awards under our 2013 Plan thereafter.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04"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We maintain a 401(k) retirement savings plan for the benefit of our employees, including our named executive officers, who satisfy certain eligibility requirements. Under the 401(k) plan, eligible employees may elect to defer a portion of their compensation, within the limits prescribed by the Code. The 401(k) plan is intended to qualify under Sections 401(a) and 501(a) of the Code. We do not provide for any matching contributions under the 401(k) plan.</w:t>
      </w:r>
    </w:p>
    <w:p>
      <w:pPr>
        <w:spacing w:after="0" w:line="27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21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Our amended and restated certificate of incorporation and amended and restated bylaws, each to be effective immediately after the completion of this offering, will provide that we will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76" w:lineRule="exact"/>
        <w:rPr>
          <w:sz w:val="20"/>
          <w:szCs w:val="20"/>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to our stockholders;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12"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79"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In addition to the indemnification required in our amended and restated certificate of incorporation and amended and restated bylaws, we have entered, and intend to continue to enter, into an indemnification agreement with each member of our board of directors and each of our officers prior to the completion of the offering.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76" w:lineRule="exact"/>
        <w:rPr>
          <w:sz w:val="20"/>
          <w:szCs w:val="20"/>
          <w:color w:val="auto"/>
        </w:rPr>
      </w:pPr>
    </w:p>
    <w:p>
      <w:pPr>
        <w:jc w:val="both"/>
        <w:ind w:left="120" w:right="160" w:firstLine="551"/>
        <w:spacing w:after="0" w:line="255"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00"/>
          </w:cols>
          <w:pgMar w:left="320" w:top="455" w:right="47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color w:val="auto"/>
        </w:rPr>
        <w:t>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00"/>
          </w:cols>
          <w:pgMar w:left="320" w:top="455" w:right="47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14"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Other than compensation arrangements, including employment, termination of employment and change in control arrangements, with our directors and executive officers, including those discussed in the sections titled “Management” and “Executive Compensation,” and the registration rights described in the section titled “Description of Capital Stock—Registration Rights,” the following is a description of each transaction since January 1, 2017 and each currently proposed transaction in which:</w:t>
      </w:r>
    </w:p>
    <w:p>
      <w:pPr>
        <w:spacing w:after="0" w:line="76" w:lineRule="exact"/>
        <w:rPr>
          <w:sz w:val="20"/>
          <w:szCs w:val="20"/>
          <w:color w:val="auto"/>
        </w:rPr>
      </w:pPr>
    </w:p>
    <w:p>
      <w:pPr>
        <w:ind w:left="88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amount involved exceeded or will exceed $120,000; and</w:t>
      </w:r>
    </w:p>
    <w:p>
      <w:pPr>
        <w:spacing w:after="0" w:line="117" w:lineRule="exact"/>
        <w:rPr>
          <w:rFonts w:ascii="Arial" w:cs="Arial" w:eastAsia="Arial" w:hAnsi="Arial"/>
          <w:sz w:val="18"/>
          <w:szCs w:val="18"/>
          <w:color w:val="auto"/>
        </w:rPr>
      </w:pPr>
    </w:p>
    <w:p>
      <w:pPr>
        <w:ind w:left="880" w:right="180" w:hanging="224"/>
        <w:spacing w:after="0" w:line="255" w:lineRule="auto"/>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affiliate or immediate family member of, or person sharing a household with, any of these individuals or entities, had or will have a direct or indirect material interest.</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Sales of Securities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In November 2019, we issued and sold an aggregate of 28,798,050 shares of our Series C convertible preferred stock, or Series C Preferred Stock, at a purchase price of $2.1485 per share for an aggregate purchase price of approximately $61.9 million. These shares of Series C Preferred Stock will convert into an aggregate of 28,798,050 shares of common stock upon the completion of this offering. The table below sets forth the number of shares of Series C Preferred Stock sold to our directors, executive officers and holders of more than 5% of our capital stock:</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Series C</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9"/>
              </w:rPr>
              <w:t>Investor</w:t>
            </w:r>
          </w:p>
        </w:tc>
        <w:tc>
          <w:tcPr>
            <w:tcW w:w="5480" w:type="dxa"/>
            <w:vAlign w:val="bottom"/>
            <w:vMerge w:val="restart"/>
          </w:tcPr>
          <w:p>
            <w:pPr>
              <w:spacing w:after="0"/>
              <w:rPr>
                <w:sz w:val="14"/>
                <w:szCs w:val="14"/>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Affiliated Director(s) or</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4"/>
        </w:trPr>
        <w:tc>
          <w:tcPr>
            <w:tcW w:w="560" w:type="dxa"/>
            <w:vAlign w:val="bottom"/>
            <w:tcBorders>
              <w:bottom w:val="single" w:sz="8" w:color="auto"/>
            </w:tcBorders>
            <w:vMerge w:val="continue"/>
          </w:tcPr>
          <w:p>
            <w:pPr>
              <w:spacing w:after="0"/>
              <w:rPr>
                <w:sz w:val="15"/>
                <w:szCs w:val="15"/>
                <w:color w:val="auto"/>
              </w:rPr>
            </w:pPr>
          </w:p>
        </w:tc>
        <w:tc>
          <w:tcPr>
            <w:tcW w:w="5480" w:type="dxa"/>
            <w:vAlign w:val="bottom"/>
            <w:vMerge w:val="continue"/>
          </w:tcPr>
          <w:p>
            <w:pPr>
              <w:spacing w:after="0"/>
              <w:rPr>
                <w:sz w:val="15"/>
                <w:szCs w:val="15"/>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Officer(s)</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0"/>
        </w:trPr>
        <w:tc>
          <w:tcPr>
            <w:tcW w:w="60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Nextech V Oncology S.C.S., SICAV-SIF</w:t>
            </w:r>
          </w:p>
        </w:tc>
        <w:tc>
          <w:tcPr>
            <w:tcW w:w="22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8"/>
              </w:rPr>
              <w:t>Thilo Schroeder, Ph.D.</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9,308,820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19,999,999</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40" w:type="dxa"/>
            <w:vAlign w:val="bottom"/>
            <w:gridSpan w:val="2"/>
          </w:tcPr>
          <w:p>
            <w:pPr>
              <w:spacing w:after="0" w:line="202" w:lineRule="exact"/>
              <w:rPr>
                <w:sz w:val="20"/>
                <w:szCs w:val="20"/>
                <w:color w:val="auto"/>
              </w:rPr>
            </w:pPr>
            <w:r>
              <w:rPr>
                <w:rFonts w:ascii="Arial" w:cs="Arial" w:eastAsia="Arial" w:hAnsi="Arial"/>
                <w:sz w:val="18"/>
                <w:szCs w:val="18"/>
                <w:color w:val="auto"/>
              </w:rPr>
              <w:t>Viking Global Opportunities Illiquid Investments Sub-master LP</w:t>
            </w:r>
          </w:p>
        </w:tc>
        <w:tc>
          <w:tcPr>
            <w:tcW w:w="23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6,981,615</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14,999,999</w:t>
            </w:r>
          </w:p>
        </w:tc>
        <w:tc>
          <w:tcPr>
            <w:tcW w:w="0" w:type="dxa"/>
            <w:vAlign w:val="bottom"/>
          </w:tcPr>
          <w:p>
            <w:pPr>
              <w:spacing w:after="0"/>
              <w:rPr>
                <w:sz w:val="1"/>
                <w:szCs w:val="1"/>
                <w:color w:val="auto"/>
              </w:rPr>
            </w:pPr>
          </w:p>
        </w:tc>
      </w:tr>
      <w:tr>
        <w:trPr>
          <w:trHeight w:val="203"/>
        </w:trPr>
        <w:tc>
          <w:tcPr>
            <w:tcW w:w="6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Euclidean Capital LLC</w:t>
            </w:r>
          </w:p>
        </w:tc>
        <w:tc>
          <w:tcPr>
            <w:tcW w:w="238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4,654,409</w:t>
            </w:r>
          </w:p>
        </w:tc>
        <w:tc>
          <w:tcPr>
            <w:tcW w:w="3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9,999,997</w:t>
            </w:r>
          </w:p>
        </w:tc>
        <w:tc>
          <w:tcPr>
            <w:tcW w:w="0" w:type="dxa"/>
            <w:vAlign w:val="bottom"/>
          </w:tcPr>
          <w:p>
            <w:pPr>
              <w:spacing w:after="0"/>
              <w:rPr>
                <w:sz w:val="1"/>
                <w:szCs w:val="1"/>
                <w:color w:val="auto"/>
              </w:rPr>
            </w:pPr>
          </w:p>
        </w:tc>
      </w:tr>
      <w:tr>
        <w:trPr>
          <w:trHeight w:val="203"/>
        </w:trPr>
        <w:tc>
          <w:tcPr>
            <w:tcW w:w="6040" w:type="dxa"/>
            <w:vAlign w:val="bottom"/>
            <w:gridSpan w:val="2"/>
          </w:tcPr>
          <w:p>
            <w:pPr>
              <w:spacing w:after="0" w:line="202" w:lineRule="exact"/>
              <w:rPr>
                <w:sz w:val="20"/>
                <w:szCs w:val="20"/>
                <w:color w:val="auto"/>
              </w:rPr>
            </w:pPr>
            <w:r>
              <w:rPr>
                <w:rFonts w:ascii="Arial" w:cs="Arial" w:eastAsia="Arial" w:hAnsi="Arial"/>
                <w:sz w:val="18"/>
                <w:szCs w:val="18"/>
                <w:color w:val="auto"/>
              </w:rPr>
              <w:t>OrbiMed Private Investments V LP</w:t>
            </w:r>
          </w:p>
        </w:tc>
        <w:tc>
          <w:tcPr>
            <w:tcW w:w="238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Peter Thompson, M.D.</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2,728,331</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5,861,819</w:t>
            </w:r>
          </w:p>
        </w:tc>
        <w:tc>
          <w:tcPr>
            <w:tcW w:w="0" w:type="dxa"/>
            <w:vAlign w:val="bottom"/>
          </w:tcPr>
          <w:p>
            <w:pPr>
              <w:spacing w:after="0"/>
              <w:rPr>
                <w:sz w:val="1"/>
                <w:szCs w:val="1"/>
                <w:color w:val="auto"/>
              </w:rPr>
            </w:pPr>
          </w:p>
        </w:tc>
      </w:tr>
      <w:tr>
        <w:trPr>
          <w:trHeight w:val="203"/>
        </w:trPr>
        <w:tc>
          <w:tcPr>
            <w:tcW w:w="6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InterWest Partners X, L.P.</w:t>
            </w:r>
          </w:p>
        </w:tc>
        <w:tc>
          <w:tcPr>
            <w:tcW w:w="238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99"/>
              </w:rPr>
              <w:t>Arnold Oronsky, Ph.D.</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1,396,323</w:t>
            </w:r>
          </w:p>
        </w:tc>
        <w:tc>
          <w:tcPr>
            <w:tcW w:w="3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2,999,999</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B Preferred Stock Financing</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In February 2017, we issued and sold an aggregate of 40,396,799 shares of our Series B convertible preferred stock, or Series B Preferred Stock, at a purchase price of $1.8251 per share for an aggregate purchase price of approximately $73.7 million. These shares of Series B Preferred Stock will convert into an aggregate of 40,396,799 shares of common stock upon the completion of this offering. The table below sets forth the number of shares of Series B Preferred Stock sold to our directors, executive officers and holders of more than 5% of our capital stock:</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 of</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Series B</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9"/>
              </w:rPr>
              <w:t>Investor</w:t>
            </w:r>
          </w:p>
        </w:tc>
        <w:tc>
          <w:tcPr>
            <w:tcW w:w="3860" w:type="dxa"/>
            <w:vAlign w:val="bottom"/>
            <w:vMerge w:val="restart"/>
          </w:tcPr>
          <w:p>
            <w:pPr>
              <w:spacing w:after="0"/>
              <w:rPr>
                <w:sz w:val="14"/>
                <w:szCs w:val="14"/>
                <w:color w:val="auto"/>
              </w:rPr>
            </w:pPr>
          </w:p>
        </w:tc>
        <w:tc>
          <w:tcPr>
            <w:tcW w:w="1400" w:type="dxa"/>
            <w:vAlign w:val="bottom"/>
          </w:tcPr>
          <w:p>
            <w:pPr>
              <w:spacing w:after="0"/>
              <w:rPr>
                <w:sz w:val="14"/>
                <w:szCs w:val="14"/>
                <w:color w:val="auto"/>
              </w:rPr>
            </w:pPr>
          </w:p>
        </w:tc>
        <w:tc>
          <w:tcPr>
            <w:tcW w:w="2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Affiliated Director(s) or</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4"/>
        </w:trPr>
        <w:tc>
          <w:tcPr>
            <w:tcW w:w="560" w:type="dxa"/>
            <w:vAlign w:val="bottom"/>
            <w:tcBorders>
              <w:bottom w:val="single" w:sz="8" w:color="auto"/>
            </w:tcBorders>
            <w:vMerge w:val="continue"/>
          </w:tcPr>
          <w:p>
            <w:pPr>
              <w:spacing w:after="0"/>
              <w:rPr>
                <w:sz w:val="15"/>
                <w:szCs w:val="15"/>
                <w:color w:val="auto"/>
              </w:rPr>
            </w:pPr>
          </w:p>
        </w:tc>
        <w:tc>
          <w:tcPr>
            <w:tcW w:w="386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Officer(s)</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0"/>
        </w:trPr>
        <w:tc>
          <w:tcPr>
            <w:tcW w:w="44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Entities affiliated with Euclidean Capital LLC</w:t>
            </w:r>
          </w:p>
        </w:tc>
        <w:tc>
          <w:tcPr>
            <w:tcW w:w="1400" w:type="dxa"/>
            <w:vAlign w:val="bottom"/>
            <w:tcBorders>
              <w:top w:val="single" w:sz="8" w:color="CCEEFF"/>
            </w:tcBorders>
            <w:shd w:val="clear" w:color="auto" w:fill="CCEEFF"/>
          </w:tcPr>
          <w:p>
            <w:pPr>
              <w:spacing w:after="0"/>
              <w:rPr>
                <w:sz w:val="16"/>
                <w:szCs w:val="16"/>
                <w:color w:val="auto"/>
              </w:rPr>
            </w:pPr>
          </w:p>
        </w:tc>
        <w:tc>
          <w:tcPr>
            <w:tcW w:w="22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21,916,604</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39,999,993</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OrbiMed Private Investments V LP</w:t>
            </w:r>
          </w:p>
        </w:tc>
        <w:tc>
          <w:tcPr>
            <w:tcW w:w="1400" w:type="dxa"/>
            <w:vAlign w:val="bottom"/>
          </w:tcPr>
          <w:p>
            <w:pPr>
              <w:spacing w:after="0"/>
              <w:rPr>
                <w:sz w:val="17"/>
                <w:szCs w:val="17"/>
                <w:color w:val="auto"/>
              </w:rPr>
            </w:pPr>
          </w:p>
        </w:tc>
        <w:tc>
          <w:tcPr>
            <w:tcW w:w="242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rPr>
              <w:t>Peter Thompson, M.D.</w:t>
            </w:r>
          </w:p>
        </w:tc>
        <w:tc>
          <w:tcPr>
            <w:tcW w:w="13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5,669,940</w:t>
            </w:r>
          </w:p>
        </w:tc>
        <w:tc>
          <w:tcPr>
            <w:tcW w:w="3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10,348,207</w:t>
            </w: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InterWest Partners X, L.P.</w:t>
            </w:r>
          </w:p>
        </w:tc>
        <w:tc>
          <w:tcPr>
            <w:tcW w:w="140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9"/>
              </w:rPr>
              <w:t>Arnold Oronsky, Ph.D.</w:t>
            </w:r>
          </w:p>
        </w:tc>
        <w:tc>
          <w:tcPr>
            <w:tcW w:w="13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5,479,151</w:t>
            </w:r>
          </w:p>
        </w:tc>
        <w:tc>
          <w:tcPr>
            <w:tcW w:w="34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9,999,998</w:t>
            </w:r>
          </w:p>
        </w:tc>
        <w:tc>
          <w:tcPr>
            <w:tcW w:w="0" w:type="dxa"/>
            <w:vAlign w:val="bottom"/>
          </w:tcPr>
          <w:p>
            <w:pPr>
              <w:spacing w:after="0"/>
              <w:rPr>
                <w:sz w:val="1"/>
                <w:szCs w:val="1"/>
                <w:color w:val="auto"/>
              </w:rPr>
            </w:pPr>
          </w:p>
        </w:tc>
      </w:tr>
      <w:tr>
        <w:trPr>
          <w:trHeight w:val="243"/>
        </w:trPr>
        <w:tc>
          <w:tcPr>
            <w:tcW w:w="4420" w:type="dxa"/>
            <w:vAlign w:val="bottom"/>
            <w:gridSpan w:val="2"/>
          </w:tcPr>
          <w:p>
            <w:pPr>
              <w:spacing w:after="0"/>
              <w:rPr>
                <w:sz w:val="20"/>
                <w:szCs w:val="20"/>
                <w:color w:val="auto"/>
              </w:rPr>
            </w:pPr>
            <w:r>
              <w:rPr>
                <w:rFonts w:ascii="Arial" w:cs="Arial" w:eastAsia="Arial" w:hAnsi="Arial"/>
                <w:sz w:val="18"/>
                <w:szCs w:val="18"/>
                <w:color w:val="auto"/>
              </w:rPr>
              <w:t>TopSpin Biotech Fund II, L.P.</w:t>
            </w:r>
          </w:p>
        </w:tc>
        <w:tc>
          <w:tcPr>
            <w:tcW w:w="1400" w:type="dxa"/>
            <w:vAlign w:val="bottom"/>
          </w:tcPr>
          <w:p>
            <w:pPr>
              <w:spacing w:after="0"/>
              <w:rPr>
                <w:sz w:val="21"/>
                <w:szCs w:val="21"/>
                <w:color w:val="auto"/>
              </w:rPr>
            </w:pPr>
          </w:p>
        </w:tc>
        <w:tc>
          <w:tcPr>
            <w:tcW w:w="24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Steve Winick</w:t>
            </w:r>
            <w:r>
              <w:rPr>
                <w:rFonts w:ascii="Arial" w:cs="Arial" w:eastAsia="Arial" w:hAnsi="Arial"/>
                <w:sz w:val="15"/>
                <w:szCs w:val="15"/>
                <w:color w:val="auto"/>
                <w:w w:val="99"/>
              </w:rPr>
              <w:t>(1)</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5,479,151</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9,999,998</w:t>
            </w:r>
          </w:p>
        </w:tc>
        <w:tc>
          <w:tcPr>
            <w:tcW w:w="0" w:type="dxa"/>
            <w:vAlign w:val="bottom"/>
          </w:tcPr>
          <w:p>
            <w:pPr>
              <w:spacing w:after="0"/>
              <w:rPr>
                <w:sz w:val="1"/>
                <w:szCs w:val="1"/>
                <w:color w:val="auto"/>
              </w:rPr>
            </w:pPr>
          </w:p>
        </w:tc>
      </w:tr>
      <w:tr>
        <w:trPr>
          <w:trHeight w:val="328"/>
        </w:trPr>
        <w:tc>
          <w:tcPr>
            <w:tcW w:w="5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173</w:t>
            </w: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294005</wp:posOffset>
            </wp:positionV>
            <wp:extent cx="7715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96" w:lineRule="exact"/>
        <w:rPr>
          <w:sz w:val="20"/>
          <w:szCs w:val="20"/>
          <w:color w:val="auto"/>
        </w:rPr>
      </w:pPr>
    </w:p>
    <w:p>
      <w:pPr>
        <w:ind w:left="120"/>
        <w:spacing w:after="0"/>
        <w:tabs>
          <w:tab w:leader="none" w:pos="640" w:val="left"/>
          <w:tab w:leader="none" w:pos="4840" w:val="left"/>
        </w:tabs>
        <w:rPr>
          <w:sz w:val="20"/>
          <w:szCs w:val="20"/>
          <w:color w:val="auto"/>
        </w:rPr>
      </w:pPr>
      <w:r>
        <w:rPr>
          <w:rFonts w:ascii="Arial" w:cs="Arial" w:eastAsia="Arial" w:hAnsi="Arial"/>
          <w:sz w:val="24"/>
          <w:szCs w:val="24"/>
          <w:color w:val="auto"/>
          <w:vertAlign w:val="superscript"/>
        </w:rPr>
        <w:t>(1)</w:t>
      </w:r>
      <w:r>
        <w:rPr>
          <w:sz w:val="20"/>
          <w:szCs w:val="20"/>
          <w:color w:val="auto"/>
        </w:rPr>
        <w:tab/>
      </w:r>
      <w:r>
        <w:rPr>
          <w:rFonts w:ascii="Arial" w:cs="Arial" w:eastAsia="Arial" w:hAnsi="Arial"/>
          <w:sz w:val="14"/>
          <w:szCs w:val="14"/>
          <w:color w:val="auto"/>
        </w:rPr>
        <w:t>Mr. Winick resigned from our board of directors effective</w:t>
      </w:r>
      <w:r>
        <w:rPr>
          <w:sz w:val="20"/>
          <w:szCs w:val="20"/>
          <w:color w:val="auto"/>
        </w:rPr>
        <w:tab/>
      </w:r>
      <w:r>
        <w:rPr>
          <w:rFonts w:ascii="Arial" w:cs="Arial" w:eastAsia="Arial" w:hAnsi="Arial"/>
          <w:sz w:val="14"/>
          <w:szCs w:val="14"/>
          <w:color w:val="auto"/>
        </w:rPr>
        <w:t>, 2020.</w:t>
      </w:r>
    </w:p>
    <w:p>
      <w:pPr>
        <w:spacing w:after="0" w:line="28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Investors’ Rights Agreement</w:t>
      </w:r>
    </w:p>
    <w:p>
      <w:pPr>
        <w:spacing w:after="0" w:line="21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We are party to an amended and restated investors’ rights agreement with certain holders of our capital stock, including entities affiliated with Euclidean Capital LLC, InterWest Partners X, L.P., Nextech V Oncology S.C.S., SICAV-SIF, OrbiMed Private Investments V LP, Viking Global Opportunities Illiquid Investments Sub-master LP and TopSpin Biotech Fund II, L.P. Under our investors’ rights agreement, certain holders of our capital stock have the right to demand that we file a registration statement or request that their shares of our capital stock be covered by a registration statement that we are otherwise filing. See the section titled “Description of Capital Stock— Registration Rights” for additional information regarding these registration rights.</w:t>
      </w: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Voting Agreement</w:t>
      </w:r>
    </w:p>
    <w:p>
      <w:pPr>
        <w:spacing w:after="0" w:line="21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We are party to an amended and restated voting agreement, as amended, with certain holders of our capital stock, including entities affiliated with Euclidean Capital LLC, InterWest Partners X, L.P., Nextech V Oncology S.C.S., SICAV-SIF, OrbiMed Private Investments V LP, Viking Global Opportunities Illiquid Investments Sub-master LP and TopSpin Biotech Fund II, L.P. Upon the consummation of this offering, the obligations of the parties to the voting agreement to vote their shares so as to elect these nominees, as well as the other rights and obligations under this agreement, will terminate and none of our stockholders will have any special rights regarding the nomination, election or designation of members of our board of directors. Our existing certificate of incorporation contains provisions regarding election of members of the board of directors that correspond to the voting agreement; however, such provisions will be removed in the amended and restated certificate of incorporation that will be effective immediately prior to the completion of this offering.</w:t>
      </w: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Right of First Refusal</w:t>
      </w:r>
    </w:p>
    <w:p>
      <w:pPr>
        <w:spacing w:after="0" w:line="21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Pursuant to certain of our equity compensation plans and certain agreements with our stockholders, including an amended and restated right of first refusal and co-sale agreement, we or our assignees have a right to purchase shares of our capital stock which stockholders propose to sell to other parties. Certain holders of our capital stock, including entities affiliated with Euclidean Capital LLC, InterWest Partners X, L.P., Nextech V Oncology S.C.S., SICAV-SIF, OrbiMed Private Investments V LP, Viking Global Opportunities Illiquid Investments Sub-master LP and TopSpin Biotech Fund II, L.P., are party to the right of first refusal and co-sale agreement with a secondary right to purchase shares of our capital stock when certain stockholders propose to sell to other parties. These rights will terminate upon completion of this offering.</w:t>
      </w:r>
    </w:p>
    <w:p>
      <w:pPr>
        <w:spacing w:after="0" w:line="28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Consulting Agreement with Arnold Levine, Ph.D.</w:t>
      </w:r>
    </w:p>
    <w:p>
      <w:pPr>
        <w:spacing w:after="0" w:line="214" w:lineRule="exact"/>
        <w:rPr>
          <w:sz w:val="20"/>
          <w:szCs w:val="20"/>
          <w:color w:val="auto"/>
        </w:rPr>
      </w:pPr>
    </w:p>
    <w:p>
      <w:pPr>
        <w:jc w:val="both"/>
        <w:ind w:left="120" w:right="420" w:firstLine="551"/>
        <w:spacing w:after="0" w:line="255" w:lineRule="auto"/>
        <w:rPr>
          <w:sz w:val="20"/>
          <w:szCs w:val="20"/>
          <w:color w:val="auto"/>
        </w:rPr>
      </w:pPr>
      <w:r>
        <w:rPr>
          <w:rFonts w:ascii="Arial" w:cs="Arial" w:eastAsia="Arial" w:hAnsi="Arial"/>
          <w:sz w:val="18"/>
          <w:szCs w:val="18"/>
          <w:color w:val="auto"/>
        </w:rPr>
        <w:t>We are party to a consulting agreement with Arnold Levine, Ph.D., a co-founder of our company and one of our non-employee directors, pursuant to which Dr. Levine provides us with consulting and advisory services in exchange for an annual compensation of $100,000.</w:t>
      </w:r>
    </w:p>
    <w:p>
      <w:pPr>
        <w:spacing w:after="0" w:line="27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Consulting Agreement with Richard Heyman, Ph.D.</w:t>
      </w:r>
    </w:p>
    <w:p>
      <w:pPr>
        <w:spacing w:after="0" w:line="214" w:lineRule="exact"/>
        <w:rPr>
          <w:sz w:val="20"/>
          <w:szCs w:val="20"/>
          <w:color w:val="auto"/>
        </w:rPr>
      </w:pPr>
    </w:p>
    <w:p>
      <w:pPr>
        <w:ind w:left="120" w:right="620" w:firstLine="551"/>
        <w:spacing w:after="0" w:line="276" w:lineRule="auto"/>
        <w:rPr>
          <w:sz w:val="20"/>
          <w:szCs w:val="20"/>
          <w:color w:val="auto"/>
        </w:rPr>
      </w:pPr>
      <w:r>
        <w:rPr>
          <w:rFonts w:ascii="Arial" w:cs="Arial" w:eastAsia="Arial" w:hAnsi="Arial"/>
          <w:sz w:val="18"/>
          <w:szCs w:val="18"/>
          <w:color w:val="auto"/>
        </w:rPr>
        <w:t>We are party to a consulting agreement with Richard Heyman, Ph.D., one of our non-employee directors, pursuant to which Dr. Heyman provides us with consulting and advisory services in exchange for an annual cash compensation of $12,500.</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00"/>
          </w:cols>
          <w:pgMar w:left="320" w:top="455" w:right="47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Director and Chairman Option Grants</w:t>
      </w:r>
    </w:p>
    <w:p>
      <w:pPr>
        <w:spacing w:after="0" w:line="214"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On June 23, 2020, our board of directors approved two stock option grants for 238,680 and 795,600 shares of our common stock, each awarded at $0.80, to newly-appointed director and Chairman of the board of directors Richard Heyman, Ph.D.</w:t>
      </w:r>
    </w:p>
    <w:p>
      <w:pPr>
        <w:spacing w:after="0" w:line="25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Indemnification Agreements</w:t>
      </w:r>
    </w:p>
    <w:p>
      <w:pPr>
        <w:spacing w:after="0" w:line="21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We have entered, and intend to continue to enter, into separate indemnification agreements with each of our directors and executive officers, in addition to the indemnification provided for in our amended and restated certificate of incorporation and bylaws. The indemnification agreements and our amended restated certificate of incorporation and amended and restated bylaws that will be in effect upon the completion of this offering require us to indemnify our directors, executive officers and certain controlling persons to the fullest extent permitted by Delaware law. See the section titled “Executive Compensation—Limitation of Liability and Indemnification” for additional information.</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Related Party Transaction Policy</w:t>
      </w:r>
    </w:p>
    <w:p>
      <w:pPr>
        <w:spacing w:after="0" w:line="21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Prior to the completion of this offering, we intend to adopt a formal written policy providing that we are not permitted to enter into any transaction that exceeds $120,000 and in which any related person has a direct or indirect material interest without the consent of our audit committee. 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The charter of our audit committee will provide that our audit committee shall review and approve in advance any related party transaction.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 All of the transactions described in this section occurred prior to the adoption of this policy.</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60"/>
          </w:cols>
          <w:pgMar w:left="320" w:top="455" w:right="51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PRINCIPAL STOCKHOLDERS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beneficial ownership of our common stock as of May 31, 2020 by:</w:t>
      </w:r>
    </w:p>
    <w:p>
      <w:pPr>
        <w:spacing w:after="0" w:line="117" w:lineRule="exact"/>
        <w:rPr>
          <w:sz w:val="20"/>
          <w:szCs w:val="20"/>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12"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Exchange Act of 1934, as amended, or Exchange Act.</w:t>
      </w:r>
    </w:p>
    <w:p>
      <w:pPr>
        <w:spacing w:after="0" w:line="172"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We have based our calculation of the percentage of beneficial ownership prior to this offering on 136,431,740 shares of our common stock outstanding as of May 31, 2020, which includes 120,393,150 shares of our common stock resulting from the conversion of all 120,393,150 outstanding shares of our convertible preferred stock into our common stock, which will occur immediately prior to the completion of this offering, as if this conversion had occurred as of May 31, 2020. We have based our calculation of the percentage of</w:t>
      </w:r>
    </w:p>
    <w:p>
      <w:pPr>
        <w:spacing w:after="0" w:line="1"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beneficial ownership after this offering on shares of our common stock outstanding immediately after the completion of this offering, assuming no exercise by the underwriters of their option to purchase additional shares. We have deemed shares of our common stock subject to stock options that are currently exercisable or exercisable within 60 days of May 31, 2020,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00"/>
          </w:cols>
          <w:pgMar w:left="320" w:top="455" w:right="47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Unless otherwise indicated, the address of each beneficial owner listed in the table below is c/o PMV Pharmaceuticals, Inc., 8 Clarke Drive, Suite 3, Cranbury, New Jersey 08512.</w:t>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wp:posOffset>
            </wp:positionV>
            <wp:extent cx="6995160"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5% or Greater Stockholders:</w:t>
      </w:r>
    </w:p>
    <w:p>
      <w:pPr>
        <w:ind w:left="120"/>
        <w:spacing w:after="0" w:line="184" w:lineRule="auto"/>
        <w:rPr>
          <w:sz w:val="20"/>
          <w:szCs w:val="20"/>
          <w:color w:val="auto"/>
        </w:rPr>
      </w:pPr>
      <w:r>
        <w:rPr>
          <w:rFonts w:ascii="Arial" w:cs="Arial" w:eastAsia="Arial" w:hAnsi="Arial"/>
          <w:sz w:val="15"/>
          <w:szCs w:val="15"/>
          <w:color w:val="auto"/>
        </w:rPr>
        <w:t>InterWest Partners X, L.P.</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187" w:lineRule="auto"/>
        <w:rPr>
          <w:sz w:val="20"/>
          <w:szCs w:val="20"/>
          <w:color w:val="auto"/>
        </w:rPr>
      </w:pPr>
      <w:r>
        <w:rPr>
          <w:rFonts w:ascii="Arial" w:cs="Arial" w:eastAsia="Arial" w:hAnsi="Arial"/>
          <w:sz w:val="14"/>
          <w:szCs w:val="14"/>
          <w:color w:val="auto"/>
        </w:rPr>
        <w:t>OrbiMed Private Investments V LP</w:t>
      </w:r>
      <w:r>
        <w:rPr>
          <w:rFonts w:ascii="Arial" w:cs="Arial" w:eastAsia="Arial" w:hAnsi="Arial"/>
          <w:sz w:val="22"/>
          <w:szCs w:val="22"/>
          <w:color w:val="auto"/>
          <w:vertAlign w:val="superscript"/>
        </w:rPr>
        <w:t>(2)</w:t>
      </w:r>
    </w:p>
    <w:p>
      <w:pPr>
        <w:ind w:left="120"/>
        <w:spacing w:after="0" w:line="181" w:lineRule="auto"/>
        <w:rPr>
          <w:sz w:val="20"/>
          <w:szCs w:val="20"/>
          <w:color w:val="auto"/>
        </w:rPr>
      </w:pPr>
      <w:r>
        <w:rPr>
          <w:rFonts w:ascii="Arial" w:cs="Arial" w:eastAsia="Arial" w:hAnsi="Arial"/>
          <w:sz w:val="15"/>
          <w:szCs w:val="15"/>
          <w:color w:val="auto"/>
        </w:rPr>
        <w:t>Entities affiliated with Euclidean Capital LLC</w:t>
      </w:r>
      <w:r>
        <w:rPr>
          <w:rFonts w:ascii="Arial" w:cs="Arial" w:eastAsia="Arial" w:hAnsi="Arial"/>
          <w:sz w:val="24"/>
          <w:szCs w:val="24"/>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187" w:lineRule="auto"/>
        <w:rPr>
          <w:sz w:val="20"/>
          <w:szCs w:val="20"/>
          <w:color w:val="auto"/>
        </w:rPr>
      </w:pPr>
      <w:r>
        <w:rPr>
          <w:rFonts w:ascii="Arial" w:cs="Arial" w:eastAsia="Arial" w:hAnsi="Arial"/>
          <w:sz w:val="14"/>
          <w:szCs w:val="14"/>
          <w:color w:val="auto"/>
        </w:rPr>
        <w:t>Nextech V Oncology S.C.S., SICAV-SIF</w:t>
      </w:r>
      <w:r>
        <w:rPr>
          <w:rFonts w:ascii="Arial" w:cs="Arial" w:eastAsia="Arial" w:hAnsi="Arial"/>
          <w:sz w:val="22"/>
          <w:szCs w:val="22"/>
          <w:color w:val="auto"/>
          <w:vertAlign w:val="superscript"/>
        </w:rPr>
        <w:t>(4)</w:t>
      </w:r>
    </w:p>
    <w:p>
      <w:pPr>
        <w:ind w:left="120"/>
        <w:spacing w:after="0" w:line="181" w:lineRule="auto"/>
        <w:rPr>
          <w:sz w:val="20"/>
          <w:szCs w:val="20"/>
          <w:color w:val="auto"/>
        </w:rPr>
      </w:pPr>
      <w:r>
        <w:rPr>
          <w:rFonts w:ascii="Arial" w:cs="Arial" w:eastAsia="Arial" w:hAnsi="Arial"/>
          <w:sz w:val="15"/>
          <w:szCs w:val="15"/>
          <w:color w:val="auto"/>
        </w:rPr>
        <w:t>Viking Global Opportunities Illiquid Investments Sub-master LP</w:t>
      </w:r>
      <w:r>
        <w:rPr>
          <w:rFonts w:ascii="Arial" w:cs="Arial" w:eastAsia="Arial" w:hAnsi="Arial"/>
          <w:sz w:val="24"/>
          <w:szCs w:val="24"/>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b w:val="1"/>
          <w:bCs w:val="1"/>
          <w:color w:val="auto"/>
        </w:rPr>
        <w:t>Named Executive Officers:</w:t>
      </w:r>
    </w:p>
    <w:p>
      <w:pPr>
        <w:ind w:left="120"/>
        <w:spacing w:after="0" w:line="180" w:lineRule="auto"/>
        <w:rPr>
          <w:sz w:val="20"/>
          <w:szCs w:val="20"/>
          <w:color w:val="auto"/>
        </w:rPr>
      </w:pPr>
      <w:r>
        <w:rPr>
          <w:rFonts w:ascii="Arial" w:cs="Arial" w:eastAsia="Arial" w:hAnsi="Arial"/>
          <w:sz w:val="15"/>
          <w:szCs w:val="15"/>
          <w:color w:val="auto"/>
        </w:rPr>
        <w:t>David H. Mack, Ph.D.</w:t>
      </w:r>
      <w:r>
        <w:rPr>
          <w:rFonts w:ascii="Arial" w:cs="Arial" w:eastAsia="Arial" w:hAnsi="Arial"/>
          <w:sz w:val="25"/>
          <w:szCs w:val="25"/>
          <w:color w:val="auto"/>
          <w:vertAlign w:val="superscript"/>
        </w:rPr>
        <w:t>(6)</w:t>
      </w:r>
    </w:p>
    <w:p>
      <w:pPr>
        <w:ind w:left="120"/>
        <w:spacing w:after="0" w:line="184" w:lineRule="auto"/>
        <w:rPr>
          <w:sz w:val="20"/>
          <w:szCs w:val="20"/>
          <w:color w:val="auto"/>
        </w:rPr>
      </w:pPr>
      <w:r>
        <w:rPr>
          <w:rFonts w:ascii="Arial" w:cs="Arial" w:eastAsia="Arial" w:hAnsi="Arial"/>
          <w:sz w:val="14"/>
          <w:szCs w:val="14"/>
          <w:color w:val="auto"/>
        </w:rPr>
        <w:t>Winston Kung</w:t>
      </w:r>
      <w:r>
        <w:rPr>
          <w:rFonts w:ascii="Arial" w:cs="Arial" w:eastAsia="Arial" w:hAnsi="Arial"/>
          <w:sz w:val="23"/>
          <w:szCs w:val="23"/>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180" w:lineRule="auto"/>
        <w:rPr>
          <w:sz w:val="20"/>
          <w:szCs w:val="20"/>
          <w:color w:val="auto"/>
        </w:rPr>
      </w:pPr>
      <w:r>
        <w:rPr>
          <w:rFonts w:ascii="Arial" w:cs="Arial" w:eastAsia="Arial" w:hAnsi="Arial"/>
          <w:sz w:val="15"/>
          <w:szCs w:val="15"/>
          <w:color w:val="auto"/>
        </w:rPr>
        <w:t>Deepika Jalota, Pharm.D.</w:t>
      </w:r>
      <w:r>
        <w:rPr>
          <w:rFonts w:ascii="Arial" w:cs="Arial" w:eastAsia="Arial" w:hAnsi="Arial"/>
          <w:sz w:val="24"/>
          <w:szCs w:val="24"/>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b w:val="1"/>
          <w:bCs w:val="1"/>
          <w:color w:val="auto"/>
        </w:rPr>
        <w:t>Non-Employee Directors:</w:t>
      </w:r>
    </w:p>
    <w:p>
      <w:pPr>
        <w:ind w:left="120"/>
        <w:spacing w:after="0" w:line="180" w:lineRule="auto"/>
        <w:rPr>
          <w:sz w:val="20"/>
          <w:szCs w:val="20"/>
          <w:color w:val="auto"/>
        </w:rPr>
      </w:pPr>
      <w:r>
        <w:rPr>
          <w:rFonts w:ascii="Arial" w:cs="Arial" w:eastAsia="Arial" w:hAnsi="Arial"/>
          <w:sz w:val="15"/>
          <w:szCs w:val="15"/>
          <w:color w:val="auto"/>
        </w:rPr>
        <w:t>Richard Heyman, Ph.D.</w:t>
      </w:r>
      <w:r>
        <w:rPr>
          <w:rFonts w:ascii="Arial" w:cs="Arial" w:eastAsia="Arial" w:hAnsi="Arial"/>
          <w:sz w:val="25"/>
          <w:szCs w:val="25"/>
          <w:color w:val="auto"/>
          <w:vertAlign w:val="superscript"/>
        </w:rPr>
        <w:t>(9)</w:t>
      </w:r>
    </w:p>
    <w:p>
      <w:pPr>
        <w:ind w:left="120"/>
        <w:spacing w:after="0" w:line="184" w:lineRule="auto"/>
        <w:rPr>
          <w:sz w:val="20"/>
          <w:szCs w:val="20"/>
          <w:color w:val="auto"/>
        </w:rPr>
      </w:pPr>
      <w:r>
        <w:rPr>
          <w:rFonts w:ascii="Arial" w:cs="Arial" w:eastAsia="Arial" w:hAnsi="Arial"/>
          <w:sz w:val="14"/>
          <w:szCs w:val="14"/>
          <w:color w:val="auto"/>
        </w:rPr>
        <w:t>Arnold Levine, Ph.D.</w:t>
      </w:r>
      <w:r>
        <w:rPr>
          <w:rFonts w:ascii="Arial" w:cs="Arial" w:eastAsia="Arial" w:hAnsi="Arial"/>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1282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28270"/>
                    </a:xfrm>
                    <a:prstGeom prst="rect">
                      <a:avLst/>
                    </a:prstGeom>
                    <a:noFill/>
                  </pic:spPr>
                </pic:pic>
              </a:graphicData>
            </a:graphic>
          </wp:anchor>
        </w:drawing>
      </w:r>
    </w:p>
    <w:p>
      <w:pPr>
        <w:ind w:left="120"/>
        <w:spacing w:after="0" w:line="183" w:lineRule="auto"/>
        <w:rPr>
          <w:sz w:val="20"/>
          <w:szCs w:val="20"/>
          <w:color w:val="auto"/>
        </w:rPr>
      </w:pPr>
      <w:r>
        <w:rPr>
          <w:rFonts w:ascii="Arial" w:cs="Arial" w:eastAsia="Arial" w:hAnsi="Arial"/>
          <w:sz w:val="14"/>
          <w:szCs w:val="14"/>
          <w:color w:val="auto"/>
        </w:rPr>
        <w:t>Arnold Oronsky, Ph.D.</w:t>
      </w:r>
      <w:r>
        <w:rPr>
          <w:rFonts w:ascii="Arial" w:cs="Arial" w:eastAsia="Arial" w:hAnsi="Arial"/>
          <w:sz w:val="23"/>
          <w:szCs w:val="23"/>
          <w:color w:val="auto"/>
          <w:vertAlign w:val="superscript"/>
        </w:rPr>
        <w:t>(1)</w:t>
      </w:r>
    </w:p>
    <w:p>
      <w:pPr>
        <w:ind w:left="120"/>
        <w:spacing w:after="0" w:line="184" w:lineRule="auto"/>
        <w:rPr>
          <w:sz w:val="20"/>
          <w:szCs w:val="20"/>
          <w:color w:val="auto"/>
        </w:rPr>
      </w:pPr>
      <w:r>
        <w:rPr>
          <w:rFonts w:ascii="Arial" w:cs="Arial" w:eastAsia="Arial" w:hAnsi="Arial"/>
          <w:sz w:val="14"/>
          <w:szCs w:val="14"/>
          <w:color w:val="auto"/>
        </w:rPr>
        <w:t>Peter Thompson, M.D.</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184" w:lineRule="auto"/>
        <w:rPr>
          <w:sz w:val="20"/>
          <w:szCs w:val="20"/>
          <w:color w:val="auto"/>
        </w:rPr>
      </w:pPr>
      <w:r>
        <w:rPr>
          <w:rFonts w:ascii="Arial" w:cs="Arial" w:eastAsia="Arial" w:hAnsi="Arial"/>
          <w:sz w:val="14"/>
          <w:szCs w:val="14"/>
          <w:color w:val="auto"/>
        </w:rPr>
        <w:t>Thilo Schroeder, Ph.D.</w:t>
      </w:r>
      <w:r>
        <w:rPr>
          <w:rFonts w:ascii="Arial" w:cs="Arial" w:eastAsia="Arial" w:hAnsi="Arial"/>
          <w:sz w:val="23"/>
          <w:szCs w:val="23"/>
          <w:color w:val="auto"/>
          <w:vertAlign w:val="superscript"/>
        </w:rPr>
        <w:t>(4)</w:t>
      </w:r>
    </w:p>
    <w:p>
      <w:pPr>
        <w:ind w:left="120"/>
        <w:spacing w:after="0"/>
        <w:rPr>
          <w:sz w:val="20"/>
          <w:szCs w:val="20"/>
          <w:color w:val="auto"/>
        </w:rPr>
      </w:pPr>
      <w:r>
        <w:rPr>
          <w:rFonts w:ascii="Arial" w:cs="Arial" w:eastAsia="Arial" w:hAnsi="Arial"/>
          <w:sz w:val="16"/>
          <w:szCs w:val="16"/>
          <w:color w:val="auto"/>
        </w:rPr>
        <w:t>All executive officers and directors as a group (9 persons)</w:t>
      </w:r>
      <w:r>
        <w:rPr>
          <w:rFonts w:ascii="Arial" w:cs="Arial" w:eastAsia="Arial" w:hAnsi="Arial"/>
          <w:sz w:val="27"/>
          <w:szCs w:val="27"/>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1289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19050</wp:posOffset>
            </wp:positionV>
            <wp:extent cx="7715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1400" w:type="dxa"/>
            <w:vAlign w:val="bottom"/>
          </w:tcPr>
          <w:p>
            <w:pPr>
              <w:jc w:val="center"/>
              <w:ind w:right="448"/>
              <w:spacing w:after="0"/>
              <w:rPr>
                <w:sz w:val="20"/>
                <w:szCs w:val="20"/>
                <w:color w:val="auto"/>
              </w:rPr>
            </w:pPr>
            <w:r>
              <w:rPr>
                <w:rFonts w:ascii="Arial" w:cs="Arial" w:eastAsia="Arial" w:hAnsi="Arial"/>
                <w:sz w:val="14"/>
                <w:szCs w:val="14"/>
                <w:b w:val="1"/>
                <w:bCs w:val="1"/>
                <w:color w:val="auto"/>
              </w:rPr>
              <w:t>Number of</w:t>
            </w:r>
          </w:p>
        </w:tc>
        <w:tc>
          <w:tcPr>
            <w:tcW w:w="1900" w:type="dxa"/>
            <w:vAlign w:val="bottom"/>
            <w:gridSpan w:val="3"/>
          </w:tcPr>
          <w:p>
            <w:pPr>
              <w:jc w:val="center"/>
              <w:spacing w:after="0"/>
              <w:rPr>
                <w:sz w:val="20"/>
                <w:szCs w:val="20"/>
                <w:color w:val="auto"/>
              </w:rPr>
            </w:pPr>
            <w:r>
              <w:rPr>
                <w:rFonts w:ascii="Arial" w:cs="Arial" w:eastAsia="Arial" w:hAnsi="Arial"/>
                <w:sz w:val="14"/>
                <w:szCs w:val="14"/>
                <w:b w:val="1"/>
                <w:bCs w:val="1"/>
                <w:color w:val="auto"/>
              </w:rPr>
              <w:t>Percentage of Shares</w:t>
            </w:r>
          </w:p>
        </w:tc>
      </w:tr>
      <w:tr>
        <w:trPr>
          <w:trHeight w:val="176"/>
        </w:trPr>
        <w:tc>
          <w:tcPr>
            <w:tcW w:w="1400" w:type="dxa"/>
            <w:vAlign w:val="bottom"/>
          </w:tcPr>
          <w:p>
            <w:pPr>
              <w:jc w:val="center"/>
              <w:ind w:right="448"/>
              <w:spacing w:after="0"/>
              <w:rPr>
                <w:sz w:val="20"/>
                <w:szCs w:val="20"/>
                <w:color w:val="auto"/>
              </w:rPr>
            </w:pPr>
            <w:r>
              <w:rPr>
                <w:rFonts w:ascii="Arial" w:cs="Arial" w:eastAsia="Arial" w:hAnsi="Arial"/>
                <w:sz w:val="14"/>
                <w:szCs w:val="14"/>
                <w:b w:val="1"/>
                <w:bCs w:val="1"/>
                <w:color w:val="auto"/>
              </w:rPr>
              <w:t>Shares</w:t>
            </w: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Beneficially Owned</w:t>
            </w:r>
          </w:p>
        </w:tc>
      </w:tr>
      <w:tr>
        <w:trPr>
          <w:trHeight w:val="140"/>
        </w:trPr>
        <w:tc>
          <w:tcPr>
            <w:tcW w:w="1400" w:type="dxa"/>
            <w:vAlign w:val="bottom"/>
          </w:tcPr>
          <w:p>
            <w:pPr>
              <w:jc w:val="center"/>
              <w:ind w:right="448"/>
              <w:spacing w:after="0" w:line="141" w:lineRule="exact"/>
              <w:rPr>
                <w:sz w:val="20"/>
                <w:szCs w:val="20"/>
                <w:color w:val="auto"/>
              </w:rPr>
            </w:pPr>
            <w:r>
              <w:rPr>
                <w:rFonts w:ascii="Arial" w:cs="Arial" w:eastAsia="Arial" w:hAnsi="Arial"/>
                <w:sz w:val="14"/>
                <w:szCs w:val="14"/>
                <w:b w:val="1"/>
                <w:bCs w:val="1"/>
                <w:color w:val="auto"/>
              </w:rPr>
              <w:t>Beneficially</w:t>
            </w:r>
          </w:p>
        </w:tc>
        <w:tc>
          <w:tcPr>
            <w:tcW w:w="1260" w:type="dxa"/>
            <w:vAlign w:val="bottom"/>
            <w:gridSpan w:val="2"/>
          </w:tcPr>
          <w:p>
            <w:pPr>
              <w:jc w:val="center"/>
              <w:ind w:right="520"/>
              <w:spacing w:after="0" w:line="141" w:lineRule="exact"/>
              <w:rPr>
                <w:sz w:val="20"/>
                <w:szCs w:val="20"/>
                <w:color w:val="auto"/>
              </w:rPr>
            </w:pPr>
            <w:r>
              <w:rPr>
                <w:rFonts w:ascii="Arial" w:cs="Arial" w:eastAsia="Arial" w:hAnsi="Arial"/>
                <w:sz w:val="14"/>
                <w:szCs w:val="14"/>
                <w:b w:val="1"/>
                <w:bCs w:val="1"/>
                <w:color w:val="auto"/>
              </w:rPr>
              <w:t>Before the</w:t>
            </w:r>
          </w:p>
        </w:tc>
        <w:tc>
          <w:tcPr>
            <w:tcW w:w="640" w:type="dxa"/>
            <w:vAlign w:val="bottom"/>
          </w:tcPr>
          <w:p>
            <w:pPr>
              <w:ind w:left="20"/>
              <w:spacing w:after="0" w:line="141" w:lineRule="exact"/>
              <w:rPr>
                <w:sz w:val="20"/>
                <w:szCs w:val="20"/>
                <w:color w:val="auto"/>
              </w:rPr>
            </w:pPr>
            <w:r>
              <w:rPr>
                <w:rFonts w:ascii="Arial" w:cs="Arial" w:eastAsia="Arial" w:hAnsi="Arial"/>
                <w:sz w:val="14"/>
                <w:szCs w:val="14"/>
                <w:b w:val="1"/>
                <w:bCs w:val="1"/>
                <w:color w:val="auto"/>
              </w:rPr>
              <w:t>After the</w:t>
            </w:r>
          </w:p>
        </w:tc>
      </w:tr>
      <w:tr>
        <w:trPr>
          <w:trHeight w:val="177"/>
        </w:trPr>
        <w:tc>
          <w:tcPr>
            <w:tcW w:w="1400" w:type="dxa"/>
            <w:vAlign w:val="bottom"/>
            <w:tcBorders>
              <w:bottom w:val="single" w:sz="8" w:color="auto"/>
            </w:tcBorders>
          </w:tcPr>
          <w:p>
            <w:pPr>
              <w:jc w:val="center"/>
              <w:ind w:right="448"/>
              <w:spacing w:after="0"/>
              <w:rPr>
                <w:sz w:val="20"/>
                <w:szCs w:val="20"/>
                <w:color w:val="auto"/>
              </w:rPr>
            </w:pPr>
            <w:r>
              <w:rPr>
                <w:rFonts w:ascii="Arial" w:cs="Arial" w:eastAsia="Arial" w:hAnsi="Arial"/>
                <w:sz w:val="14"/>
                <w:szCs w:val="14"/>
                <w:b w:val="1"/>
                <w:bCs w:val="1"/>
                <w:color w:val="auto"/>
              </w:rPr>
              <w:t>Owned</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Offering</w:t>
            </w:r>
          </w:p>
        </w:tc>
        <w:tc>
          <w:tcPr>
            <w:tcW w:w="520" w:type="dxa"/>
            <w:vAlign w:val="bottom"/>
          </w:tcPr>
          <w:p>
            <w:pPr>
              <w:spacing w:after="0"/>
              <w:rPr>
                <w:sz w:val="15"/>
                <w:szCs w:val="15"/>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Offering</w:t>
            </w:r>
          </w:p>
        </w:tc>
      </w:tr>
    </w:tbl>
    <w:p>
      <w:pPr>
        <w:spacing w:after="0" w:line="184" w:lineRule="exact"/>
        <w:rPr>
          <w:sz w:val="20"/>
          <w:szCs w:val="20"/>
          <w:color w:val="auto"/>
        </w:rPr>
      </w:pPr>
    </w:p>
    <w:p>
      <w:pPr>
        <w:jc w:val="right"/>
        <w:ind w:right="2420"/>
        <w:spacing w:after="0"/>
        <w:rPr>
          <w:sz w:val="20"/>
          <w:szCs w:val="20"/>
          <w:color w:val="auto"/>
        </w:rPr>
      </w:pPr>
      <w:r>
        <w:rPr>
          <w:rFonts w:ascii="Arial" w:cs="Arial" w:eastAsia="Arial" w:hAnsi="Arial"/>
          <w:sz w:val="16"/>
          <w:szCs w:val="16"/>
          <w:color w:val="auto"/>
        </w:rPr>
        <w:t>33,772,242</w:t>
      </w:r>
    </w:p>
    <w:p>
      <w:pPr>
        <w:spacing w:after="0" w:line="35" w:lineRule="exact"/>
        <w:rPr>
          <w:sz w:val="20"/>
          <w:szCs w:val="20"/>
          <w:color w:val="auto"/>
        </w:rPr>
      </w:pPr>
    </w:p>
    <w:p>
      <w:pPr>
        <w:jc w:val="right"/>
        <w:ind w:right="2420"/>
        <w:spacing w:after="0"/>
        <w:rPr>
          <w:sz w:val="20"/>
          <w:szCs w:val="20"/>
          <w:color w:val="auto"/>
        </w:rPr>
      </w:pPr>
      <w:r>
        <w:rPr>
          <w:rFonts w:ascii="Arial" w:cs="Arial" w:eastAsia="Arial" w:hAnsi="Arial"/>
          <w:sz w:val="16"/>
          <w:szCs w:val="16"/>
          <w:color w:val="auto"/>
        </w:rPr>
        <w:t>29,590,699</w:t>
      </w:r>
    </w:p>
    <w:p>
      <w:pPr>
        <w:spacing w:after="0" w:line="19" w:lineRule="exact"/>
        <w:rPr>
          <w:sz w:val="20"/>
          <w:szCs w:val="20"/>
          <w:color w:val="auto"/>
        </w:rPr>
      </w:pPr>
    </w:p>
    <w:p>
      <w:pPr>
        <w:jc w:val="right"/>
        <w:ind w:right="2420"/>
        <w:spacing w:after="0"/>
        <w:rPr>
          <w:sz w:val="20"/>
          <w:szCs w:val="20"/>
          <w:color w:val="auto"/>
        </w:rPr>
      </w:pPr>
      <w:r>
        <w:rPr>
          <w:rFonts w:ascii="Arial" w:cs="Arial" w:eastAsia="Arial" w:hAnsi="Arial"/>
          <w:sz w:val="16"/>
          <w:szCs w:val="16"/>
          <w:color w:val="auto"/>
        </w:rPr>
        <w:t>22,005,055</w:t>
      </w:r>
    </w:p>
    <w:p>
      <w:pPr>
        <w:spacing w:after="0" w:line="19" w:lineRule="exact"/>
        <w:rPr>
          <w:sz w:val="20"/>
          <w:szCs w:val="20"/>
          <w:color w:val="auto"/>
        </w:rPr>
      </w:pPr>
    </w:p>
    <w:p>
      <w:pPr>
        <w:jc w:val="right"/>
        <w:ind w:right="2420"/>
        <w:spacing w:after="0"/>
        <w:rPr>
          <w:sz w:val="20"/>
          <w:szCs w:val="20"/>
          <w:color w:val="auto"/>
        </w:rPr>
      </w:pPr>
      <w:r>
        <w:rPr>
          <w:rFonts w:ascii="Arial" w:cs="Arial" w:eastAsia="Arial" w:hAnsi="Arial"/>
          <w:sz w:val="16"/>
          <w:szCs w:val="16"/>
          <w:color w:val="auto"/>
        </w:rPr>
        <w:t>9,308,820</w:t>
      </w:r>
    </w:p>
    <w:p>
      <w:pPr>
        <w:spacing w:after="0" w:line="19" w:lineRule="exact"/>
        <w:rPr>
          <w:sz w:val="20"/>
          <w:szCs w:val="20"/>
          <w:color w:val="auto"/>
        </w:rPr>
      </w:pPr>
    </w:p>
    <w:p>
      <w:pPr>
        <w:jc w:val="right"/>
        <w:ind w:right="2420"/>
        <w:spacing w:after="0"/>
        <w:rPr>
          <w:sz w:val="20"/>
          <w:szCs w:val="20"/>
          <w:color w:val="auto"/>
        </w:rPr>
      </w:pPr>
      <w:r>
        <w:rPr>
          <w:rFonts w:ascii="Arial" w:cs="Arial" w:eastAsia="Arial" w:hAnsi="Arial"/>
          <w:sz w:val="16"/>
          <w:szCs w:val="16"/>
          <w:color w:val="auto"/>
        </w:rPr>
        <w:t>6,981,615</w:t>
      </w:r>
    </w:p>
    <w:p>
      <w:pPr>
        <w:spacing w:after="0" w:line="205" w:lineRule="exact"/>
        <w:rPr>
          <w:sz w:val="20"/>
          <w:szCs w:val="20"/>
          <w:color w:val="auto"/>
        </w:rPr>
      </w:pPr>
    </w:p>
    <w:p>
      <w:pPr>
        <w:jc w:val="right"/>
        <w:ind w:right="2420"/>
        <w:spacing w:after="0"/>
        <w:rPr>
          <w:sz w:val="20"/>
          <w:szCs w:val="20"/>
          <w:color w:val="auto"/>
        </w:rPr>
      </w:pPr>
      <w:r>
        <w:rPr>
          <w:rFonts w:ascii="Arial" w:cs="Arial" w:eastAsia="Arial" w:hAnsi="Arial"/>
          <w:sz w:val="16"/>
          <w:szCs w:val="16"/>
          <w:color w:val="auto"/>
        </w:rPr>
        <w:t>7,392,016</w:t>
      </w:r>
    </w:p>
    <w:p>
      <w:pPr>
        <w:spacing w:after="0" w:line="35" w:lineRule="exact"/>
        <w:rPr>
          <w:sz w:val="20"/>
          <w:szCs w:val="20"/>
          <w:color w:val="auto"/>
        </w:rPr>
      </w:pPr>
    </w:p>
    <w:p>
      <w:pPr>
        <w:jc w:val="right"/>
        <w:ind w:right="2420"/>
        <w:spacing w:after="0"/>
        <w:rPr>
          <w:sz w:val="20"/>
          <w:szCs w:val="20"/>
          <w:color w:val="auto"/>
        </w:rPr>
      </w:pPr>
      <w:r>
        <w:rPr>
          <w:rFonts w:ascii="Arial" w:cs="Arial" w:eastAsia="Arial" w:hAnsi="Arial"/>
          <w:sz w:val="16"/>
          <w:szCs w:val="16"/>
          <w:color w:val="auto"/>
        </w:rPr>
        <w:t>2,544,815</w:t>
      </w:r>
    </w:p>
    <w:p>
      <w:pPr>
        <w:spacing w:after="0" w:line="19" w:lineRule="exact"/>
        <w:rPr>
          <w:sz w:val="20"/>
          <w:szCs w:val="20"/>
          <w:color w:val="auto"/>
        </w:rPr>
      </w:pPr>
    </w:p>
    <w:p>
      <w:pPr>
        <w:jc w:val="right"/>
        <w:ind w:right="2420"/>
        <w:spacing w:after="0"/>
        <w:rPr>
          <w:sz w:val="20"/>
          <w:szCs w:val="20"/>
          <w:color w:val="auto"/>
        </w:rPr>
      </w:pPr>
      <w:r>
        <w:rPr>
          <w:rFonts w:ascii="Arial" w:cs="Arial" w:eastAsia="Arial" w:hAnsi="Arial"/>
          <w:sz w:val="16"/>
          <w:szCs w:val="16"/>
          <w:color w:val="auto"/>
        </w:rPr>
        <w:t>136,145</w:t>
      </w:r>
    </w:p>
    <w:p>
      <w:pPr>
        <w:spacing w:after="0" w:line="205" w:lineRule="exact"/>
        <w:rPr>
          <w:sz w:val="20"/>
          <w:szCs w:val="20"/>
          <w:color w:val="auto"/>
        </w:rPr>
      </w:pPr>
    </w:p>
    <w:p>
      <w:pPr>
        <w:jc w:val="right"/>
        <w:ind w:right="2420"/>
        <w:spacing w:after="0"/>
        <w:rPr>
          <w:sz w:val="20"/>
          <w:szCs w:val="20"/>
          <w:color w:val="auto"/>
        </w:rPr>
      </w:pPr>
      <w:r>
        <w:rPr>
          <w:rFonts w:ascii="Arial" w:cs="Arial" w:eastAsia="Arial" w:hAnsi="Arial"/>
          <w:sz w:val="16"/>
          <w:szCs w:val="16"/>
          <w:color w:val="auto"/>
        </w:rPr>
        <w:t>272,743</w:t>
      </w:r>
    </w:p>
    <w:p>
      <w:pPr>
        <w:spacing w:after="0" w:line="35" w:lineRule="exact"/>
        <w:rPr>
          <w:sz w:val="20"/>
          <w:szCs w:val="20"/>
          <w:color w:val="auto"/>
        </w:rPr>
      </w:pPr>
    </w:p>
    <w:p>
      <w:pPr>
        <w:jc w:val="right"/>
        <w:ind w:right="2420"/>
        <w:spacing w:after="0"/>
        <w:rPr>
          <w:sz w:val="20"/>
          <w:szCs w:val="20"/>
          <w:color w:val="auto"/>
        </w:rPr>
      </w:pPr>
      <w:r>
        <w:rPr>
          <w:rFonts w:ascii="Arial" w:cs="Arial" w:eastAsia="Arial" w:hAnsi="Arial"/>
          <w:sz w:val="16"/>
          <w:szCs w:val="16"/>
          <w:color w:val="auto"/>
        </w:rPr>
        <w:t>2,250,000</w:t>
      </w:r>
    </w:p>
    <w:p>
      <w:pPr>
        <w:spacing w:after="0" w:line="19" w:lineRule="exact"/>
        <w:rPr>
          <w:sz w:val="20"/>
          <w:szCs w:val="20"/>
          <w:color w:val="auto"/>
        </w:rPr>
      </w:pPr>
    </w:p>
    <w:p>
      <w:pPr>
        <w:jc w:val="right"/>
        <w:ind w:right="2420"/>
        <w:spacing w:after="0"/>
        <w:rPr>
          <w:sz w:val="20"/>
          <w:szCs w:val="20"/>
          <w:color w:val="auto"/>
        </w:rPr>
      </w:pPr>
      <w:r>
        <w:rPr>
          <w:rFonts w:ascii="Arial" w:cs="Arial" w:eastAsia="Arial" w:hAnsi="Arial"/>
          <w:sz w:val="16"/>
          <w:szCs w:val="16"/>
          <w:color w:val="auto"/>
        </w:rPr>
        <w:t>33,772,242</w:t>
      </w:r>
    </w:p>
    <w:p>
      <w:pPr>
        <w:spacing w:after="0" w:line="19" w:lineRule="exact"/>
        <w:rPr>
          <w:sz w:val="20"/>
          <w:szCs w:val="20"/>
          <w:color w:val="auto"/>
        </w:rPr>
      </w:pPr>
    </w:p>
    <w:p>
      <w:pPr>
        <w:jc w:val="right"/>
        <w:ind w:right="2420"/>
        <w:spacing w:after="0"/>
        <w:rPr>
          <w:sz w:val="20"/>
          <w:szCs w:val="20"/>
          <w:color w:val="auto"/>
        </w:rPr>
      </w:pPr>
      <w:r>
        <w:rPr>
          <w:rFonts w:ascii="Arial" w:cs="Arial" w:eastAsia="Arial" w:hAnsi="Arial"/>
          <w:sz w:val="16"/>
          <w:szCs w:val="16"/>
          <w:color w:val="auto"/>
        </w:rPr>
        <w:t>29,590,699</w:t>
      </w:r>
    </w:p>
    <w:p>
      <w:pPr>
        <w:spacing w:after="0" w:line="19" w:lineRule="exact"/>
        <w:rPr>
          <w:sz w:val="20"/>
          <w:szCs w:val="20"/>
          <w:color w:val="auto"/>
        </w:rPr>
      </w:pPr>
    </w:p>
    <w:p>
      <w:pPr>
        <w:jc w:val="right"/>
        <w:ind w:right="2420"/>
        <w:spacing w:after="0"/>
        <w:rPr>
          <w:sz w:val="20"/>
          <w:szCs w:val="20"/>
          <w:color w:val="auto"/>
        </w:rPr>
      </w:pPr>
      <w:r>
        <w:rPr>
          <w:rFonts w:ascii="Arial" w:cs="Arial" w:eastAsia="Arial" w:hAnsi="Arial"/>
          <w:sz w:val="16"/>
          <w:szCs w:val="16"/>
          <w:color w:val="auto"/>
        </w:rPr>
        <w:t>9,308,820</w:t>
      </w:r>
    </w:p>
    <w:p>
      <w:pPr>
        <w:spacing w:after="0" w:line="19" w:lineRule="exact"/>
        <w:rPr>
          <w:sz w:val="20"/>
          <w:szCs w:val="20"/>
          <w:color w:val="auto"/>
        </w:rPr>
      </w:pPr>
    </w:p>
    <w:p>
      <w:pPr>
        <w:jc w:val="right"/>
        <w:ind w:right="2420"/>
        <w:spacing w:after="0"/>
        <w:rPr>
          <w:sz w:val="20"/>
          <w:szCs w:val="20"/>
          <w:color w:val="auto"/>
        </w:rPr>
      </w:pPr>
      <w:r>
        <w:rPr>
          <w:rFonts w:ascii="Arial" w:cs="Arial" w:eastAsia="Arial" w:hAnsi="Arial"/>
          <w:sz w:val="16"/>
          <w:szCs w:val="16"/>
          <w:color w:val="auto"/>
        </w:rPr>
        <w:t>85,267,480</w:t>
      </w:r>
    </w:p>
    <w:p>
      <w:pPr>
        <w:spacing w:after="0" w:line="182" w:lineRule="exact"/>
        <w:rPr>
          <w:sz w:val="20"/>
          <w:szCs w:val="20"/>
          <w:color w:val="auto"/>
        </w:rPr>
      </w:pPr>
    </w:p>
    <w:p>
      <w:pPr>
        <w:sectPr>
          <w:pgSz w:w="11900" w:h="16838" w:orient="portrait"/>
          <w:cols w:equalWidth="0" w:num="2">
            <w:col w:w="7080" w:space="720"/>
            <w:col w:w="3300"/>
          </w:cols>
          <w:pgMar w:left="320" w:top="455" w:right="479" w:bottom="1440" w:gutter="0" w:footer="0" w:header="0"/>
          <w:type w:val="continuous"/>
        </w:sectPr>
      </w:pPr>
    </w:p>
    <w:p>
      <w:pPr>
        <w:ind w:left="660" w:hanging="544"/>
        <w:spacing w:after="0"/>
        <w:tabs>
          <w:tab w:leader="none" w:pos="6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 (1%) of the outstanding shares of our common stock.</w:t>
      </w:r>
    </w:p>
    <w:p>
      <w:pPr>
        <w:spacing w:after="0" w:line="12" w:lineRule="exact"/>
        <w:rPr>
          <w:sz w:val="20"/>
          <w:szCs w:val="20"/>
          <w:color w:val="auto"/>
        </w:rPr>
      </w:pPr>
    </w:p>
    <w:p>
      <w:pPr>
        <w:ind w:left="660" w:right="20" w:hanging="544"/>
        <w:spacing w:after="0" w:line="220" w:lineRule="auto"/>
        <w:tabs>
          <w:tab w:leader="none" w:pos="660" w:val="left"/>
        </w:tabs>
        <w:numPr>
          <w:ilvl w:val="0"/>
          <w:numId w:val="104"/>
        </w:numPr>
        <w:rPr>
          <w:rFonts w:ascii="Arial" w:cs="Arial" w:eastAsia="Arial" w:hAnsi="Arial"/>
          <w:sz w:val="24"/>
          <w:szCs w:val="24"/>
          <w:color w:val="auto"/>
          <w:vertAlign w:val="superscript"/>
        </w:rPr>
      </w:pPr>
      <w:r>
        <w:rPr>
          <w:rFonts w:ascii="Arial" w:cs="Arial" w:eastAsia="Arial" w:hAnsi="Arial"/>
          <w:sz w:val="14"/>
          <w:szCs w:val="14"/>
          <w:color w:val="auto"/>
        </w:rPr>
        <w:t>Consists of (i) 8,529,997 shares of common stock issuable upon conversion of Series Seed convertible preferred stock, (ii) 18,366,771 shares of common stock issuable upon conversion of Series A convertible preferred stock, (iii) 5,479,151 shares of common stock issuable upon conversion of Series B convertible preferred stock and (iv) 1,396,323 shares of common stock issuable upon conversion of Series C convertible preferred stock all held by InterWest Partners X, L.P., or IW10. InterWest Management Partners X, LLC, or IMP10, is the general partner of IW10. Gilbert H. Kliman and Arnold L. Oronsky are the managing directors of IMP10, and Keval Desai and Khaled A. Nasr are venture members of IMP10. Each managing director and venture member of IMP10, including Arnold L. Oronsky, shares voting and investment power with respect to the securities held by IW10. IW10 is affiliated with InterWest Venture Management Company and Arnold L. Oronsky, a member of our board of directors. The address for the InterWest entities is 467 First Street, Suite 201, Los Altos CA 94301.</w:t>
      </w:r>
    </w:p>
    <w:p>
      <w:pPr>
        <w:spacing w:after="0" w:line="3" w:lineRule="exact"/>
        <w:rPr>
          <w:rFonts w:ascii="Arial" w:cs="Arial" w:eastAsia="Arial" w:hAnsi="Arial"/>
          <w:sz w:val="24"/>
          <w:szCs w:val="24"/>
          <w:color w:val="auto"/>
          <w:vertAlign w:val="superscript"/>
        </w:rPr>
      </w:pPr>
    </w:p>
    <w:p>
      <w:pPr>
        <w:ind w:left="660" w:right="160" w:hanging="544"/>
        <w:spacing w:after="0" w:line="215" w:lineRule="auto"/>
        <w:tabs>
          <w:tab w:leader="none" w:pos="660" w:val="left"/>
        </w:tabs>
        <w:numPr>
          <w:ilvl w:val="0"/>
          <w:numId w:val="104"/>
        </w:numPr>
        <w:rPr>
          <w:rFonts w:ascii="Arial" w:cs="Arial" w:eastAsia="Arial" w:hAnsi="Arial"/>
          <w:sz w:val="24"/>
          <w:szCs w:val="24"/>
          <w:color w:val="auto"/>
          <w:vertAlign w:val="superscript"/>
        </w:rPr>
      </w:pPr>
      <w:r>
        <w:rPr>
          <w:rFonts w:ascii="Arial" w:cs="Arial" w:eastAsia="Arial" w:hAnsi="Arial"/>
          <w:sz w:val="14"/>
          <w:szCs w:val="14"/>
          <w:color w:val="auto"/>
        </w:rPr>
        <w:t>Consists of 29,590,699 shares held by OrbiMed Private Investments V, LP, or OPI V. Dr. Peter Thompson is an employee of OrbiMed Advisors LLC, or OrbiMed Advisors, and a member of our board of directors. OrbiMed Capital GP V LLC, or OrbiMed GP V, is the general partner of OPI V and OrbiMed Advisors is the managing member of OrbiMed GP V. By virtue of such relationships, OrbiMed GP V and OrbiMed Advisors may be deemed to have voting and investment power over the securities held by OPI V and as a result, may be deemed to have beneficial ownership over such securities. OrbiMed Advisors exercises voting and investment power through a management committee comprised of Carl L. Gordon, Sven H. Borho, and Jonathan T. Silverstein, each of whom disclaims beneficial ownership of the shares held by OPI V. The business address of OPI V is c/o OrbiMed Advisors LLC, 601 Lexington Avenue, 54th Floor, New York, NY 10022.</w:t>
      </w:r>
    </w:p>
    <w:p>
      <w:pPr>
        <w:spacing w:after="0" w:line="3" w:lineRule="exact"/>
        <w:rPr>
          <w:rFonts w:ascii="Arial" w:cs="Arial" w:eastAsia="Arial" w:hAnsi="Arial"/>
          <w:sz w:val="24"/>
          <w:szCs w:val="24"/>
          <w:color w:val="auto"/>
          <w:vertAlign w:val="superscript"/>
        </w:rPr>
      </w:pPr>
    </w:p>
    <w:p>
      <w:pPr>
        <w:ind w:left="660" w:hanging="544"/>
        <w:spacing w:after="0"/>
        <w:tabs>
          <w:tab w:leader="none" w:pos="660" w:val="left"/>
        </w:tabs>
        <w:numPr>
          <w:ilvl w:val="0"/>
          <w:numId w:val="104"/>
        </w:numPr>
        <w:rPr>
          <w:rFonts w:ascii="Arial" w:cs="Arial" w:eastAsia="Arial" w:hAnsi="Arial"/>
          <w:sz w:val="24"/>
          <w:szCs w:val="24"/>
          <w:color w:val="auto"/>
          <w:vertAlign w:val="superscript"/>
        </w:rPr>
      </w:pPr>
      <w:r>
        <w:rPr>
          <w:rFonts w:ascii="Arial" w:cs="Arial" w:eastAsia="Arial" w:hAnsi="Arial"/>
          <w:sz w:val="14"/>
          <w:szCs w:val="14"/>
          <w:color w:val="auto"/>
        </w:rPr>
        <w:t>Consists of (i) 3,652,767 shares held of record by Greenland A LLC, (ii) 3,956,248 shares held of record by Greenland FP LLC, (iii) 698,161 shares held of record by Greenland NFP LLC, and (iv) 13,697,879 shares held of record by Greenland NFP B Ltd., such record holders together, the Greenland Entities. Euclidean Capital LLC, the Manager or Vice President (as the case may be) of the Greenland Entities, may be deemed to have shared voting control and investment discretion over the shares held by the Greenland Entities. The address for Euclidean and the Greenland Entities is c/o Euclidean Capital LLC, 160 Fifth Ave, 9th Fl, New York, NY 10010.</w:t>
      </w:r>
    </w:p>
    <w:p>
      <w:pPr>
        <w:spacing w:after="0" w:line="51" w:lineRule="exact"/>
        <w:rPr>
          <w:rFonts w:ascii="Arial" w:cs="Arial" w:eastAsia="Arial" w:hAnsi="Arial"/>
          <w:sz w:val="24"/>
          <w:szCs w:val="24"/>
          <w:color w:val="auto"/>
          <w:vertAlign w:val="superscript"/>
        </w:rPr>
      </w:pPr>
    </w:p>
    <w:p>
      <w:pPr>
        <w:ind w:left="660" w:right="60" w:hanging="544"/>
        <w:spacing w:after="0" w:line="218" w:lineRule="auto"/>
        <w:tabs>
          <w:tab w:leader="none" w:pos="660" w:val="left"/>
        </w:tabs>
        <w:numPr>
          <w:ilvl w:val="0"/>
          <w:numId w:val="104"/>
        </w:numPr>
        <w:rPr>
          <w:rFonts w:ascii="Arial" w:cs="Arial" w:eastAsia="Arial" w:hAnsi="Arial"/>
          <w:sz w:val="24"/>
          <w:szCs w:val="24"/>
          <w:color w:val="auto"/>
          <w:vertAlign w:val="superscript"/>
        </w:rPr>
      </w:pPr>
      <w:r>
        <w:rPr>
          <w:rFonts w:ascii="Arial" w:cs="Arial" w:eastAsia="Arial" w:hAnsi="Arial"/>
          <w:sz w:val="14"/>
          <w:szCs w:val="14"/>
          <w:color w:val="auto"/>
        </w:rPr>
        <w:t>Consists of 9,308,820 shares held by Nextech V Oncology S.C.S., SICAV-SIF. Dr. Thilo Schroeder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Nextech V GP S.à r.l. is the general partner of Nextech V Oncology S.C.S., SICAV-SIF. Dalia Bleyer, James Pledger and Thomas Lips are Managers of Nextech V GP S.à r.l. and each of Nextech V GP S.à r.l. and Messrs. Dalia Bleyer, James Pledger and Thomas Lips may be deemed to share voting and investment power with respect to the shares reported herein and disclaim beneficial ownership over such</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00"/>
          </w:cols>
          <w:pgMar w:left="320" w:top="455" w:right="479" w:bottom="1440" w:gutter="0" w:footer="0" w:header="0"/>
          <w:type w:val="continuous"/>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660" w:right="900"/>
        <w:spacing w:after="0" w:line="249" w:lineRule="auto"/>
        <w:rPr>
          <w:sz w:val="20"/>
          <w:szCs w:val="20"/>
          <w:color w:val="auto"/>
        </w:rPr>
      </w:pPr>
      <w:r>
        <w:rPr>
          <w:rFonts w:ascii="Arial" w:cs="Arial" w:eastAsia="Arial" w:hAnsi="Arial"/>
          <w:sz w:val="14"/>
          <w:szCs w:val="14"/>
          <w:color w:val="auto"/>
        </w:rPr>
        <w:t>shares, except to the extent of their respective pecuniary interest therein, if any. The address of the entities listed herein is 8 rue Lou Hemmer L-1748 Senningerberg, Luxembourg.</w:t>
      </w:r>
    </w:p>
    <w:p>
      <w:pPr>
        <w:ind w:left="660" w:right="100" w:hanging="544"/>
        <w:spacing w:after="0" w:line="217" w:lineRule="auto"/>
        <w:tabs>
          <w:tab w:leader="none" w:pos="660" w:val="left"/>
        </w:tabs>
        <w:numPr>
          <w:ilvl w:val="0"/>
          <w:numId w:val="105"/>
        </w:numPr>
        <w:rPr>
          <w:rFonts w:ascii="Arial" w:cs="Arial" w:eastAsia="Arial" w:hAnsi="Arial"/>
          <w:sz w:val="24"/>
          <w:szCs w:val="24"/>
          <w:color w:val="auto"/>
          <w:vertAlign w:val="superscript"/>
        </w:rPr>
      </w:pPr>
      <w:r>
        <w:rPr>
          <w:rFonts w:ascii="Arial" w:cs="Arial" w:eastAsia="Arial" w:hAnsi="Arial"/>
          <w:sz w:val="14"/>
          <w:szCs w:val="14"/>
          <w:color w:val="auto"/>
        </w:rPr>
        <w:t>Consists of 6,981,615 shares held by Viking Global Opportunities Illiquid Investments Sub-Master LP, or Opportunities Fund, which has the authority to dispose of and vote the shares directly owned by it, which power may be exercised by its general partner, Viking Global Opportunities Portfolio GP LLC, or Opportunities GP, and by Viking Global Investors LP, or VGI, which provides managerial services to Opportunities Fund. O. Andreas Halvorsen, David C. Ott and Rose Shabet, as Executive Committee members of Viking Global Partners LLC (the general partner of VGI) and Opportunities GP, have shared authority to direct the voting and disposition of investments beneficially owned by VGI and Opportunities GP. The business address of the Opportunities Fund is c/o Viking Global Investors LP, 55 Railroad Avenue, Greenwich, Connecticut 06830.</w:t>
      </w:r>
    </w:p>
    <w:p>
      <w:pPr>
        <w:spacing w:after="0" w:line="2" w:lineRule="exact"/>
        <w:rPr>
          <w:rFonts w:ascii="Arial" w:cs="Arial" w:eastAsia="Arial" w:hAnsi="Arial"/>
          <w:sz w:val="24"/>
          <w:szCs w:val="24"/>
          <w:color w:val="auto"/>
          <w:vertAlign w:val="superscript"/>
        </w:rPr>
      </w:pPr>
    </w:p>
    <w:p>
      <w:pPr>
        <w:ind w:left="660" w:hanging="544"/>
        <w:spacing w:after="0" w:line="182" w:lineRule="auto"/>
        <w:tabs>
          <w:tab w:leader="none" w:pos="660" w:val="left"/>
        </w:tabs>
        <w:numPr>
          <w:ilvl w:val="0"/>
          <w:numId w:val="105"/>
        </w:numPr>
        <w:rPr>
          <w:rFonts w:ascii="Arial" w:cs="Arial" w:eastAsia="Arial" w:hAnsi="Arial"/>
          <w:sz w:val="23"/>
          <w:szCs w:val="23"/>
          <w:color w:val="auto"/>
          <w:vertAlign w:val="superscript"/>
        </w:rPr>
      </w:pPr>
      <w:r>
        <w:rPr>
          <w:rFonts w:ascii="Arial" w:cs="Arial" w:eastAsia="Arial" w:hAnsi="Arial"/>
          <w:sz w:val="14"/>
          <w:szCs w:val="14"/>
          <w:color w:val="auto"/>
        </w:rPr>
        <w:t>Consists of (i) 1,500,000 shares of common stock held by The Mack-Mulligan Revocable Trust, of which Dr. David Mack is a co-trustee and (ii) 5,892,016 shares of common stock issuable pursuant to options held directly by Dr. Mack, exercisable within 60 days of May 31, 2020.</w:t>
      </w:r>
    </w:p>
    <w:p>
      <w:pPr>
        <w:spacing w:after="0" w:line="1" w:lineRule="exact"/>
        <w:rPr>
          <w:rFonts w:ascii="Arial" w:cs="Arial" w:eastAsia="Arial" w:hAnsi="Arial"/>
          <w:sz w:val="23"/>
          <w:szCs w:val="23"/>
          <w:color w:val="auto"/>
          <w:vertAlign w:val="superscript"/>
        </w:rPr>
      </w:pPr>
    </w:p>
    <w:p>
      <w:pPr>
        <w:ind w:left="660" w:hanging="544"/>
        <w:spacing w:after="0" w:line="187" w:lineRule="auto"/>
        <w:tabs>
          <w:tab w:leader="none" w:pos="660" w:val="left"/>
        </w:tabs>
        <w:numPr>
          <w:ilvl w:val="0"/>
          <w:numId w:val="105"/>
        </w:numPr>
        <w:rPr>
          <w:rFonts w:ascii="Arial" w:cs="Arial" w:eastAsia="Arial" w:hAnsi="Arial"/>
          <w:sz w:val="18"/>
          <w:szCs w:val="18"/>
          <w:color w:val="auto"/>
          <w:vertAlign w:val="superscript"/>
        </w:rPr>
      </w:pPr>
      <w:r>
        <w:rPr>
          <w:rFonts w:ascii="Arial" w:cs="Arial" w:eastAsia="Arial" w:hAnsi="Arial"/>
          <w:sz w:val="11"/>
          <w:szCs w:val="11"/>
          <w:color w:val="auto"/>
        </w:rPr>
        <w:t>Consists of 2,544,815 shares of common stock issuable pursuant to options held directly by Winston Kung, exercisable within 60 days of May 31, 2020.</w:t>
      </w:r>
    </w:p>
    <w:p>
      <w:pPr>
        <w:ind w:left="660" w:hanging="544"/>
        <w:spacing w:after="0" w:line="187" w:lineRule="auto"/>
        <w:tabs>
          <w:tab w:leader="none" w:pos="660" w:val="left"/>
        </w:tabs>
        <w:numPr>
          <w:ilvl w:val="0"/>
          <w:numId w:val="105"/>
        </w:numPr>
        <w:rPr>
          <w:rFonts w:ascii="Arial" w:cs="Arial" w:eastAsia="Arial" w:hAnsi="Arial"/>
          <w:sz w:val="18"/>
          <w:szCs w:val="18"/>
          <w:color w:val="auto"/>
          <w:vertAlign w:val="superscript"/>
        </w:rPr>
      </w:pPr>
      <w:r>
        <w:rPr>
          <w:rFonts w:ascii="Arial" w:cs="Arial" w:eastAsia="Arial" w:hAnsi="Arial"/>
          <w:sz w:val="11"/>
          <w:szCs w:val="11"/>
          <w:color w:val="auto"/>
        </w:rPr>
        <w:t>Consists of 136,145 shares of common stock issuable pursuant to options held directly by Dr. Deepika Jalota, exercisable within 60 days of May 31, 2020.</w:t>
      </w:r>
    </w:p>
    <w:p>
      <w:pPr>
        <w:ind w:left="660" w:hanging="544"/>
        <w:spacing w:after="0" w:line="187" w:lineRule="auto"/>
        <w:tabs>
          <w:tab w:leader="none" w:pos="660" w:val="left"/>
        </w:tabs>
        <w:numPr>
          <w:ilvl w:val="0"/>
          <w:numId w:val="105"/>
        </w:numPr>
        <w:rPr>
          <w:rFonts w:ascii="Arial" w:cs="Arial" w:eastAsia="Arial" w:hAnsi="Arial"/>
          <w:sz w:val="18"/>
          <w:szCs w:val="18"/>
          <w:color w:val="auto"/>
          <w:vertAlign w:val="superscript"/>
        </w:rPr>
      </w:pPr>
      <w:r>
        <w:rPr>
          <w:rFonts w:ascii="Arial" w:cs="Arial" w:eastAsia="Arial" w:hAnsi="Arial"/>
          <w:sz w:val="11"/>
          <w:szCs w:val="11"/>
          <w:color w:val="auto"/>
        </w:rPr>
        <w:t>Consists of 272,743 shares of common stock issuable pursuant to options held directly by Dr. Richard Heyman, exercisable within 60 days of May 31, 2020.</w:t>
      </w:r>
    </w:p>
    <w:p>
      <w:pPr>
        <w:ind w:left="660" w:hanging="544"/>
        <w:spacing w:after="0" w:line="187" w:lineRule="auto"/>
        <w:tabs>
          <w:tab w:leader="none" w:pos="660" w:val="left"/>
        </w:tabs>
        <w:numPr>
          <w:ilvl w:val="0"/>
          <w:numId w:val="105"/>
        </w:numPr>
        <w:rPr>
          <w:rFonts w:ascii="Arial" w:cs="Arial" w:eastAsia="Arial" w:hAnsi="Arial"/>
          <w:sz w:val="18"/>
          <w:szCs w:val="18"/>
          <w:color w:val="auto"/>
          <w:vertAlign w:val="superscript"/>
        </w:rPr>
      </w:pPr>
      <w:r>
        <w:rPr>
          <w:rFonts w:ascii="Arial" w:cs="Arial" w:eastAsia="Arial" w:hAnsi="Arial"/>
          <w:sz w:val="11"/>
          <w:szCs w:val="11"/>
          <w:color w:val="auto"/>
        </w:rPr>
        <w:t>Consists of 2,250,000 shares of common stock held directly by Dr. Arnold Levine.</w:t>
      </w:r>
    </w:p>
    <w:p>
      <w:pPr>
        <w:ind w:left="660" w:hanging="544"/>
        <w:spacing w:after="0" w:line="185" w:lineRule="auto"/>
        <w:tabs>
          <w:tab w:leader="none" w:pos="660" w:val="left"/>
        </w:tabs>
        <w:numPr>
          <w:ilvl w:val="0"/>
          <w:numId w:val="105"/>
        </w:numPr>
        <w:rPr>
          <w:rFonts w:ascii="Arial" w:cs="Arial" w:eastAsia="Arial" w:hAnsi="Arial"/>
          <w:sz w:val="24"/>
          <w:szCs w:val="24"/>
          <w:color w:val="auto"/>
          <w:vertAlign w:val="superscript"/>
        </w:rPr>
      </w:pPr>
      <w:r>
        <w:rPr>
          <w:rFonts w:ascii="Arial" w:cs="Arial" w:eastAsia="Arial" w:hAnsi="Arial"/>
          <w:sz w:val="14"/>
          <w:szCs w:val="14"/>
          <w:color w:val="auto"/>
        </w:rPr>
        <w:t>Consists of (i) 76,421,761 shares beneficially owned by our current executive officers and directors as of May 31, 2020 and (ii) 8,845,719 shares subject to options, exercisable within 60 days of May 31, 2020, of which 7,419,031 are vested as of such date.</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20"/>
          </w:cols>
          <w:pgMar w:left="320" w:top="455" w:right="55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CAPITAL STOCK</w:t>
      </w:r>
    </w:p>
    <w:p>
      <w:pPr>
        <w:spacing w:after="0" w:line="216"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i w:val="1"/>
          <w:iCs w:val="1"/>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immediately prior to the completion of this offering. Copies of these documents will be filed with the SEC as exhibits to our registration statement, of which this prospectus forms a part. The descriptions of the common stock and preferred stock reflect changes to our capital structure that will occur upon the completion of this offering.</w:t>
      </w: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General</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completion of this offering and the filing of our amended and restated certificate of incorporation in connection with this</w:t>
      </w:r>
    </w:p>
    <w:p>
      <w:pPr>
        <w:spacing w:after="0" w:line="18" w:lineRule="exact"/>
        <w:rPr>
          <w:sz w:val="20"/>
          <w:szCs w:val="20"/>
          <w:color w:val="auto"/>
        </w:rPr>
      </w:pPr>
    </w:p>
    <w:p>
      <w:pPr>
        <w:ind w:left="120" w:right="180"/>
        <w:spacing w:after="0" w:line="250" w:lineRule="auto"/>
        <w:rPr>
          <w:sz w:val="20"/>
          <w:szCs w:val="20"/>
          <w:color w:val="auto"/>
        </w:rPr>
      </w:pPr>
      <w:r>
        <w:rPr>
          <w:rFonts w:ascii="Arial" w:cs="Arial" w:eastAsia="Arial" w:hAnsi="Arial"/>
          <w:sz w:val="18"/>
          <w:szCs w:val="18"/>
          <w:color w:val="auto"/>
        </w:rPr>
        <w:t>offering, our authorized capital stock will consist of shares of common stock, par value $0.00001 per share, and shares of preferred stock, par value $0.00001 per share.</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Common Stock</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104"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Based on shares of common stock outstanding as of June 30, 2020, and after giving effect to the conversion of all of our outstanding convertible preferred stock into an aggregate of shares of common stock, which will occur immediately prior to the completion of this offering and the issuance of shares of common stock in this offering, there will be shares of common stock outstanding upon the completion of this offering. As of June 30, 2020, we had stockholders of record.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Our stockholders will not have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left="120" w:right="40" w:firstLine="551"/>
        <w:spacing w:after="0" w:line="276"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04"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80"/>
          </w:cols>
          <w:pgMar w:left="320" w:top="455" w:right="49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04"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04" w:lineRule="exact"/>
        <w:rPr>
          <w:sz w:val="20"/>
          <w:szCs w:val="20"/>
          <w:color w:val="auto"/>
        </w:rPr>
      </w:pPr>
    </w:p>
    <w:p>
      <w:pPr>
        <w:ind w:left="120" w:right="280" w:firstLine="551"/>
        <w:spacing w:after="0" w:line="276"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Preferred Stock</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completion of this offering, our board of directors will have the authority, without further action by the stockholders, to</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issue up to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 Upon completion of this offering, no shares of preferred stock will be outstanding, and we have no present plan to issue any shares of preferred stock.</w:t>
      </w:r>
    </w:p>
    <w:p>
      <w:pPr>
        <w:spacing w:after="0" w:line="200" w:lineRule="exact"/>
        <w:rPr>
          <w:sz w:val="20"/>
          <w:szCs w:val="20"/>
          <w:color w:val="auto"/>
        </w:rPr>
      </w:pPr>
    </w:p>
    <w:p>
      <w:pPr>
        <w:spacing w:after="0" w:line="27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Common Stock Options</w:t>
      </w:r>
    </w:p>
    <w:p>
      <w:pPr>
        <w:spacing w:after="0" w:line="214" w:lineRule="exact"/>
        <w:rPr>
          <w:sz w:val="20"/>
          <w:szCs w:val="20"/>
          <w:color w:val="auto"/>
        </w:rPr>
      </w:pPr>
    </w:p>
    <w:p>
      <w:pPr>
        <w:ind w:left="120" w:right="300" w:firstLine="551"/>
        <w:spacing w:after="0" w:line="249" w:lineRule="auto"/>
        <w:rPr>
          <w:sz w:val="20"/>
          <w:szCs w:val="20"/>
          <w:color w:val="auto"/>
        </w:rPr>
      </w:pPr>
      <w:r>
        <w:rPr>
          <w:rFonts w:ascii="Arial" w:cs="Arial" w:eastAsia="Arial" w:hAnsi="Arial"/>
          <w:sz w:val="18"/>
          <w:szCs w:val="18"/>
          <w:color w:val="auto"/>
        </w:rPr>
        <w:t>As of June 30, 2020, we had outstanding options to purchase an aggregate of shares of our common stock, with a weighted-average exercise price of $ per share, under our 2013 Equity Incentive Plan, or 2013 Plan. After June 30, 2020, we issued options to purchase an aggregate of shares of our common stock, with a weighted-average exercise price of $ per share, under our 2013 Plan.</w:t>
      </w:r>
    </w:p>
    <w:p>
      <w:pPr>
        <w:spacing w:after="0" w:line="200" w:lineRule="exact"/>
        <w:rPr>
          <w:sz w:val="20"/>
          <w:szCs w:val="20"/>
          <w:color w:val="auto"/>
        </w:rPr>
      </w:pP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Warrant</w:t>
      </w:r>
    </w:p>
    <w:p>
      <w:pPr>
        <w:spacing w:after="0" w:line="214" w:lineRule="exact"/>
        <w:rPr>
          <w:sz w:val="20"/>
          <w:szCs w:val="20"/>
          <w:color w:val="auto"/>
        </w:rPr>
      </w:pPr>
    </w:p>
    <w:p>
      <w:pPr>
        <w:jc w:val="both"/>
        <w:ind w:left="120" w:right="80" w:firstLine="551"/>
        <w:spacing w:after="0" w:line="255" w:lineRule="auto"/>
        <w:rPr>
          <w:sz w:val="20"/>
          <w:szCs w:val="20"/>
          <w:color w:val="auto"/>
        </w:rPr>
      </w:pPr>
      <w:r>
        <w:rPr>
          <w:rFonts w:ascii="Arial" w:cs="Arial" w:eastAsia="Arial" w:hAnsi="Arial"/>
          <w:sz w:val="18"/>
          <w:szCs w:val="18"/>
          <w:color w:val="auto"/>
        </w:rPr>
        <w:t>As of June 30, 2020, we had an outstanding warrant to purchase an aggregate of 56,866 shares of our convertible preferred stock at $0.3517 per share. The warrant will be converted into a warrant to purchase an aggregate of 56,866 shares of our common stock, with an exercise price of $0.3517 per share, upon the completion of this offering.</w:t>
      </w: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Registration Rights</w:t>
      </w:r>
    </w:p>
    <w:p>
      <w:pPr>
        <w:spacing w:after="0" w:line="214" w:lineRule="exact"/>
        <w:rPr>
          <w:sz w:val="20"/>
          <w:szCs w:val="20"/>
          <w:color w:val="auto"/>
        </w:rPr>
      </w:pPr>
    </w:p>
    <w:p>
      <w:pPr>
        <w:jc w:val="both"/>
        <w:ind w:left="120" w:right="260" w:firstLine="551"/>
        <w:spacing w:after="0" w:line="255" w:lineRule="auto"/>
        <w:rPr>
          <w:sz w:val="20"/>
          <w:szCs w:val="20"/>
          <w:color w:val="auto"/>
        </w:rPr>
      </w:pPr>
      <w:r>
        <w:rPr>
          <w:rFonts w:ascii="Arial" w:cs="Arial" w:eastAsia="Arial" w:hAnsi="Arial"/>
          <w:sz w:val="18"/>
          <w:szCs w:val="18"/>
          <w:color w:val="auto"/>
        </w:rPr>
        <w:t>After the completion of this offering, under our amended and restated investors’ rights agreement, holders of up to 120,450,016 shares of common stock or their transferees, have the right to require us to register the offer and sale of their shares, or to include their shares in any registration statement we file, in each case as described below.</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80"/>
          </w:cols>
          <w:pgMar w:left="320" w:top="455" w:right="49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After the completion of this offering, holders of up to 120,450,016 shares of our common stock will be entitled to certain demand registration rights. At any time beginning after 180 days following the completion of this offering, or the subsequent date on which all market stand-off agreements applicable to this offering have terminated, the holders of at least 30% of the shares having registration rights then outstanding can request that we file a registration statement to register the offer and sale of their shares. We are only obligated to effect up to two such registrations. Each such request for registration must cover securities the anticipated aggregate gross proceeds of which, after deducting underwriting discounts and expenses, is at least $5 million. These demand registration rights are subject to specified conditions and limitations, including the right of the underwriters to limit the number of shares included in any such registration under certain circumstances. If we determine that it would be materially detrimental to us and our stockholders to effect such a demand registration, we have the right to defer such registration, not more than twice in any twelve-month period, for a period of up to 90 days.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04"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After the completion of this offering, holders of up to 120,450,016 shares of our common stock will be entitled to certain Form S-3 registration rights. At any time when we are eligible to file a registration statement on Form S-3, the holders of the shares having these rights then outstanding can request that we register the offer and sale of their shares of our common stock on a registration statement on Form S-3 so long as the request covers securities the anticipated aggregate public offering price of which is at least $5 million. These stockholders may make an unlimited number of requests for registration on a registration statement on Form S-3. However, we will not be required to effect a registration on Form S-3 if we have effected two such registrations within the twelve-month period preceding the date of the request. These Form S-3 registration rights are subject to specified conditions and limitations, including the right of the underwriters to limit the number of shares included in any such registration under certain circumstances. Additionally, if we determine that it would be seriously detrimental to us and our stockholders to effect such a demand registration, we have the right to defer such registration, not more than twice in any twelve-month period, for a period of up to 90 days.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0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After the completion of this offering, holders of up to 120,393,150 shares of our common stock will be entitled to certain “piggyback” registration rights. If we propose to register the offer and sale of shares of our common stock under the Securities Act of 1933, as amended, or Securities Act, all holders of these shares then outstanding can request that we include their shares in such registration, subject to certain marketing and other limitations, including the right of the underwriters to limit the number of shares included in any such registration statement under certain circumstances. As a result, whenever we propose to file a registration statement under the Securities Act, other than with respect to (i) a registration related to any employee benefit plan, (ii) a registration relating to the offer and sale of debt securities, (iii) a registration relating to a corporate reorganization or other transaction covered by Rule 145 promulgated under the Securities Act, (iv) a registration on any registration form that does not permit secondary sales or (v) a registration pursuant to the demand or Form S-3 registration rights described in the preceding two paragraphs above, the holders of these shares are entitled to notice of the registration and have the right, subject to certain limitations, to include their shares in the registration.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04" w:lineRule="exact"/>
        <w:rPr>
          <w:sz w:val="20"/>
          <w:szCs w:val="20"/>
          <w:color w:val="auto"/>
        </w:rPr>
      </w:pPr>
    </w:p>
    <w:p>
      <w:pPr>
        <w:ind w:left="120" w:right="600" w:firstLine="551"/>
        <w:spacing w:after="0" w:line="276" w:lineRule="auto"/>
        <w:rPr>
          <w:sz w:val="20"/>
          <w:szCs w:val="20"/>
          <w:color w:val="auto"/>
        </w:rPr>
      </w:pPr>
      <w:r>
        <w:rPr>
          <w:rFonts w:ascii="Arial" w:cs="Arial" w:eastAsia="Arial" w:hAnsi="Arial"/>
          <w:sz w:val="18"/>
          <w:szCs w:val="18"/>
          <w:color w:val="auto"/>
        </w:rPr>
        <w:t>We will pay all expenses relating to any demand registrations, Form S-3 registrations and piggyback registrations, subject to specified limitations.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registration rights terminate upon the earliest of (i) the date that is five years after the completion of this offering,</w:t>
      </w:r>
    </w:p>
    <w:p>
      <w:pPr>
        <w:spacing w:after="0" w:line="18" w:lineRule="exact"/>
        <w:rPr>
          <w:sz w:val="20"/>
          <w:szCs w:val="20"/>
          <w:color w:val="auto"/>
        </w:rPr>
      </w:pPr>
    </w:p>
    <w:p>
      <w:pPr>
        <w:ind w:left="120" w:right="320" w:hanging="4"/>
        <w:spacing w:after="0" w:line="242" w:lineRule="auto"/>
        <w:tabs>
          <w:tab w:leader="none" w:pos="37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immediately prior to the completion of certain liquidation events and (iii) as to a given holder of registration rights, the date after the completion of this offering when such holder of registration rights can sell all of such holder’s registrable securities during any 90-day period pursuant to Rule 144 promulgated under the Securities Act.</w:t>
      </w:r>
    </w:p>
    <w:p>
      <w:pPr>
        <w:spacing w:after="0" w:line="281" w:lineRule="exact"/>
        <w:rPr>
          <w:sz w:val="20"/>
          <w:szCs w:val="20"/>
          <w:color w:val="auto"/>
        </w:rPr>
      </w:pPr>
    </w:p>
    <w:p>
      <w:pPr>
        <w:jc w:val="center"/>
        <w:ind w:left="500" w:right="80"/>
        <w:spacing w:after="0" w:line="287"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128"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Certain provisions of Delaware law and certain provisions that will be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amended and restated certificate of incorporation will contain provisions that permit our board of directors to issue, without any</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0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Our amended and restated certificate of incorporation will provide that our board of directors is divided into three classes, designated Class I, Class II and Class III. Each class will be an equal number of directors, as nearly as possible, consisting of one third of the total number of directors constituting the entire board of directors. The term of the initial Class I directors shall terminate on the date of the 2021 annual meeting of stockholders, the term of the initial Class II directors shall terminate on the date of the 2022 annual meeting of stockholders, and the term of the initial Class III directors shall terminate on the date of the 2023 annual meeting of stockholders. At each annual meeting of stockholders beginning in 2021, successors to the class of directors whose term expires at that annual meeting will be elected for a three-year term.</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04"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Our amended and restated certificate of incorporation will provide that stockholders may only remove a director for cause by a vote of no less than a majority of the shares present in person or by proxy at a meeting of stockholders and entitled to vote.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amended and restated certificate of incorporation will authorize only our board of directors to fill vacant directorships.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04" w:lineRule="exact"/>
        <w:rPr>
          <w:sz w:val="20"/>
          <w:szCs w:val="20"/>
          <w:color w:val="auto"/>
        </w:rPr>
      </w:pPr>
    </w:p>
    <w:p>
      <w:pPr>
        <w:ind w:left="120" w:right="140" w:firstLine="551"/>
        <w:spacing w:after="0" w:line="276" w:lineRule="auto"/>
        <w:rPr>
          <w:sz w:val="20"/>
          <w:szCs w:val="20"/>
          <w:color w:val="auto"/>
        </w:rPr>
      </w:pPr>
      <w:r>
        <w:rPr>
          <w:rFonts w:ascii="Arial" w:cs="Arial" w:eastAsia="Arial" w:hAnsi="Arial"/>
          <w:sz w:val="18"/>
          <w:szCs w:val="18"/>
          <w:color w:val="auto"/>
        </w:rPr>
        <w:t>Our amended and restated certificate of incorporation will provide that stockholders do not have the right to cumulate votes in the election of directors.</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60"/>
          </w:cols>
          <w:pgMar w:left="320" w:top="455" w:right="51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04"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except as otherwise required by law, special meetings of the stockholders may be called only by the chairperson of our board of directors, our Chief Executive Officer, our President or our board of directors acting pursuant to a resolution adopted by a majority of our board of directors.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10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bylaws will provide that stockholders seeking to nominate candidates for election as directors at an annual or special meeting of stockholders or seeking to propose matters that can be acted upon by stockholders at annual stockholder meetings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will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04" w:lineRule="exact"/>
        <w:rPr>
          <w:sz w:val="20"/>
          <w:szCs w:val="20"/>
          <w:color w:val="auto"/>
        </w:rPr>
      </w:pPr>
    </w:p>
    <w:p>
      <w:pPr>
        <w:ind w:left="120" w:right="60" w:firstLine="551"/>
        <w:spacing w:after="0" w:line="306" w:lineRule="auto"/>
        <w:rPr>
          <w:sz w:val="20"/>
          <w:szCs w:val="20"/>
          <w:color w:val="auto"/>
        </w:rPr>
      </w:pPr>
      <w:r>
        <w:rPr>
          <w:rFonts w:ascii="Arial" w:cs="Arial" w:eastAsia="Arial" w:hAnsi="Arial"/>
          <w:sz w:val="17"/>
          <w:szCs w:val="17"/>
          <w:color w:val="auto"/>
        </w:rPr>
        <w:t>Our amended and restated certificate of incorporation and amended and restated bylaws will provide that any action to be taken by the stockholders must be effected at a duly called annual or special meeting of stockholders and may not be effected by written consent.</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10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amended and restated certificate of incorporation may be amended or altered in any manner provided by the General Corporation Law of the State of Delaware, or DGCL, except that amendment of certain provisions would require the approval of two-thirds of our then outstanding common stock. Our amended and restated bylaws may be adopted, amended, altered or repealed by stockholders only upon approval of at least two-thirds of the voting power of all the then outstanding shares of the common stock. Additionally, our amended and restated certificate of incorporation will provide that our bylaws may be amended, altered or repealed by the board of directors.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0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Our authorized but unissued shares of common stock and preferred stock will be available for future issuances without stockholder approval, except as required by the listing standards of the Nasdaq Stock Market LLC,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Jurisdiction</w:t>
      </w:r>
    </w:p>
    <w:p>
      <w:pPr>
        <w:spacing w:after="0" w:line="104" w:lineRule="exact"/>
        <w:rPr>
          <w:sz w:val="20"/>
          <w:szCs w:val="20"/>
          <w:color w:val="auto"/>
        </w:rPr>
      </w:pPr>
    </w:p>
    <w:p>
      <w:pPr>
        <w:ind w:left="120" w:right="700" w:firstLine="551"/>
        <w:spacing w:after="0" w:line="276" w:lineRule="auto"/>
        <w:rPr>
          <w:sz w:val="20"/>
          <w:szCs w:val="20"/>
          <w:color w:val="auto"/>
        </w:rPr>
      </w:pPr>
      <w:r>
        <w:rPr>
          <w:rFonts w:ascii="Arial" w:cs="Arial" w:eastAsia="Arial" w:hAnsi="Arial"/>
          <w:sz w:val="18"/>
          <w:szCs w:val="18"/>
          <w:color w:val="auto"/>
        </w:rPr>
        <w:t>Our amended and restated bylaws will provide that, unless we consent to the selection of an alternative forum, the Court of Chancery of the State of Delaware shall be the sole and exclusive forum</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Our amended and restated bylaws further provide that the federal district courts of the United States of America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We note that investors cannot waive compliance with the federal securities laws and the rules and regulations thereunder. Please also see the section titled “Risk Factors—Our amended and restated bylaws that will become effective upon the closing of this offering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are governed by Section 203 of the DGCL,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on Liability and Indemnification</w:t>
      </w:r>
    </w:p>
    <w:p>
      <w:pPr>
        <w:spacing w:after="0" w:line="104"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Our amended and restated certificate of incorporation and our amended and restated bylaws will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70"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The limitation on liability and indemnification provisions in our amended and restated certificate of incorporation and amended and restated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76" w:lineRule="auto"/>
        <w:rPr>
          <w:sz w:val="20"/>
          <w:szCs w:val="20"/>
          <w:color w:val="auto"/>
        </w:rPr>
      </w:pPr>
      <w:r>
        <w:rPr>
          <w:rFonts w:ascii="Arial" w:cs="Arial" w:eastAsia="Arial" w:hAnsi="Arial"/>
          <w:sz w:val="18"/>
          <w:szCs w:val="18"/>
          <w:color w:val="auto"/>
        </w:rPr>
        <w:t>directors and officers pursuant to these indemnification provisions. See the section titled “Executive Compensation—Limitation of Liability and Indemnification” for additional information.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Listing</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apply to list our common stock on the Nasdaq Global Market under the symbol “PMVP.”</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04" w:lineRule="exact"/>
        <w:rPr>
          <w:sz w:val="20"/>
          <w:szCs w:val="20"/>
          <w:color w:val="auto"/>
        </w:rPr>
      </w:pPr>
    </w:p>
    <w:p>
      <w:pPr>
        <w:ind w:left="660"/>
        <w:spacing w:after="0"/>
        <w:tabs>
          <w:tab w:leader="none" w:pos="5840" w:val="left"/>
          <w:tab w:leader="none" w:pos="10120" w:val="left"/>
        </w:tabs>
        <w:rPr>
          <w:sz w:val="20"/>
          <w:szCs w:val="20"/>
          <w:color w:val="auto"/>
        </w:rPr>
      </w:pPr>
      <w:r>
        <w:rPr>
          <w:rFonts w:ascii="Arial" w:cs="Arial" w:eastAsia="Arial" w:hAnsi="Arial"/>
          <w:sz w:val="18"/>
          <w:szCs w:val="18"/>
          <w:color w:val="auto"/>
        </w:rPr>
        <w:t>The transfer agent and registrar for our common stock is</w:t>
      </w:r>
      <w:r>
        <w:rPr>
          <w:sz w:val="20"/>
          <w:szCs w:val="20"/>
          <w:color w:val="auto"/>
        </w:rPr>
        <w:tab/>
      </w:r>
      <w:r>
        <w:rPr>
          <w:rFonts w:ascii="Arial" w:cs="Arial" w:eastAsia="Arial" w:hAnsi="Arial"/>
          <w:sz w:val="18"/>
          <w:szCs w:val="18"/>
          <w:color w:val="auto"/>
        </w:rPr>
        <w:t>. The transfer agent and registrar’s address is</w:t>
      </w:r>
      <w:r>
        <w:rPr>
          <w:sz w:val="20"/>
          <w:szCs w:val="20"/>
          <w:color w:val="auto"/>
        </w:rPr>
        <w:tab/>
      </w:r>
      <w:r>
        <w:rPr>
          <w:rFonts w:ascii="Arial" w:cs="Arial" w:eastAsia="Arial" w:hAnsi="Arial"/>
          <w:sz w:val="18"/>
          <w:szCs w:val="18"/>
          <w:color w:val="auto"/>
        </w:rPr>
        <w:t>.</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00"/>
          </w:cols>
          <w:pgMar w:left="320" w:top="455" w:right="57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SHARES ELIGIBLE FOR FUTURE SALE</w:t>
      </w:r>
    </w:p>
    <w:p>
      <w:pPr>
        <w:spacing w:after="0" w:line="21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Prior to this offering, there has been no public market for our common stock, and although we expect that our common stock will be approved for listing on the Nasdaq Global Market, we cannot assure investors that there will be an active public market for our common stock following this offering. We cannot predict what effect, if any, sales of our shares in the public market or the availability of shares for sale will have on the market price of our common stock. Future sales of substantial amounts of common stock in the public market, including shares issued upon exercise of outstanding options, or the perception that such sales may occur, however, could adversely affect the market price of our common stock and also could adversely affect our future ability to raise capital through the sale of our common stock or other equity-related securities of ours at times and prices we believe appropriate.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completion of this offering, based on our shares of common stock outstanding as of June 30, 2020 and after giving effect to</w:t>
      </w:r>
    </w:p>
    <w:p>
      <w:pPr>
        <w:spacing w:after="0" w:line="18" w:lineRule="exact"/>
        <w:rPr>
          <w:sz w:val="20"/>
          <w:szCs w:val="20"/>
          <w:color w:val="auto"/>
        </w:rPr>
      </w:pPr>
    </w:p>
    <w:p>
      <w:pPr>
        <w:ind w:left="120" w:right="440"/>
        <w:spacing w:after="0" w:line="234" w:lineRule="auto"/>
        <w:rPr>
          <w:sz w:val="20"/>
          <w:szCs w:val="20"/>
          <w:color w:val="auto"/>
        </w:rPr>
      </w:pPr>
      <w:r>
        <w:rPr>
          <w:rFonts w:ascii="Arial" w:cs="Arial" w:eastAsia="Arial" w:hAnsi="Arial"/>
          <w:sz w:val="18"/>
          <w:szCs w:val="18"/>
          <w:color w:val="auto"/>
        </w:rPr>
        <w:t>the conversion of all of the 120,393,150 shares of our convertible preferred stock outstanding at June 30, 2020, shares of our common stock will be outstanding, or shares of common stock if the underwriters exercise their option to purchase additional</w:t>
      </w:r>
    </w:p>
    <w:p>
      <w:pPr>
        <w:spacing w:after="0" w:line="1"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shares in full. All of the shares of common stock expected to be sold in this offering will be freely tradable without restriction or further registration under the Securities Act of 1933, as amended, or Securities Act, unless held by our “affiliates,” as that term is defined in 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77"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As a result of the lock-up agreements and market stand-off provisions described below and the provisions of Rules 144 or 701 and assuming no exercise of the underwriters’ option to purchase additional shares, the shares of our common stock that will be deemed “restricted securities” will be available for sale in the public market following the completion of this offering as follows:</w:t>
      </w:r>
    </w:p>
    <w:p>
      <w:pPr>
        <w:spacing w:after="0" w:line="69" w:lineRule="exact"/>
        <w:rPr>
          <w:sz w:val="20"/>
          <w:szCs w:val="20"/>
          <w:color w:val="auto"/>
        </w:rPr>
      </w:pPr>
    </w:p>
    <w:p>
      <w:pPr>
        <w:ind w:left="1480" w:hanging="824"/>
        <w:spacing w:after="0"/>
        <w:tabs>
          <w:tab w:leader="none" w:pos="1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shares will be eligible for sale on the date of this prospectus; and</w:t>
      </w:r>
    </w:p>
    <w:p>
      <w:pPr>
        <w:spacing w:after="0" w:line="117" w:lineRule="exact"/>
        <w:rPr>
          <w:rFonts w:ascii="Arial" w:cs="Arial" w:eastAsia="Arial" w:hAnsi="Arial"/>
          <w:sz w:val="18"/>
          <w:szCs w:val="18"/>
          <w:color w:val="auto"/>
        </w:rPr>
      </w:pPr>
    </w:p>
    <w:p>
      <w:pPr>
        <w:ind w:left="880" w:right="500" w:hanging="224"/>
        <w:spacing w:after="0" w:line="276" w:lineRule="auto"/>
        <w:tabs>
          <w:tab w:leader="none" w:pos="1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shares will be eligible for sale upon expiration of the lock-up agreements and market stand-off provisions described below, beginning more than 180 days after the date of this prospectus.</w:t>
      </w:r>
    </w:p>
    <w:p>
      <w:pPr>
        <w:spacing w:after="0" w:line="145"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Lock-Up Agreements and Market Stand-off Agreements</w:t>
      </w:r>
    </w:p>
    <w:p>
      <w:pPr>
        <w:spacing w:after="0" w:line="21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Our officers, directors and the holders of substantially all of our capital stock and options have entered into market stand-off agreements with us and have entered into or will enter into lock-up agreements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consent of Goldman Sachs &amp; Co LLC, BofA Securities, Inc., Cowen and Company, LLC and Evercore Group L.L.C. See the section titled “Underwriting” for additional information.</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00"/>
          </w:cols>
          <w:pgMar w:left="320" w:top="455" w:right="47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144</w:t>
      </w:r>
    </w:p>
    <w:p>
      <w:pPr>
        <w:spacing w:after="0" w:line="214" w:lineRule="exact"/>
        <w:rPr>
          <w:sz w:val="20"/>
          <w:szCs w:val="20"/>
          <w:color w:val="auto"/>
        </w:rPr>
      </w:pPr>
    </w:p>
    <w:p>
      <w:pPr>
        <w:ind w:left="120" w:right="140" w:firstLine="551"/>
        <w:spacing w:after="0" w:line="241" w:lineRule="auto"/>
        <w:rPr>
          <w:sz w:val="20"/>
          <w:szCs w:val="20"/>
          <w:color w:val="auto"/>
        </w:rPr>
      </w:pPr>
      <w:r>
        <w:rPr>
          <w:rFonts w:ascii="Arial" w:cs="Arial" w:eastAsia="Arial" w:hAnsi="Arial"/>
          <w:sz w:val="18"/>
          <w:szCs w:val="18"/>
          <w:color w:val="auto"/>
        </w:rPr>
        <w:t>Rule 144, as currently in effect, generally provides that, once we have been subject to the public company reporting requirements of Section 13 or Section 15(d) of the Securities Exchange Act of 1934, or Exchange Act, for at least 90 days, a stockholder who is not deemed to have been one of our affiliates at any time during the preceding three months and who has beneficially owned the shares of our capital stock proposed to be sold for at least six months is entitled to sell such shares in reliance upon Rule 144 without complying with the volume limitation, manner of sale or notice conditions of Rule 144. If such stockholder has beneficially owned the shares of our capital stock proposed to be sold for at least one year, then such person is entitled to sell such shares in reliance upon Rule 144 without complying with any of the conditions of Rule 144.</w:t>
      </w:r>
    </w:p>
    <w:p>
      <w:pPr>
        <w:spacing w:after="0" w:line="179"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Rule 144 also provides that a stockholder who is deemed to have been one of our affiliates at any time during the preceding 90 days and who has beneficially owned the shares of our common stock proposed to be sold for at least six months is entitled to sell such shares in reliance upon Rule 144 within any three-month period beginning 90 days after the date of this prospectus a number of shares that does not exceed the greater of the following:</w:t>
      </w:r>
    </w:p>
    <w:p>
      <w:pPr>
        <w:spacing w:after="0" w:line="76" w:lineRule="exact"/>
        <w:rPr>
          <w:sz w:val="20"/>
          <w:szCs w:val="20"/>
          <w:color w:val="auto"/>
        </w:rPr>
      </w:pPr>
    </w:p>
    <w:p>
      <w:pPr>
        <w:ind w:left="880" w:hanging="224"/>
        <w:spacing w:after="0" w:line="276" w:lineRule="auto"/>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 of the number of shares of our capital stock then outstanding, which will equal shares of common stock immediately after the completion of this offering, assuming no exercise by the underwriters of their option to purchase additional shares; or</w:t>
      </w:r>
    </w:p>
    <w:p>
      <w:pPr>
        <w:spacing w:after="0" w:line="50"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such sale.</w:t>
      </w:r>
    </w:p>
    <w:p>
      <w:pPr>
        <w:spacing w:after="0" w:line="145" w:lineRule="exact"/>
        <w:rPr>
          <w:sz w:val="20"/>
          <w:szCs w:val="20"/>
          <w:color w:val="auto"/>
        </w:rPr>
      </w:pPr>
    </w:p>
    <w:p>
      <w:pPr>
        <w:ind w:left="120" w:firstLine="551"/>
        <w:spacing w:after="0" w:line="306" w:lineRule="auto"/>
        <w:rPr>
          <w:sz w:val="20"/>
          <w:szCs w:val="20"/>
          <w:color w:val="auto"/>
        </w:rPr>
      </w:pPr>
      <w:r>
        <w:rPr>
          <w:rFonts w:ascii="Arial" w:cs="Arial" w:eastAsia="Arial" w:hAnsi="Arial"/>
          <w:sz w:val="17"/>
          <w:szCs w:val="17"/>
          <w:color w:val="auto"/>
        </w:rPr>
        <w:t>Sales of our capital stock made in reliance upon Rule 144 by a stockholder who is deemed to have been one of our affiliates at any time during the preceding 90 days are also subject to the current public information, manner of sale and notice conditions of Rule 144.</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701</w:t>
      </w:r>
    </w:p>
    <w:p>
      <w:pPr>
        <w:spacing w:after="0" w:line="21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Rule 701 generally provides that, once we have been subject to the public company reporting requirements of Section 13 or Section 15(d) of the Exchange Act for at least 90 days, a stockholder who purchased shares of our common stock pursuant to a written compensatory benefit plan or contract and who is not deemed to have been one of our affiliates at any time during the preceding three months may sell such shares (to the extent such shares are not subject to a lock-up agreement)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 (subject to the lock-up agreement referred to above, if applicable). However, all stockholders who purchased shares of our common stock pursuant to a written compensatory benefit plan or contract are required to wait until 90 days after the date of this prospectus before selling such shares pursuant to Rule 701 (subject to the lock-up agreements and market stand-off agreements referred to above, if applicable).</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S-8 Registration Statement</w:t>
      </w:r>
    </w:p>
    <w:p>
      <w:pPr>
        <w:spacing w:after="0" w:line="214" w:lineRule="exact"/>
        <w:rPr>
          <w:sz w:val="20"/>
          <w:szCs w:val="20"/>
          <w:color w:val="auto"/>
        </w:rPr>
      </w:pPr>
    </w:p>
    <w:p>
      <w:pPr>
        <w:jc w:val="both"/>
        <w:ind w:left="120" w:right="60" w:firstLine="551"/>
        <w:spacing w:after="0" w:line="255" w:lineRule="auto"/>
        <w:rPr>
          <w:sz w:val="20"/>
          <w:szCs w:val="20"/>
          <w:color w:val="auto"/>
        </w:rPr>
      </w:pPr>
      <w:r>
        <w:rPr>
          <w:rFonts w:ascii="Arial" w:cs="Arial" w:eastAsia="Arial" w:hAnsi="Arial"/>
          <w:sz w:val="18"/>
          <w:szCs w:val="18"/>
          <w:color w:val="auto"/>
        </w:rPr>
        <w:t>After the completion of this offering, we intend to file a registration statement on Form S-8 under the Securities Act to register all of the shares of our common stock subject to equity awards outstanding or reserved for issuance under our equity compensation plans. The shares of our common stock covered by such registration statement will be eligible for sale in the public market without</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80"/>
          </w:cols>
          <w:pgMar w:left="320" w:top="455" w:right="49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40"/>
        <w:spacing w:after="0" w:line="255" w:lineRule="auto"/>
        <w:rPr>
          <w:sz w:val="20"/>
          <w:szCs w:val="20"/>
          <w:color w:val="auto"/>
        </w:rPr>
      </w:pPr>
      <w:r>
        <w:rPr>
          <w:rFonts w:ascii="Arial" w:cs="Arial" w:eastAsia="Arial" w:hAnsi="Arial"/>
          <w:sz w:val="18"/>
          <w:szCs w:val="18"/>
          <w:color w:val="auto"/>
        </w:rPr>
        <w:t>restriction under the Securities Act immediately upon the effectiveness of such registration statement, subject to vesting restrictions, the conditions of Rule 144 applicable to affiliates, and any applicable market stand-off agreements and lock-up agreements. See the section titled “Executive Compensation—Employee Benefit and Stock Plans” for a description of our equity compensation plans.</w:t>
      </w:r>
    </w:p>
    <w:p>
      <w:pPr>
        <w:spacing w:after="0" w:line="27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Registration Rights</w:t>
      </w:r>
    </w:p>
    <w:p>
      <w:pPr>
        <w:spacing w:after="0" w:line="21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After the completion of this offering, holders of up to 120,450,016 shares of our common stock will be entitled to certain rights with respect to the registration of such shares under the Securities Act. The registration of these shares of our common stock under the Securities Act would result in these shares becoming eligible for sale in the public market without restriction under the Securities Act immediately upon the effectiveness of such registration, subject to the Rule 144 limitations applicable to affiliates. See the section titled “Description of Capital Stock—Registration Rights” for a description of these registration rights.</w:t>
      </w:r>
    </w:p>
    <w:p>
      <w:pPr>
        <w:spacing w:after="0" w:line="1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0980"/>
          </w:cols>
          <w:pgMar w:left="320" w:top="455" w:right="59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MATERIAL U.S. FEDERAL INCOME TAX CONSEQUENCES FOR NON-U.S. HOLDERS OF OUR COMMON STOCK</w:t>
      </w:r>
    </w:p>
    <w:p>
      <w:pPr>
        <w:spacing w:after="0" w:line="21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following is a summary of the material U.S. federal income tax consequences of the ownership and disposition of our common stock acquired in this offering by a “non-U.S. holder” (as defined below), but does not purport to be a complete analysis of all the potential tax considerations relating thereto. This summary is based upon the provisions of the U.S. Internal Revenue Code of 1986, as amended, or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or IRS, with respect to the statements made and the conclusions reached in the following summary, and there can be no assurance that the IRS or a court will agree with such statements and conclusions.</w:t>
      </w:r>
    </w:p>
    <w:p>
      <w:pPr>
        <w:spacing w:after="0" w:line="180"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This summary assumes that the non-U.S. holder holds our common stock as a capital asset within the meaning of Section 1221 of the Code (generally, property held for investment). This summary also does not address the tax considerations arising under the laws of any U.S. state or local or non-U.S. jurisdiction or under other U.S. federal tax laws, such as gift and estate tax laws. In addition, this discussion does not address tax considerations applicable to an investor’s particular circumstances or to investors that may be subject to special tax rules, including, without limitation:</w:t>
      </w:r>
    </w:p>
    <w:p>
      <w:pPr>
        <w:spacing w:after="0" w:line="78" w:lineRule="exact"/>
        <w:rPr>
          <w:sz w:val="20"/>
          <w:szCs w:val="20"/>
          <w:color w:val="auto"/>
        </w:rPr>
      </w:pPr>
    </w:p>
    <w:p>
      <w:pPr>
        <w:ind w:left="880" w:hanging="224"/>
        <w:spacing w:after="0" w:line="276"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 (except to the extent specifically set forth below), regulated investment companies, real estate investment trusts or other financial institutions;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the surtax on net investment income;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pension plans and tax-qualified retirement plans;</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50" w:lineRule="exact"/>
        <w:rPr>
          <w:rFonts w:ascii="Arial" w:cs="Arial" w:eastAsia="Arial" w:hAnsi="Arial"/>
          <w:sz w:val="18"/>
          <w:szCs w:val="18"/>
          <w:color w:val="auto"/>
        </w:rPr>
      </w:pPr>
    </w:p>
    <w:p>
      <w:pPr>
        <w:ind w:left="880" w:right="520" w:hanging="224"/>
        <w:spacing w:after="0" w:line="276"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traders in securities or other persons that elect to use a mark-to-market method of accounting for their securities holdings;</w:t>
      </w:r>
    </w:p>
    <w:p>
      <w:pPr>
        <w:spacing w:after="0" w:line="117"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capital stock (except to the extent specifically set forth below);</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U.S. expatriates or certain former citizens or long-term residents of the United States;</w:t>
      </w:r>
    </w:p>
    <w:p>
      <w:pPr>
        <w:spacing w:after="0" w:line="117"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 or integrated investment;</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option or otherwise as compensation;</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an “applicable financial statement” as defined in Section 451(b) of the Code; or</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080"/>
          </w:cols>
          <w:pgMar w:left="320" w:top="455" w:right="49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In addition, if a partnership, entity or arrangement classified as a partnership or flow-through entity for U.S. federal income tax purposes holds our common stock, the tax treatment of a partner generally will depend on the status of the partner and upon the activities of the partnership or other entity. A partner in a partnership or other such entity that will hold our common stock should consult his, her or its tax advisor regarding the tax consequences of the ownership and disposition of our common stock through a partnership or other such entity, as applicable.</w:t>
      </w:r>
    </w:p>
    <w:p>
      <w:pPr>
        <w:spacing w:after="0" w:line="172" w:lineRule="exact"/>
        <w:rPr>
          <w:sz w:val="20"/>
          <w:szCs w:val="20"/>
          <w:color w:val="auto"/>
        </w:rPr>
      </w:pPr>
    </w:p>
    <w:p>
      <w:pPr>
        <w:ind w:left="120" w:right="120" w:firstLine="551"/>
        <w:spacing w:after="0" w:line="251" w:lineRule="auto"/>
        <w:rPr>
          <w:sz w:val="20"/>
          <w:szCs w:val="20"/>
          <w:color w:val="auto"/>
        </w:rPr>
      </w:pPr>
      <w:r>
        <w:rPr>
          <w:rFonts w:ascii="Arial" w:cs="Arial" w:eastAsia="Arial" w:hAnsi="Arial"/>
          <w:sz w:val="18"/>
          <w:szCs w:val="18"/>
          <w:b w:val="1"/>
          <w:bCs w:val="1"/>
          <w:i w:val="1"/>
          <w:i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local, non-U.S. or other taxing jurisdiction or under any applicable tax treaty.</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Non-U.S. Holder Defined</w:t>
      </w:r>
    </w:p>
    <w:p>
      <w:pPr>
        <w:spacing w:after="0" w:line="214" w:lineRule="exact"/>
        <w:rPr>
          <w:sz w:val="20"/>
          <w:szCs w:val="20"/>
          <w:color w:val="auto"/>
        </w:rPr>
      </w:pPr>
    </w:p>
    <w:p>
      <w:pPr>
        <w:ind w:left="120" w:right="300" w:firstLine="551"/>
        <w:spacing w:after="0" w:line="276" w:lineRule="auto"/>
        <w:rPr>
          <w:sz w:val="20"/>
          <w:szCs w:val="20"/>
          <w:color w:val="auto"/>
        </w:rPr>
      </w:pPr>
      <w:r>
        <w:rPr>
          <w:rFonts w:ascii="Arial" w:cs="Arial" w:eastAsia="Arial" w:hAnsi="Arial"/>
          <w:sz w:val="18"/>
          <w:szCs w:val="18"/>
          <w:color w:val="auto"/>
        </w:rPr>
        <w:t>For purposes of this discussion, a “non-U.S. holder” is a beneficial owner of our common stock that, for U.S. federal income tax purposes, is not a partnership and is not:</w:t>
      </w:r>
    </w:p>
    <w:p>
      <w:pPr>
        <w:spacing w:after="0" w:line="50" w:lineRule="exact"/>
        <w:rPr>
          <w:sz w:val="20"/>
          <w:szCs w:val="20"/>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880" w:right="200" w:hanging="224"/>
        <w:spacing w:after="0" w:line="276" w:lineRule="auto"/>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17" w:lineRule="exact"/>
        <w:rPr>
          <w:rFonts w:ascii="Arial" w:cs="Arial" w:eastAsia="Arial" w:hAnsi="Arial"/>
          <w:sz w:val="18"/>
          <w:szCs w:val="18"/>
          <w:color w:val="auto"/>
        </w:rPr>
      </w:pPr>
    </w:p>
    <w:p>
      <w:pPr>
        <w:jc w:val="both"/>
        <w:ind w:left="880" w:right="40" w:hanging="224"/>
        <w:spacing w:after="0" w:line="255" w:lineRule="auto"/>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Distributions</w:t>
      </w:r>
    </w:p>
    <w:p>
      <w:pPr>
        <w:spacing w:after="0" w:line="214" w:lineRule="exact"/>
        <w:rPr>
          <w:sz w:val="20"/>
          <w:szCs w:val="20"/>
          <w:color w:val="auto"/>
        </w:rPr>
      </w:pPr>
    </w:p>
    <w:p>
      <w:pPr>
        <w:ind w:left="120" w:right="160" w:firstLine="551"/>
        <w:spacing w:after="0" w:line="241" w:lineRule="auto"/>
        <w:rPr>
          <w:sz w:val="20"/>
          <w:szCs w:val="20"/>
          <w:color w:val="auto"/>
        </w:rPr>
      </w:pPr>
      <w:r>
        <w:rPr>
          <w:rFonts w:ascii="Arial" w:cs="Arial" w:eastAsia="Arial" w:hAnsi="Arial"/>
          <w:sz w:val="18"/>
          <w:szCs w:val="18"/>
          <w:color w:val="auto"/>
        </w:rPr>
        <w:t>As described in the section titled “Dividend Policy,” we have not declared or paid cash dividends on our capital stock since our inception, and we do not anticipate paying any cash dividends in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as described below under “—Gain on Disposition of Common Stock.”</w:t>
      </w:r>
    </w:p>
    <w:p>
      <w:pPr>
        <w:spacing w:after="0" w:line="17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Subject to the discussions below on effectively connected income, backup withholding and the Foreign Account Tax Compliance Act, Treasury Regulations issued thereunder and official IRS guidance, collectively FATCA,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an IRS Form W-8BEN or W-8BEN-E or other appropriate version of IRS Form W-8, including any required attachments, certifying qualification for the reduced rate. A non-U.S. holder of shares of our common stock eligible for a reduced rate of U.S. federal withholding tax pursuant to an income tax treaty may obtain a refund of any excess amounts withheld by filing an appropriate claim for refund with the IRS. If the non-U.S. holder holds our common stock through a financial institution or other agent, the non-U.S. holder will</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060"/>
          </w:cols>
          <w:pgMar w:left="320" w:top="455" w:right="51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be required to provide appropriate documentation to the agent, which then will be required to provide certification to us or our paying agent, either directly or through other intermediaries. You should consult your tax advisors regarding your entitlement to benefits under an applicable tax treaty.</w:t>
      </w:r>
    </w:p>
    <w:p>
      <w:pPr>
        <w:spacing w:after="0" w:line="16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Dividends received by you that are treated as effectively connected with your conduct of a U.S. trade or business (and, if required by an applicable income tax treaty, such dividends are attributable to a permanent establishment or fixed base maintained by you in the United States) are generally exempt from the 30% U.S. federal withholding tax, subject to the discussions below on backup withholding and FATCA. In order to obtain this exemption, you must provide a properly executed IRS Form W-8ECI or other applicable IRS Form W-8 properly certifying such exemption. Such effectively connected dividends, although not subject to U.S. federal withholding tax, are taxed at the same rates applicable to U.S. persons, net of certain deductions and credits, subject to an applicable income tax treaty providing otherwise.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any applicable tax treaties that may provide for different rules.</w:t>
      </w:r>
    </w:p>
    <w:p>
      <w:pPr>
        <w:spacing w:after="0" w:line="28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Gain on Disposition of Common Stock</w:t>
      </w:r>
    </w:p>
    <w:p>
      <w:pPr>
        <w:spacing w:after="0" w:line="214"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Subject to the discussion below regarding backup withholding, you generally will not be required to pay U.S. federal income tax on any gain realized upon the sale or other disposition of our common stock unless:</w:t>
      </w:r>
    </w:p>
    <w:p>
      <w:pPr>
        <w:spacing w:after="0" w:line="50" w:lineRule="exact"/>
        <w:rPr>
          <w:sz w:val="20"/>
          <w:szCs w:val="20"/>
          <w:color w:val="auto"/>
        </w:rPr>
      </w:pPr>
    </w:p>
    <w:p>
      <w:pPr>
        <w:ind w:left="880" w:right="700" w:hanging="224"/>
        <w:spacing w:after="0" w:line="276"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50"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you are a non-resident alien individual who is present in the United States for a period or periods aggregating 183 days or more during the calendar year in which the sale or disposition occurs and certain other conditions are met; or</w:t>
      </w:r>
    </w:p>
    <w:p>
      <w:pPr>
        <w:spacing w:after="0" w:line="50" w:lineRule="exact"/>
        <w:rPr>
          <w:rFonts w:ascii="Arial" w:cs="Arial" w:eastAsia="Arial" w:hAnsi="Arial"/>
          <w:sz w:val="18"/>
          <w:szCs w:val="18"/>
          <w:color w:val="auto"/>
        </w:rPr>
      </w:pPr>
    </w:p>
    <w:p>
      <w:pPr>
        <w:jc w:val="both"/>
        <w:ind w:left="880" w:right="360" w:hanging="224"/>
        <w:spacing w:after="0" w:line="255"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common stock.</w:t>
      </w:r>
    </w:p>
    <w:p>
      <w:pPr>
        <w:spacing w:after="0" w:line="16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We believe that we are not currently and will not become a USRPHC for U.S. federal income tax purposes. However, because the determination of whether we are a USRPHC depends on the fair market value of our U.S. real property relative to the fair market value of our U.S. and worldwide real property plus our other business assets, there can be no assurance that we will not become a USRPHC in the future. Even if we become a USRPHC, however, as long as our common stock is regularly traded on an established securities market, your common stock will be treated as United States real property interests only if you actually (directly or indirectly) or constructively held more than five percent of such regularly traded common stock at any time during the shorter of the five-year period preceding your disposition of, or your holding period for, our common stock.</w:t>
      </w:r>
    </w:p>
    <w:p>
      <w:pPr>
        <w:spacing w:after="0" w:line="179"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If you are a non-U.S. holder described in the first bullet above, you will be required to pay tax on the gain derived from the sale (net of certain deductions and credits) under regular U.S. federal income tax rates,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sale, which gain may be offset by certain U.S. source capital losses, provided you have timely filed U.S. federal income tax returns with respect to such losses. You should consult your tax advisor regarding any applicable income tax or other treaties that may provide for different rules.</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14" w:lineRule="exact"/>
        <w:rPr>
          <w:sz w:val="20"/>
          <w:szCs w:val="20"/>
          <w:color w:val="auto"/>
        </w:rPr>
      </w:pPr>
    </w:p>
    <w:p>
      <w:pPr>
        <w:jc w:val="both"/>
        <w:ind w:left="120" w:right="420" w:firstLine="551"/>
        <w:spacing w:after="0" w:line="257" w:lineRule="auto"/>
        <w:rPr>
          <w:sz w:val="20"/>
          <w:szCs w:val="20"/>
          <w:color w:val="auto"/>
        </w:rPr>
      </w:pPr>
      <w:r>
        <w:rPr>
          <w:rFonts w:ascii="Arial" w:cs="Arial" w:eastAsia="Arial" w:hAnsi="Arial"/>
          <w:sz w:val="17"/>
          <w:szCs w:val="17"/>
          <w:color w:val="auto"/>
        </w:rPr>
        <w:t>Payments of dividends on or of proceeds from the disposition of our common stock made to you may be subject to information reporting and backup withholding at a current rate of 24% unless you establish an exemption, for example, by properly certifying your non-U.S. status on a properly completed IRS Form W-8BEN or W-8BEN-E or another appropriate version of IRS Form W-8.</w:t>
      </w:r>
    </w:p>
    <w:p>
      <w:pPr>
        <w:spacing w:after="0" w:line="2" w:lineRule="exact"/>
        <w:rPr>
          <w:sz w:val="20"/>
          <w:szCs w:val="20"/>
          <w:color w:val="auto"/>
        </w:rPr>
      </w:pPr>
    </w:p>
    <w:p>
      <w:pPr>
        <w:ind w:left="120" w:right="680"/>
        <w:spacing w:after="0" w:line="250" w:lineRule="auto"/>
        <w:rPr>
          <w:sz w:val="20"/>
          <w:szCs w:val="20"/>
          <w:color w:val="auto"/>
        </w:rPr>
      </w:pPr>
      <w:r>
        <w:rPr>
          <w:rFonts w:ascii="Arial" w:cs="Arial" w:eastAsia="Arial" w:hAnsi="Arial"/>
          <w:sz w:val="18"/>
          <w:szCs w:val="18"/>
          <w:color w:val="auto"/>
        </w:rPr>
        <w:t>Notwithstanding the foregoing, backup withholding and information reporting may apply if either we or our paying agent has actual knowledge, or reason to know, that you are a U.S. person.</w:t>
      </w:r>
    </w:p>
    <w:p>
      <w:pPr>
        <w:spacing w:after="0" w:line="168"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backup withholding results in an overpayment of taxes, a refund or credit may generally be obtained from the IRS, provided that the required information is furnished to the IRS in a timely manner.</w:t>
      </w:r>
    </w:p>
    <w:p>
      <w:pPr>
        <w:spacing w:after="0" w:line="164"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Notwithstanding the foregoing, generally, we must report annually to the IRS the amount of distributions paid to you, your name and address and the amount of tax withheld, if any. Pursuant to applicable income tax treaties or other agreements, the IRS may make these reports available to tax authorities in your country of residence.</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Foreign Account Tax Compliance Act (FATCA)</w:t>
      </w:r>
    </w:p>
    <w:p>
      <w:pPr>
        <w:spacing w:after="0" w:line="21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FATCA generally imposes a U.S. federal withholding tax of 30% on dividends on, and (subject to the proposed Treasury Regulations discussed below) the gross proceeds from a sale or other disposition of our common stock, paid to a “foreign financial institution” (as specially defined under these rules), unless otherwise provided by the Treasury Secretary or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(subject to the proposed Treasury Regulations discussed below) the gross proceeds from a sale or other disposition of our common stock paid to a “non-financial foreign entity” (as specially defined under these rules), unless otherwise provided by the Treasury Secretary or such entity provides the withholding agent with a certification identifying the substantial direct and indirect U.S. owners of the entity, certifies that it does not have any substantial U.S. owners, or otherwise establishes an exemption.</w:t>
      </w:r>
    </w:p>
    <w:p>
      <w:pPr>
        <w:spacing w:after="0" w:line="176" w:lineRule="exact"/>
        <w:rPr>
          <w:sz w:val="20"/>
          <w:szCs w:val="20"/>
          <w:color w:val="auto"/>
        </w:rPr>
      </w:pPr>
    </w:p>
    <w:p>
      <w:pPr>
        <w:ind w:left="120" w:right="120" w:firstLine="551"/>
        <w:spacing w:after="0" w:line="243" w:lineRule="auto"/>
        <w:rPr>
          <w:sz w:val="20"/>
          <w:szCs w:val="20"/>
          <w:color w:val="auto"/>
        </w:rPr>
      </w:pPr>
      <w:r>
        <w:rPr>
          <w:rFonts w:ascii="Arial" w:cs="Arial" w:eastAsia="Arial" w:hAnsi="Arial"/>
          <w:sz w:val="18"/>
          <w:szCs w:val="18"/>
          <w:color w:val="auto"/>
        </w:rPr>
        <w:t>The withholding obligations under FATCA generally apply to dividends on our common stock. The withholding tax will apply regardless of whether the payment otherwise would be exempt from U.S. nonresident and backup withholding tax, including under the other exemptions described above. Under certain circumstances, a non-U.S. holder might be eligible for refunds or credits of amounts so withheld. The Treasury Secretary has issued proposed regulations providing that the withholding provisions under FATCA do not apply with respect to payment of gross proceeds from a sale or other disposition of our common stock, which may be relied upon by a taxpayer (including an applicable withholding agent) until final regulations are issued.</w:t>
      </w:r>
    </w:p>
    <w:p>
      <w:pPr>
        <w:spacing w:after="0" w:line="174" w:lineRule="exact"/>
        <w:rPr>
          <w:sz w:val="20"/>
          <w:szCs w:val="20"/>
          <w:color w:val="auto"/>
        </w:rPr>
      </w:pPr>
    </w:p>
    <w:p>
      <w:pPr>
        <w:ind w:left="120" w:right="600" w:firstLine="551"/>
        <w:spacing w:after="0" w:line="276" w:lineRule="auto"/>
        <w:rPr>
          <w:sz w:val="20"/>
          <w:szCs w:val="20"/>
          <w:color w:val="auto"/>
        </w:rPr>
      </w:pPr>
      <w:r>
        <w:rPr>
          <w:rFonts w:ascii="Arial" w:cs="Arial" w:eastAsia="Arial" w:hAnsi="Arial"/>
          <w:sz w:val="18"/>
          <w:szCs w:val="18"/>
          <w:color w:val="auto"/>
        </w:rPr>
        <w:t>An intergovernmental agreement between the United States and an applicable foreign country may modify the requirements described in this section. Prospective investors should consult with their</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tax advisors regarding the application of FATCA withholding to their investment in, and ownership and disposition of, our common stock.</w:t>
      </w:r>
    </w:p>
    <w:p>
      <w:pPr>
        <w:spacing w:after="0" w:line="221" w:lineRule="exact"/>
        <w:rPr>
          <w:sz w:val="20"/>
          <w:szCs w:val="20"/>
          <w:color w:val="auto"/>
        </w:rPr>
      </w:pPr>
    </w:p>
    <w:p>
      <w:pPr>
        <w:jc w:val="both"/>
        <w:ind w:left="120" w:right="140" w:firstLine="551"/>
        <w:spacing w:after="0" w:line="252" w:lineRule="auto"/>
        <w:rPr>
          <w:sz w:val="20"/>
          <w:szCs w:val="20"/>
          <w:color w:val="auto"/>
        </w:rPr>
      </w:pPr>
      <w:r>
        <w:rPr>
          <w:rFonts w:ascii="Arial" w:cs="Arial" w:eastAsia="Arial" w:hAnsi="Arial"/>
          <w:sz w:val="18"/>
          <w:szCs w:val="18"/>
          <w:b w:val="1"/>
          <w:bCs w:val="1"/>
          <w:color w:val="auto"/>
        </w:rPr>
        <w:t>The preceding discussion of U.S. federal income tax consequences is for general information only. It is not tax advice. Each prospective investor should consult his, her or its tax advisor regarding the particular U.S. federal, state and local and non-U.S. tax consequences of purchasing, holding and disposing of our common stock, including the consequences of any proposed change in applicable laws.</w:t>
      </w:r>
    </w:p>
    <w:p>
      <w:pPr>
        <w:spacing w:after="0" w:line="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0920"/>
          </w:cols>
          <w:pgMar w:left="320" w:top="455" w:right="65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14" w:lineRule="exact"/>
        <w:rPr>
          <w:sz w:val="20"/>
          <w:szCs w:val="20"/>
          <w:color w:val="auto"/>
        </w:rPr>
      </w:pPr>
    </w:p>
    <w:p>
      <w:pPr>
        <w:ind w:left="120" w:right="300" w:firstLine="551"/>
        <w:spacing w:after="0" w:line="248"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BofA Securities, Inc., Cowen and Company, LLC and Evercore Group L.L.C. are the representatives of the underwriters.</w:t>
      </w:r>
    </w:p>
    <w:p>
      <w:pPr>
        <w:spacing w:after="0" w:line="205" w:lineRule="exact"/>
        <w:rPr>
          <w:sz w:val="20"/>
          <w:szCs w:val="20"/>
          <w:color w:val="auto"/>
        </w:rPr>
      </w:pPr>
    </w:p>
    <w:p>
      <w:pPr>
        <w:ind w:left="120"/>
        <w:spacing w:after="0"/>
        <w:tabs>
          <w:tab w:leader="none" w:pos="9820" w:val="left"/>
        </w:tabs>
        <w:rPr>
          <w:sz w:val="20"/>
          <w:szCs w:val="20"/>
          <w:color w:val="auto"/>
        </w:rPr>
      </w:pPr>
      <w:r>
        <w:rPr>
          <w:rFonts w:ascii="Arial" w:cs="Arial" w:eastAsia="Arial" w:hAnsi="Arial"/>
          <w:sz w:val="14"/>
          <w:szCs w:val="14"/>
          <w:b w:val="1"/>
          <w:bCs w:val="1"/>
          <w:u w:val="single" w:color="auto"/>
          <w:color w:val="auto"/>
        </w:rPr>
        <w:t>Underwriters</w:t>
      </w:r>
      <w:r>
        <w:rPr>
          <w:sz w:val="20"/>
          <w:szCs w:val="20"/>
          <w:color w:val="auto"/>
        </w:rPr>
        <w:tab/>
      </w:r>
      <w:r>
        <w:rPr>
          <w:rFonts w:ascii="Arial" w:cs="Arial" w:eastAsia="Arial" w:hAnsi="Arial"/>
          <w:sz w:val="14"/>
          <w:szCs w:val="14"/>
          <w:b w:val="1"/>
          <w:bCs w:val="1"/>
          <w:u w:val="single" w:color="auto"/>
          <w:color w:val="auto"/>
        </w:rPr>
        <w:t>Number of Shares</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BofA Securities, Inc.</w:t>
      </w:r>
    </w:p>
    <w:p>
      <w:pPr>
        <w:ind w:left="120"/>
        <w:spacing w:after="0" w:line="234" w:lineRule="auto"/>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Evercore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-1905</wp:posOffset>
            </wp:positionV>
            <wp:extent cx="78867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154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232" w:lineRule="exact"/>
        <w:rPr>
          <w:sz w:val="20"/>
          <w:szCs w:val="20"/>
          <w:color w:val="auto"/>
        </w:rPr>
      </w:pPr>
    </w:p>
    <w:p>
      <w:pPr>
        <w:ind w:left="120" w:right="160" w:firstLine="551"/>
        <w:spacing w:after="0" w:line="276"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45"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The underwriters have an option to buy up to an additional shares from us to cover sales by the underwriters of a greater number of shares than the total number set forth in the table above. They may exercise that option for 30 days from the date of this prospectus. If any shares are purchased pursuant to this option, the underwriters will severally purchase shares in approximately the same proportion as set forth in the table above.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w:t>
      </w:r>
    </w:p>
    <w:p>
      <w:pPr>
        <w:spacing w:after="0" w:line="18"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9040" w:type="dxa"/>
            <w:vAlign w:val="bottom"/>
            <w:gridSpan w:val="3"/>
          </w:tcPr>
          <w:p>
            <w:pPr>
              <w:spacing w:after="0"/>
              <w:rPr>
                <w:sz w:val="20"/>
                <w:szCs w:val="20"/>
                <w:color w:val="auto"/>
              </w:rPr>
            </w:pPr>
            <w:r>
              <w:rPr>
                <w:rFonts w:ascii="Arial" w:cs="Arial" w:eastAsia="Arial" w:hAnsi="Arial"/>
                <w:sz w:val="18"/>
                <w:szCs w:val="18"/>
                <w:color w:val="auto"/>
              </w:rPr>
              <w:t>Such amounts are shown assuming both no exercise and full exercise of the underwriters’ option to purchase</w:t>
            </w:r>
          </w:p>
        </w:tc>
        <w:tc>
          <w:tcPr>
            <w:tcW w:w="1980" w:type="dxa"/>
            <w:vAlign w:val="bottom"/>
            <w:gridSpan w:val="4"/>
          </w:tcPr>
          <w:p>
            <w:pPr>
              <w:ind w:left="280"/>
              <w:spacing w:after="0"/>
              <w:rPr>
                <w:sz w:val="20"/>
                <w:szCs w:val="20"/>
                <w:color w:val="auto"/>
              </w:rPr>
            </w:pPr>
            <w:r>
              <w:rPr>
                <w:rFonts w:ascii="Arial" w:cs="Arial" w:eastAsia="Arial" w:hAnsi="Arial"/>
                <w:sz w:val="18"/>
                <w:szCs w:val="18"/>
                <w:color w:val="auto"/>
              </w:rPr>
              <w:t>additional shares.</w:t>
            </w:r>
          </w:p>
        </w:tc>
      </w:tr>
      <w:tr>
        <w:trPr>
          <w:trHeight w:val="366"/>
        </w:trPr>
        <w:tc>
          <w:tcPr>
            <w:tcW w:w="16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No Exercise</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Full Exercise</w:t>
            </w:r>
          </w:p>
        </w:tc>
      </w:tr>
      <w:tr>
        <w:trPr>
          <w:trHeight w:val="196"/>
        </w:trPr>
        <w:tc>
          <w:tcPr>
            <w:tcW w:w="1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70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43"/>
        </w:trPr>
        <w:tc>
          <w:tcPr>
            <w:tcW w:w="1600" w:type="dxa"/>
            <w:vAlign w:val="bottom"/>
          </w:tcPr>
          <w:p>
            <w:pPr>
              <w:spacing w:after="0"/>
              <w:rPr>
                <w:sz w:val="20"/>
                <w:szCs w:val="20"/>
                <w:color w:val="auto"/>
              </w:rPr>
            </w:pPr>
            <w:r>
              <w:rPr>
                <w:rFonts w:ascii="Arial" w:cs="Arial" w:eastAsia="Arial" w:hAnsi="Arial"/>
                <w:sz w:val="18"/>
                <w:szCs w:val="18"/>
                <w:color w:val="auto"/>
              </w:rPr>
              <w:t>Total</w:t>
            </w:r>
          </w:p>
        </w:tc>
        <w:tc>
          <w:tcPr>
            <w:tcW w:w="7440" w:type="dxa"/>
            <w:vAlign w:val="bottom"/>
            <w:gridSpan w:val="2"/>
          </w:tcPr>
          <w:p>
            <w:pPr>
              <w:ind w:left="70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355"/>
        </w:trPr>
        <w:tc>
          <w:tcPr>
            <w:tcW w:w="11020" w:type="dxa"/>
            <w:vAlign w:val="bottom"/>
            <w:gridSpan w:val="7"/>
          </w:tcPr>
          <w:p>
            <w:pPr>
              <w:ind w:left="540"/>
              <w:spacing w:after="0"/>
              <w:rPr>
                <w:sz w:val="20"/>
                <w:szCs w:val="20"/>
                <w:color w:val="auto"/>
              </w:rPr>
            </w:pPr>
            <w:r>
              <w:rPr>
                <w:rFonts w:ascii="Arial" w:cs="Arial" w:eastAsia="Arial" w:hAnsi="Arial"/>
                <w:sz w:val="18"/>
                <w:szCs w:val="18"/>
                <w:color w:val="auto"/>
              </w:rPr>
              <w:t>We estimate that our total out of pocket expenses for this offering, excluding the underwriting discounts and commissions, will be</w:t>
            </w:r>
          </w:p>
        </w:tc>
      </w:tr>
      <w:tr>
        <w:trPr>
          <w:trHeight w:val="243"/>
        </w:trPr>
        <w:tc>
          <w:tcPr>
            <w:tcW w:w="1600" w:type="dxa"/>
            <w:vAlign w:val="bottom"/>
          </w:tcPr>
          <w:p>
            <w:pPr>
              <w:spacing w:after="0"/>
              <w:rPr>
                <w:sz w:val="20"/>
                <w:szCs w:val="20"/>
                <w:color w:val="auto"/>
              </w:rPr>
            </w:pPr>
            <w:r>
              <w:rPr>
                <w:rFonts w:ascii="Arial" w:cs="Arial" w:eastAsia="Arial" w:hAnsi="Arial"/>
                <w:sz w:val="18"/>
                <w:szCs w:val="18"/>
                <w:color w:val="auto"/>
              </w:rPr>
              <w:t>approximately $</w:t>
            </w:r>
          </w:p>
        </w:tc>
        <w:tc>
          <w:tcPr>
            <w:tcW w:w="8460" w:type="dxa"/>
            <w:vAlign w:val="bottom"/>
            <w:gridSpan w:val="4"/>
          </w:tcPr>
          <w:p>
            <w:pPr>
              <w:ind w:left="320"/>
              <w:spacing w:after="0"/>
              <w:rPr>
                <w:sz w:val="20"/>
                <w:szCs w:val="20"/>
                <w:color w:val="auto"/>
              </w:rPr>
            </w:pPr>
            <w:r>
              <w:rPr>
                <w:rFonts w:ascii="Arial" w:cs="Arial" w:eastAsia="Arial" w:hAnsi="Arial"/>
                <w:sz w:val="18"/>
                <w:szCs w:val="18"/>
                <w:color w:val="auto"/>
              </w:rPr>
              <w:t>. We have also agreed to reimburse the underwriters certain of their expenses in an amount up to $</w:t>
            </w:r>
          </w:p>
        </w:tc>
        <w:tc>
          <w:tcPr>
            <w:tcW w:w="90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bl>
    <w:p>
      <w:pPr>
        <w:spacing w:after="0" w:line="176" w:lineRule="exact"/>
        <w:rPr>
          <w:sz w:val="20"/>
          <w:szCs w:val="20"/>
          <w:color w:val="auto"/>
        </w:rPr>
      </w:pPr>
    </w:p>
    <w:p>
      <w:pPr>
        <w:jc w:val="both"/>
        <w:ind w:left="120" w:right="20" w:firstLine="551"/>
        <w:spacing w:after="0" w:line="276"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spacing w:after="0" w:line="18"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76" w:lineRule="exact"/>
        <w:rPr>
          <w:sz w:val="20"/>
          <w:szCs w:val="20"/>
          <w:color w:val="auto"/>
        </w:rPr>
      </w:pPr>
    </w:p>
    <w:p>
      <w:pPr>
        <w:ind w:left="120" w:right="100" w:firstLine="551"/>
        <w:spacing w:after="0" w:line="277" w:lineRule="auto"/>
        <w:rPr>
          <w:sz w:val="20"/>
          <w:szCs w:val="20"/>
          <w:color w:val="auto"/>
        </w:rPr>
      </w:pPr>
      <w:r>
        <w:rPr>
          <w:rFonts w:ascii="Arial" w:cs="Arial" w:eastAsia="Arial" w:hAnsi="Arial"/>
          <w:sz w:val="17"/>
          <w:szCs w:val="17"/>
          <w:color w:val="auto"/>
        </w:rPr>
        <w:t>We and our officers, directors, and holders of substantially all of our common stock and securities convertible into or exchangeable for our common stock have agreed with the underwriters, subject to certain exceptions, not to dispose of or hedge any of their common stock or securities convertible into or exchangeable for shares of our common stock during the period from the date of this prospectus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40"/>
          </w:cols>
          <w:pgMar w:left="320" w:top="455" w:right="43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continuing through the date 180 days after the date of this prospectus, except with the prior written consent of the representatives. This agreement does not apply to any existing employee benefit plans. See the section titled “Shares Eligible for Future Sale” for a discussion of certain transfer restrictions.</w:t>
      </w:r>
    </w:p>
    <w:p>
      <w:pPr>
        <w:spacing w:after="0" w:line="164"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has been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apply to list our common stock on the Nasdaq Global Market under the symbol “PMVP.”</w:t>
      </w:r>
    </w:p>
    <w:p>
      <w:pPr>
        <w:spacing w:after="0" w:line="21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77"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4"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w:t>
      </w:r>
    </w:p>
    <w:p>
      <w:pPr>
        <w:spacing w:after="0" w:line="1" w:lineRule="exact"/>
        <w:rPr>
          <w:sz w:val="20"/>
          <w:szCs w:val="20"/>
          <w:color w:val="auto"/>
        </w:rPr>
      </w:pPr>
    </w:p>
    <w:p>
      <w:pPr>
        <w:ind w:left="120" w:right="240"/>
        <w:spacing w:after="0" w:line="250" w:lineRule="auto"/>
        <w:rPr>
          <w:sz w:val="20"/>
          <w:szCs w:val="20"/>
          <w:color w:val="auto"/>
        </w:rPr>
      </w:pPr>
      <w:r>
        <w:rPr>
          <w:rFonts w:ascii="Arial" w:cs="Arial" w:eastAsia="Arial" w:hAnsi="Arial"/>
          <w:sz w:val="18"/>
          <w:szCs w:val="18"/>
          <w:color w:val="auto"/>
        </w:rPr>
        <w:t>these activities and may end any of these activities at any time. These transactions may be effected on , in the over-the-counter market or otherwise.</w:t>
      </w:r>
    </w:p>
    <w:p>
      <w:pPr>
        <w:spacing w:after="0" w:line="168"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080"/>
          </w:cols>
          <w:pgMar w:left="320" w:top="455" w:right="49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us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European Economic Area</w:t>
      </w:r>
    </w:p>
    <w:p>
      <w:pPr>
        <w:spacing w:after="0" w:line="21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In relation to each member state of the European Economic Area, or each, a Member State, no shares of our common stock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79" w:lineRule="exact"/>
        <w:rPr>
          <w:sz w:val="20"/>
          <w:szCs w:val="20"/>
          <w:color w:val="auto"/>
        </w:rPr>
      </w:pPr>
    </w:p>
    <w:p>
      <w:pPr>
        <w:ind w:left="880" w:hanging="224"/>
        <w:spacing w:after="0"/>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17" w:lineRule="exact"/>
        <w:rPr>
          <w:rFonts w:ascii="Arial" w:cs="Arial" w:eastAsia="Arial" w:hAnsi="Arial"/>
          <w:sz w:val="18"/>
          <w:szCs w:val="18"/>
          <w:color w:val="auto"/>
        </w:rPr>
      </w:pPr>
    </w:p>
    <w:p>
      <w:pPr>
        <w:ind w:left="880" w:right="360" w:hanging="224"/>
        <w:spacing w:after="0" w:line="276" w:lineRule="auto"/>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for any such offer; or</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left="120" w:right="40"/>
        <w:spacing w:after="0" w:line="276"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shares of our common stock shall require us or any underwriter to publish a prospectus pursuant to Article 3</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Prospectus Regulation or supplement a prospectus pursuant to Article 23 of the Prospectus Regulation.</w:t>
      </w:r>
    </w:p>
    <w:p>
      <w:pPr>
        <w:spacing w:after="0" w:line="145"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common stock in any Member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United Kingdom</w:t>
      </w:r>
    </w:p>
    <w:p>
      <w:pPr>
        <w:spacing w:after="0" w:line="214" w:lineRule="exact"/>
        <w:rPr>
          <w:sz w:val="20"/>
          <w:szCs w:val="20"/>
          <w:color w:val="auto"/>
        </w:rPr>
      </w:pPr>
    </w:p>
    <w:p>
      <w:pPr>
        <w:ind w:left="120" w:right="60" w:firstLine="551"/>
        <w:spacing w:after="0" w:line="262" w:lineRule="auto"/>
        <w:rPr>
          <w:sz w:val="20"/>
          <w:szCs w:val="20"/>
          <w:color w:val="auto"/>
        </w:rPr>
      </w:pPr>
      <w:r>
        <w:rPr>
          <w:rFonts w:ascii="Arial" w:cs="Arial" w:eastAsia="Arial" w:hAnsi="Arial"/>
          <w:sz w:val="17"/>
          <w:szCs w:val="17"/>
          <w:color w:val="auto"/>
        </w:rPr>
        <w:t>In the United Kingdom, this prospectus is only addressed to and directed at qualified investors who are (i) investment professionals falling within Article 19(5) of the Financial Services and Markets Act 2000, as amended (Financial Promotion), Order 2005 (the Order) or</w:t>
      </w:r>
    </w:p>
    <w:p>
      <w:pPr>
        <w:ind w:left="120" w:right="40" w:hanging="4"/>
        <w:spacing w:after="0"/>
        <w:tabs>
          <w:tab w:leader="none" w:pos="37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in with relevant persons. Any person who is not a relevant person should not act or rely on this prospectus or any of its contents.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Canada</w:t>
      </w:r>
    </w:p>
    <w:p>
      <w:pPr>
        <w:spacing w:after="0" w:line="21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72"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2" w:lineRule="exact"/>
        <w:rPr>
          <w:sz w:val="20"/>
          <w:szCs w:val="20"/>
          <w:color w:val="auto"/>
        </w:rPr>
      </w:pPr>
    </w:p>
    <w:p>
      <w:pPr>
        <w:ind w:left="120" w:right="380" w:firstLine="551"/>
        <w:spacing w:after="0" w:line="27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Hong Kong</w:t>
      </w:r>
    </w:p>
    <w:p>
      <w:pPr>
        <w:spacing w:after="0" w:line="21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Companies (Winding Up and Miscellaneous Provisions) Ordinance, or which do not constitute an invitation to the public within the meaning of the Securities and Futures Ordinance (Cap. 571 of the Laws of Hong Kong), or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Singapore</w:t>
      </w:r>
    </w:p>
    <w:p>
      <w:pPr>
        <w:spacing w:after="0" w:line="21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00"/>
          </w:cols>
          <w:pgMar w:left="320" w:top="455" w:right="47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Japan</w:t>
      </w:r>
    </w:p>
    <w:p>
      <w:pPr>
        <w:spacing w:after="0" w:line="21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080"/>
          </w:cols>
          <w:pgMar w:left="320" w:top="455" w:right="49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the issuance of our common stock offered in this prospectus will be passed upon for us by Wilson Sonsini</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Goodrich &amp; Rosati, Professional Corporation, Palo Alto, California. Certain legal matters relating to the offering will be passed upon for the</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underwriters by Latham &amp; Watkins LLP, Menlo Park, California. Certain members of, and investment partnerships comprised of members</w:t>
      </w:r>
    </w:p>
    <w:p>
      <w:pPr>
        <w:ind w:left="120"/>
        <w:spacing w:after="0" w:line="234" w:lineRule="auto"/>
        <w:rPr>
          <w:sz w:val="20"/>
          <w:szCs w:val="20"/>
          <w:color w:val="auto"/>
        </w:rPr>
      </w:pPr>
      <w:r>
        <w:rPr>
          <w:rFonts w:ascii="Arial" w:cs="Arial" w:eastAsia="Arial" w:hAnsi="Arial"/>
          <w:sz w:val="18"/>
          <w:szCs w:val="18"/>
          <w:color w:val="auto"/>
        </w:rPr>
        <w:t>of, and persons associated with, Wilson Sonsini Goodrich &amp; Rosati, Professional Corporation, own an interest representing less than one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percent of the shares of our common stock.</w:t>
      </w: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14"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at December 31, 2018 and 2019, and for the years then ended, as set forth in their report. We have included our financial statements in the prospectus and elsewhere in the registration statement in reliance on Ernst &amp; Young LLP’s report, given on their authority as experts in accounting and auditing.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080"/>
          </w:cols>
          <w:pgMar w:left="320" w:top="455" w:right="49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1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have filed with the Securities and Exchange Commission, or SEC, a registration statement on Form S-1 under the Securities Act of 1933, as amended, with respect to the shares of our common stock offered by this prospectus. This prospectus, which constitutes a part of the registration statement, does not contain all of the information set forth in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the registration statement of which this prospectus forms a part, as well as the exhibits thereto. These documents, along with future reports, proxy statements and other information about us, are available at the SEC’s website, www.sec.gov.</w:t>
      </w:r>
    </w:p>
    <w:p>
      <w:pPr>
        <w:spacing w:after="0" w:line="180"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of 1934, as amended, and, in accordance with this law, will file periodic reports, proxy statements and other information with the SEC. We also maintain a website at www.pmvpharma.com where these materials will be available. Upon the completion of this offering, you may access these materials free of charge as soon as reasonably practicable after they are electronically filed with, or furnished to, the SEC. Information contained on, or that can be accessible through, our website is not a part of this prospectus and the inclusion of our website address in this prospectus is an inactive textual reference only.</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080"/>
          </w:cols>
          <w:pgMar w:left="320" w:top="455" w:right="49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38"/>
        </w:trPr>
        <w:tc>
          <w:tcPr>
            <w:tcW w:w="1038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tc>
        <w:tc>
          <w:tcPr>
            <w:tcW w:w="700" w:type="dxa"/>
            <w:vAlign w:val="bottom"/>
          </w:tcPr>
          <w:p>
            <w:pPr>
              <w:spacing w:after="0"/>
              <w:rPr>
                <w:sz w:val="20"/>
                <w:szCs w:val="20"/>
                <w:color w:val="auto"/>
              </w:rPr>
            </w:pPr>
          </w:p>
        </w:tc>
      </w:tr>
      <w:tr>
        <w:trPr>
          <w:trHeight w:val="525"/>
        </w:trPr>
        <w:tc>
          <w:tcPr>
            <w:tcW w:w="10380" w:type="dxa"/>
            <w:vAlign w:val="bottom"/>
          </w:tcPr>
          <w:p>
            <w:pPr>
              <w:ind w:left="4060"/>
              <w:spacing w:after="0"/>
              <w:rPr>
                <w:sz w:val="20"/>
                <w:szCs w:val="20"/>
                <w:color w:val="auto"/>
              </w:rPr>
            </w:pPr>
            <w:r>
              <w:rPr>
                <w:rFonts w:ascii="Arial" w:cs="Arial" w:eastAsia="Arial" w:hAnsi="Arial"/>
                <w:sz w:val="18"/>
                <w:szCs w:val="18"/>
                <w:b w:val="1"/>
                <w:bCs w:val="1"/>
                <w:color w:val="auto"/>
              </w:rPr>
              <w:t>INDEX TO FINANCIAL STATEMENTS</w:t>
            </w:r>
          </w:p>
        </w:tc>
        <w:tc>
          <w:tcPr>
            <w:tcW w:w="700" w:type="dxa"/>
            <w:vAlign w:val="bottom"/>
          </w:tcPr>
          <w:p>
            <w:pPr>
              <w:spacing w:after="0"/>
              <w:rPr>
                <w:sz w:val="24"/>
                <w:szCs w:val="24"/>
                <w:color w:val="auto"/>
              </w:rPr>
            </w:pPr>
          </w:p>
        </w:tc>
      </w:tr>
      <w:tr>
        <w:trPr>
          <w:trHeight w:val="445"/>
        </w:trPr>
        <w:tc>
          <w:tcPr>
            <w:tcW w:w="10380" w:type="dxa"/>
            <w:vAlign w:val="bottom"/>
          </w:tcPr>
          <w:p>
            <w:pPr>
              <w:ind w:left="120"/>
              <w:spacing w:after="0"/>
              <w:rPr>
                <w:sz w:val="20"/>
                <w:szCs w:val="20"/>
                <w:color w:val="auto"/>
              </w:rPr>
            </w:pPr>
            <w:r>
              <w:rPr>
                <w:rFonts w:ascii="Arial" w:cs="Arial" w:eastAsia="Arial" w:hAnsi="Arial"/>
                <w:sz w:val="18"/>
                <w:szCs w:val="18"/>
                <w:b w:val="1"/>
                <w:bCs w:val="1"/>
                <w:color w:val="auto"/>
              </w:rPr>
              <w:t>Audited Financial Statements</w:t>
            </w:r>
          </w:p>
        </w:tc>
        <w:tc>
          <w:tcPr>
            <w:tcW w:w="700" w:type="dxa"/>
            <w:vAlign w:val="bottom"/>
          </w:tcPr>
          <w:p>
            <w:pPr>
              <w:spacing w:after="0"/>
              <w:rPr>
                <w:sz w:val="24"/>
                <w:szCs w:val="24"/>
                <w:color w:val="auto"/>
              </w:rPr>
            </w:pPr>
          </w:p>
        </w:tc>
      </w:tr>
      <w:tr>
        <w:trPr>
          <w:trHeight w:val="262"/>
        </w:trPr>
        <w:tc>
          <w:tcPr>
            <w:tcW w:w="10380" w:type="dxa"/>
            <w:vAlign w:val="bottom"/>
          </w:tcPr>
          <w:p>
            <w:pPr>
              <w:ind w:left="480"/>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Report of Independent Registered Public Accounting Firm</w:t>
              </w:r>
            </w:hyperlink>
          </w:p>
        </w:tc>
        <w:tc>
          <w:tcPr>
            <w:tcW w:w="700" w:type="dxa"/>
            <w:vAlign w:val="bottom"/>
          </w:tcPr>
          <w:p>
            <w:pPr>
              <w:ind w:left="420"/>
              <w:spacing w:after="0"/>
              <w:rPr>
                <w:sz w:val="20"/>
                <w:szCs w:val="20"/>
                <w:color w:val="auto"/>
              </w:rPr>
            </w:pPr>
            <w:r>
              <w:rPr>
                <w:rFonts w:ascii="Arial" w:cs="Arial" w:eastAsia="Arial" w:hAnsi="Arial"/>
                <w:sz w:val="18"/>
                <w:szCs w:val="18"/>
                <w:color w:val="auto"/>
                <w:w w:val="96"/>
              </w:rPr>
              <w:t>F-2</w:t>
            </w:r>
          </w:p>
        </w:tc>
      </w:tr>
      <w:tr>
        <w:trPr>
          <w:trHeight w:val="203"/>
        </w:trPr>
        <w:tc>
          <w:tcPr>
            <w:tcW w:w="10380" w:type="dxa"/>
            <w:vAlign w:val="bottom"/>
          </w:tcPr>
          <w:p>
            <w:pPr>
              <w:ind w:left="480"/>
              <w:spacing w:after="0" w:line="202" w:lineRule="exact"/>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Balance Sheets as of December 31, 2018 and 2019</w:t>
              </w:r>
            </w:hyperlink>
          </w:p>
        </w:tc>
        <w:tc>
          <w:tcPr>
            <w:tcW w:w="700" w:type="dxa"/>
            <w:vAlign w:val="bottom"/>
          </w:tcPr>
          <w:p>
            <w:pPr>
              <w:ind w:left="420"/>
              <w:spacing w:after="0" w:line="202" w:lineRule="exact"/>
              <w:rPr>
                <w:sz w:val="20"/>
                <w:szCs w:val="20"/>
                <w:color w:val="auto"/>
              </w:rPr>
            </w:pPr>
            <w:r>
              <w:rPr>
                <w:rFonts w:ascii="Arial" w:cs="Arial" w:eastAsia="Arial" w:hAnsi="Arial"/>
                <w:sz w:val="18"/>
                <w:szCs w:val="18"/>
                <w:color w:val="auto"/>
                <w:w w:val="96"/>
              </w:rPr>
              <w:t>F-3</w:t>
            </w:r>
          </w:p>
        </w:tc>
      </w:tr>
      <w:tr>
        <w:trPr>
          <w:trHeight w:val="203"/>
        </w:trPr>
        <w:tc>
          <w:tcPr>
            <w:tcW w:w="10380" w:type="dxa"/>
            <w:vAlign w:val="bottom"/>
          </w:tcPr>
          <w:p>
            <w:pPr>
              <w:ind w:left="480"/>
              <w:spacing w:after="0" w:line="202" w:lineRule="exact"/>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Statements of Operations and Comprehensive Loss for the Years Ended December 31, 2018 and 2019</w:t>
              </w:r>
            </w:hyperlink>
          </w:p>
        </w:tc>
        <w:tc>
          <w:tcPr>
            <w:tcW w:w="700" w:type="dxa"/>
            <w:vAlign w:val="bottom"/>
          </w:tcPr>
          <w:p>
            <w:pPr>
              <w:ind w:left="420"/>
              <w:spacing w:after="0" w:line="202" w:lineRule="exact"/>
              <w:rPr>
                <w:sz w:val="20"/>
                <w:szCs w:val="20"/>
                <w:color w:val="auto"/>
              </w:rPr>
            </w:pPr>
            <w:r>
              <w:rPr>
                <w:rFonts w:ascii="Arial" w:cs="Arial" w:eastAsia="Arial" w:hAnsi="Arial"/>
                <w:sz w:val="18"/>
                <w:szCs w:val="18"/>
                <w:color w:val="auto"/>
                <w:w w:val="96"/>
              </w:rPr>
              <w:t>F-4</w:t>
            </w:r>
          </w:p>
        </w:tc>
      </w:tr>
      <w:tr>
        <w:trPr>
          <w:trHeight w:val="203"/>
        </w:trPr>
        <w:tc>
          <w:tcPr>
            <w:tcW w:w="10380" w:type="dxa"/>
            <w:vAlign w:val="bottom"/>
          </w:tcPr>
          <w:p>
            <w:pPr>
              <w:ind w:left="480"/>
              <w:spacing w:after="0" w:line="202" w:lineRule="exact"/>
              <w:rPr>
                <w:rFonts w:ascii="Arial" w:cs="Arial" w:eastAsia="Arial" w:hAnsi="Arial"/>
                <w:sz w:val="18"/>
                <w:szCs w:val="18"/>
                <w:u w:val="single" w:color="auto"/>
                <w:color w:val="0000EE"/>
              </w:rPr>
            </w:pPr>
            <w:hyperlink w:anchor="page210">
              <w:r>
                <w:rPr>
                  <w:rFonts w:ascii="Arial" w:cs="Arial" w:eastAsia="Arial" w:hAnsi="Arial"/>
                  <w:sz w:val="18"/>
                  <w:szCs w:val="18"/>
                  <w:u w:val="single" w:color="auto"/>
                  <w:color w:val="0000EE"/>
                </w:rPr>
                <w:t>Statements of Convertible Preferred Stock and Stockholders’ Deficit for the Years Ended December 31, 2018 and 2019</w:t>
              </w:r>
            </w:hyperlink>
          </w:p>
        </w:tc>
        <w:tc>
          <w:tcPr>
            <w:tcW w:w="700" w:type="dxa"/>
            <w:vAlign w:val="bottom"/>
          </w:tcPr>
          <w:p>
            <w:pPr>
              <w:ind w:left="420"/>
              <w:spacing w:after="0" w:line="202" w:lineRule="exact"/>
              <w:rPr>
                <w:sz w:val="20"/>
                <w:szCs w:val="20"/>
                <w:color w:val="auto"/>
              </w:rPr>
            </w:pPr>
            <w:r>
              <w:rPr>
                <w:rFonts w:ascii="Arial" w:cs="Arial" w:eastAsia="Arial" w:hAnsi="Arial"/>
                <w:sz w:val="18"/>
                <w:szCs w:val="18"/>
                <w:color w:val="auto"/>
                <w:w w:val="96"/>
              </w:rPr>
              <w:t>F-5</w:t>
            </w:r>
          </w:p>
        </w:tc>
      </w:tr>
      <w:tr>
        <w:trPr>
          <w:trHeight w:val="203"/>
        </w:trPr>
        <w:tc>
          <w:tcPr>
            <w:tcW w:w="10380" w:type="dxa"/>
            <w:vAlign w:val="bottom"/>
          </w:tcPr>
          <w:p>
            <w:pPr>
              <w:ind w:left="480"/>
              <w:spacing w:after="0" w:line="202" w:lineRule="exact"/>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Statements of Cash Flows for the Years Ended December 31, 2018 and 2019</w:t>
              </w:r>
            </w:hyperlink>
          </w:p>
        </w:tc>
        <w:tc>
          <w:tcPr>
            <w:tcW w:w="700" w:type="dxa"/>
            <w:vAlign w:val="bottom"/>
          </w:tcPr>
          <w:p>
            <w:pPr>
              <w:ind w:left="420"/>
              <w:spacing w:after="0" w:line="202" w:lineRule="exact"/>
              <w:rPr>
                <w:sz w:val="20"/>
                <w:szCs w:val="20"/>
                <w:color w:val="auto"/>
              </w:rPr>
            </w:pPr>
            <w:r>
              <w:rPr>
                <w:rFonts w:ascii="Arial" w:cs="Arial" w:eastAsia="Arial" w:hAnsi="Arial"/>
                <w:sz w:val="18"/>
                <w:szCs w:val="18"/>
                <w:color w:val="auto"/>
                <w:w w:val="96"/>
              </w:rPr>
              <w:t>F-6</w:t>
            </w:r>
          </w:p>
        </w:tc>
      </w:tr>
      <w:tr>
        <w:trPr>
          <w:trHeight w:val="243"/>
        </w:trPr>
        <w:tc>
          <w:tcPr>
            <w:tcW w:w="10380" w:type="dxa"/>
            <w:vAlign w:val="bottom"/>
          </w:tcPr>
          <w:p>
            <w:pPr>
              <w:ind w:left="480"/>
              <w:spacing w:after="0"/>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Notes to Financial Statements</w:t>
              </w:r>
            </w:hyperlink>
          </w:p>
        </w:tc>
        <w:tc>
          <w:tcPr>
            <w:tcW w:w="700" w:type="dxa"/>
            <w:vAlign w:val="bottom"/>
          </w:tcPr>
          <w:p>
            <w:pPr>
              <w:ind w:left="420"/>
              <w:spacing w:after="0"/>
              <w:rPr>
                <w:sz w:val="20"/>
                <w:szCs w:val="20"/>
                <w:color w:val="auto"/>
              </w:rPr>
            </w:pPr>
            <w:r>
              <w:rPr>
                <w:rFonts w:ascii="Arial" w:cs="Arial" w:eastAsia="Arial" w:hAnsi="Arial"/>
                <w:sz w:val="18"/>
                <w:szCs w:val="18"/>
                <w:color w:val="auto"/>
                <w:w w:val="96"/>
              </w:rPr>
              <w:t>F-7</w:t>
            </w:r>
          </w:p>
        </w:tc>
      </w:tr>
      <w:tr>
        <w:trPr>
          <w:trHeight w:val="351"/>
        </w:trPr>
        <w:tc>
          <w:tcPr>
            <w:tcW w:w="10380" w:type="dxa"/>
            <w:vAlign w:val="bottom"/>
          </w:tcPr>
          <w:p>
            <w:pPr>
              <w:ind w:left="5480"/>
              <w:spacing w:after="0"/>
              <w:rPr>
                <w:sz w:val="20"/>
                <w:szCs w:val="20"/>
                <w:color w:val="auto"/>
              </w:rPr>
            </w:pPr>
            <w:r>
              <w:rPr>
                <w:rFonts w:ascii="Arial" w:cs="Arial" w:eastAsia="Arial" w:hAnsi="Arial"/>
                <w:sz w:val="18"/>
                <w:szCs w:val="18"/>
                <w:color w:val="auto"/>
              </w:rPr>
              <w:t>F-1</w:t>
            </w:r>
          </w:p>
        </w:tc>
        <w:tc>
          <w:tcPr>
            <w:tcW w:w="7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5"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PMV Pharmaceuticals, Inc.</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6"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We have audited the accompanying balance sheets of PMV Pharmaceuticals, Inc. (the Company) as of December 31, 2018 and 2019, the related statements of operations and comprehensive loss, changes in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2018 and 2019, and the results of its operations and its cash flows for the years then ended, in conformity with U.S. generally accepted accounting principles.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06"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2017.</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Philadelphia, Pennsylvania</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26, 2020</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40"/>
          </w:cols>
          <w:pgMar w:left="320" w:top="455" w:right="5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PMV Pharmaceuticals, Inc.</w:t>
      </w:r>
    </w:p>
    <w:p>
      <w:pPr>
        <w:spacing w:after="0" w:line="104"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2"/>
        </w:trPr>
        <w:tc>
          <w:tcPr>
            <w:tcW w:w="83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83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30,307</w:t>
            </w:r>
          </w:p>
        </w:tc>
        <w:tc>
          <w:tcPr>
            <w:tcW w:w="4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73,278</w:t>
            </w: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Short-term marketable securities</w:t>
            </w:r>
          </w:p>
        </w:tc>
        <w:tc>
          <w:tcPr>
            <w:tcW w:w="200" w:type="dxa"/>
            <w:vAlign w:val="bottom"/>
          </w:tcPr>
          <w:p>
            <w:pPr>
              <w:spacing w:after="0"/>
              <w:rPr>
                <w:sz w:val="17"/>
                <w:szCs w:val="17"/>
                <w:color w:val="auto"/>
              </w:rPr>
            </w:pP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31,600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28,208</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332</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9"/>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62,239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1,018</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9"/>
        </w:trPr>
        <w:tc>
          <w:tcPr>
            <w:tcW w:w="836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63,458</w:t>
            </w:r>
          </w:p>
        </w:tc>
        <w:tc>
          <w:tcPr>
            <w:tcW w:w="4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103,033</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1,038</w:t>
            </w:r>
          </w:p>
        </w:tc>
        <w:tc>
          <w:tcPr>
            <w:tcW w:w="4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1,289</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09"/>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7"/>
        </w:trPr>
        <w:tc>
          <w:tcPr>
            <w:tcW w:w="8360" w:type="dxa"/>
            <w:vAlign w:val="bottom"/>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(see Note 6)</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8360" w:type="dxa"/>
            <w:vAlign w:val="bottom"/>
          </w:tcPr>
          <w:p>
            <w:pPr>
              <w:spacing w:after="0" w:line="180" w:lineRule="exact"/>
              <w:rPr>
                <w:sz w:val="20"/>
                <w:szCs w:val="20"/>
                <w:color w:val="auto"/>
              </w:rPr>
            </w:pPr>
            <w:r>
              <w:rPr>
                <w:rFonts w:ascii="Arial" w:cs="Arial" w:eastAsia="Arial" w:hAnsi="Arial"/>
                <w:sz w:val="18"/>
                <w:szCs w:val="18"/>
                <w:color w:val="auto"/>
              </w:rPr>
              <w:t>Convertible preferred stock, accumulated liquidation value of $107,512 and $169,385 at</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360" w:type="dxa"/>
            <w:vAlign w:val="bottom"/>
          </w:tcPr>
          <w:p>
            <w:pPr>
              <w:ind w:left="180"/>
              <w:spacing w:after="0"/>
              <w:rPr>
                <w:sz w:val="20"/>
                <w:szCs w:val="20"/>
                <w:color w:val="auto"/>
              </w:rPr>
            </w:pPr>
            <w:r>
              <w:rPr>
                <w:rFonts w:ascii="Arial" w:cs="Arial" w:eastAsia="Arial" w:hAnsi="Arial"/>
                <w:sz w:val="18"/>
                <w:szCs w:val="18"/>
                <w:color w:val="auto"/>
              </w:rPr>
              <w:t>December 31, 2018 and 2019, respectively (see Note 7)</w:t>
            </w:r>
          </w:p>
        </w:tc>
        <w:tc>
          <w:tcPr>
            <w:tcW w:w="2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107,228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168,933</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360" w:type="dxa"/>
            <w:vAlign w:val="bottom"/>
          </w:tcPr>
          <w:p>
            <w:pPr>
              <w:ind w:left="360"/>
              <w:spacing w:after="0" w:line="180" w:lineRule="exact"/>
              <w:rPr>
                <w:sz w:val="20"/>
                <w:szCs w:val="20"/>
                <w:color w:val="auto"/>
              </w:rPr>
            </w:pPr>
            <w:r>
              <w:rPr>
                <w:rFonts w:ascii="Arial" w:cs="Arial" w:eastAsia="Arial" w:hAnsi="Arial"/>
                <w:sz w:val="18"/>
                <w:szCs w:val="18"/>
                <w:color w:val="auto"/>
              </w:rPr>
              <w:t>Common stock, $0.00001 par value, 130,000,000 and 175,068,944 shares authorized;</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540"/>
              <w:spacing w:after="0" w:line="202" w:lineRule="exact"/>
              <w:rPr>
                <w:sz w:val="20"/>
                <w:szCs w:val="20"/>
                <w:color w:val="auto"/>
              </w:rPr>
            </w:pPr>
            <w:r>
              <w:rPr>
                <w:rFonts w:ascii="Arial" w:cs="Arial" w:eastAsia="Arial" w:hAnsi="Arial"/>
                <w:sz w:val="18"/>
                <w:szCs w:val="18"/>
                <w:color w:val="auto"/>
              </w:rPr>
              <w:t>15,860,018 and 16,038,590 shares issued and outstanding at December 31, 2018 and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60" w:type="dxa"/>
            <w:vAlign w:val="bottom"/>
          </w:tcPr>
          <w:p>
            <w:pPr>
              <w:ind w:left="540"/>
              <w:spacing w:after="0"/>
              <w:rPr>
                <w:sz w:val="20"/>
                <w:szCs w:val="20"/>
                <w:color w:val="auto"/>
              </w:rPr>
            </w:pPr>
            <w:r>
              <w:rPr>
                <w:rFonts w:ascii="Arial" w:cs="Arial" w:eastAsia="Arial" w:hAnsi="Arial"/>
                <w:sz w:val="18"/>
                <w:szCs w:val="18"/>
                <w:color w:val="auto"/>
              </w:rPr>
              <w:t>2019, respectively</w:t>
            </w:r>
          </w:p>
        </w:tc>
        <w:tc>
          <w:tcPr>
            <w:tcW w:w="2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3,961</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4,969</w:t>
            </w: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(50,088)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(75,440)</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360" w:type="dxa"/>
            <w:vAlign w:val="bottom"/>
          </w:tcPr>
          <w:p>
            <w:pPr>
              <w:ind w:left="720"/>
              <w:spacing w:after="0"/>
              <w:rPr>
                <w:sz w:val="20"/>
                <w:szCs w:val="20"/>
                <w:color w:val="auto"/>
              </w:rPr>
            </w:pPr>
            <w:r>
              <w:rPr>
                <w:rFonts w:ascii="Arial" w:cs="Arial" w:eastAsia="Arial" w:hAnsi="Arial"/>
                <w:sz w:val="18"/>
                <w:szCs w:val="18"/>
                <w:color w:val="auto"/>
              </w:rPr>
              <w:t>Total stockholders’ deficit</w:t>
            </w: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(46,140)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convertible preferred stock, and stockholders’ deficit</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63,458</w:t>
            </w:r>
          </w:p>
        </w:tc>
        <w:tc>
          <w:tcPr>
            <w:tcW w:w="4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103,033</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5" w:right="43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04"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841"/>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7960" w:type="dxa"/>
            <w:vAlign w:val="bottom"/>
          </w:tcPr>
          <w:p>
            <w:pPr>
              <w:spacing w:after="0"/>
              <w:rPr>
                <w:sz w:val="14"/>
                <w:szCs w:val="14"/>
                <w:color w:val="auto"/>
              </w:rPr>
            </w:pPr>
          </w:p>
        </w:tc>
        <w:tc>
          <w:tcPr>
            <w:tcW w:w="1840" w:type="dxa"/>
            <w:vAlign w:val="bottom"/>
            <w:gridSpan w:val="3"/>
          </w:tcPr>
          <w:p>
            <w:pPr>
              <w:jc w:val="center"/>
              <w:ind w:right="741"/>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79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83"/>
        </w:trPr>
        <w:tc>
          <w:tcPr>
            <w:tcW w:w="79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796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741"/>
              <w:spacing w:after="0" w:line="202" w:lineRule="exact"/>
              <w:rPr>
                <w:sz w:val="20"/>
                <w:szCs w:val="20"/>
                <w:color w:val="auto"/>
              </w:rPr>
            </w:pPr>
            <w:r>
              <w:rPr>
                <w:rFonts w:ascii="Arial" w:cs="Arial" w:eastAsia="Arial" w:hAnsi="Arial"/>
                <w:sz w:val="18"/>
                <w:szCs w:val="18"/>
                <w:color w:val="auto"/>
              </w:rPr>
              <w:t>13,853</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20,759</w:t>
            </w:r>
          </w:p>
        </w:tc>
      </w:tr>
      <w:tr>
        <w:trPr>
          <w:trHeight w:val="203"/>
        </w:trPr>
        <w:tc>
          <w:tcPr>
            <w:tcW w:w="7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741"/>
              <w:spacing w:after="0" w:line="202" w:lineRule="exact"/>
              <w:rPr>
                <w:sz w:val="20"/>
                <w:szCs w:val="20"/>
                <w:color w:val="auto"/>
              </w:rPr>
            </w:pPr>
            <w:r>
              <w:rPr>
                <w:rFonts w:ascii="Arial" w:cs="Arial" w:eastAsia="Arial" w:hAnsi="Arial"/>
                <w:sz w:val="18"/>
                <w:szCs w:val="18"/>
                <w:color w:val="auto"/>
              </w:rPr>
              <w:t>5,039</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5,878</w:t>
            </w:r>
          </w:p>
        </w:tc>
      </w:tr>
      <w:tr>
        <w:trPr>
          <w:trHeight w:val="216"/>
        </w:trPr>
        <w:tc>
          <w:tcPr>
            <w:tcW w:w="79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18,892</w:t>
            </w:r>
          </w:p>
        </w:tc>
        <w:tc>
          <w:tcPr>
            <w:tcW w:w="8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26,637</w:t>
            </w:r>
          </w:p>
        </w:tc>
        <w:tc>
          <w:tcPr>
            <w:tcW w:w="120" w:type="dxa"/>
            <w:vAlign w:val="bottom"/>
          </w:tcPr>
          <w:p>
            <w:pPr>
              <w:spacing w:after="0"/>
              <w:rPr>
                <w:sz w:val="18"/>
                <w:szCs w:val="18"/>
                <w:color w:val="auto"/>
              </w:rPr>
            </w:pPr>
          </w:p>
        </w:tc>
      </w:tr>
      <w:tr>
        <w:trPr>
          <w:trHeight w:val="203"/>
        </w:trPr>
        <w:tc>
          <w:tcPr>
            <w:tcW w:w="7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81"/>
              <w:spacing w:after="0" w:line="202" w:lineRule="exact"/>
              <w:rPr>
                <w:sz w:val="20"/>
                <w:szCs w:val="20"/>
                <w:color w:val="auto"/>
              </w:rPr>
            </w:pPr>
            <w:r>
              <w:rPr>
                <w:rFonts w:ascii="Arial" w:cs="Arial" w:eastAsia="Arial" w:hAnsi="Arial"/>
                <w:sz w:val="18"/>
                <w:szCs w:val="18"/>
                <w:color w:val="auto"/>
              </w:rPr>
              <w:t>(18,892)</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(26,637)</w:t>
            </w:r>
          </w:p>
        </w:tc>
      </w:tr>
      <w:tr>
        <w:trPr>
          <w:trHeight w:val="203"/>
        </w:trPr>
        <w:tc>
          <w:tcPr>
            <w:tcW w:w="796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741"/>
              <w:spacing w:after="0" w:line="202" w:lineRule="exact"/>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1,301</w:t>
            </w:r>
          </w:p>
        </w:tc>
      </w:tr>
      <w:tr>
        <w:trPr>
          <w:trHeight w:val="210"/>
        </w:trPr>
        <w:tc>
          <w:tcPr>
            <w:tcW w:w="7960" w:type="dxa"/>
            <w:vAlign w:val="bottom"/>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w:t>
            </w:r>
          </w:p>
        </w:tc>
      </w:tr>
      <w:tr>
        <w:trPr>
          <w:trHeight w:val="203"/>
        </w:trPr>
        <w:tc>
          <w:tcPr>
            <w:tcW w:w="79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other income (expense)</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1,357</w:t>
            </w:r>
          </w:p>
        </w:tc>
        <w:tc>
          <w:tcPr>
            <w:tcW w:w="8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1,293</w:t>
            </w:r>
          </w:p>
        </w:tc>
        <w:tc>
          <w:tcPr>
            <w:tcW w:w="120" w:type="dxa"/>
            <w:vAlign w:val="bottom"/>
            <w:shd w:val="clear" w:color="auto" w:fill="CCEEFF"/>
          </w:tcPr>
          <w:p>
            <w:pPr>
              <w:spacing w:after="0"/>
              <w:rPr>
                <w:sz w:val="17"/>
                <w:szCs w:val="17"/>
                <w:color w:val="auto"/>
              </w:rPr>
            </w:pPr>
          </w:p>
        </w:tc>
      </w:tr>
      <w:tr>
        <w:trPr>
          <w:trHeight w:val="209"/>
        </w:trPr>
        <w:tc>
          <w:tcPr>
            <w:tcW w:w="7960" w:type="dxa"/>
            <w:vAlign w:val="bottom"/>
          </w:tcPr>
          <w:p>
            <w:pPr>
              <w:ind w:left="360"/>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(17,535)</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(25,344)</w:t>
            </w:r>
          </w:p>
        </w:tc>
        <w:tc>
          <w:tcPr>
            <w:tcW w:w="120" w:type="dxa"/>
            <w:vAlign w:val="bottom"/>
          </w:tcPr>
          <w:p>
            <w:pPr>
              <w:spacing w:after="0"/>
              <w:rPr>
                <w:sz w:val="18"/>
                <w:szCs w:val="18"/>
                <w:color w:val="auto"/>
              </w:rPr>
            </w:pPr>
          </w:p>
        </w:tc>
      </w:tr>
      <w:tr>
        <w:trPr>
          <w:trHeight w:val="203"/>
        </w:trPr>
        <w:tc>
          <w:tcPr>
            <w:tcW w:w="79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741"/>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w:t>
            </w:r>
          </w:p>
        </w:tc>
      </w:tr>
      <w:tr>
        <w:trPr>
          <w:trHeight w:val="209"/>
        </w:trPr>
        <w:tc>
          <w:tcPr>
            <w:tcW w:w="79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(17,538)</w:t>
            </w:r>
          </w:p>
        </w:tc>
        <w:tc>
          <w:tcPr>
            <w:tcW w:w="8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(25,352)</w:t>
            </w:r>
          </w:p>
        </w:tc>
        <w:tc>
          <w:tcPr>
            <w:tcW w:w="120" w:type="dxa"/>
            <w:vAlign w:val="bottom"/>
          </w:tcPr>
          <w:p>
            <w:pPr>
              <w:spacing w:after="0"/>
              <w:rPr>
                <w:sz w:val="18"/>
                <w:szCs w:val="18"/>
                <w:color w:val="auto"/>
              </w:rPr>
            </w:pPr>
          </w:p>
        </w:tc>
      </w:tr>
      <w:tr>
        <w:trPr>
          <w:trHeight w:val="203"/>
        </w:trPr>
        <w:tc>
          <w:tcPr>
            <w:tcW w:w="7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Unrealized gains on marketable securities, net of tax</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741"/>
              <w:spacing w:after="0" w:line="202" w:lineRule="exact"/>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w:t>
            </w:r>
          </w:p>
        </w:tc>
      </w:tr>
      <w:tr>
        <w:trPr>
          <w:trHeight w:val="210"/>
        </w:trPr>
        <w:tc>
          <w:tcPr>
            <w:tcW w:w="7960" w:type="dxa"/>
            <w:vAlign w:val="bottom"/>
          </w:tcPr>
          <w:p>
            <w:pPr>
              <w:ind w:left="360"/>
              <w:spacing w:after="0"/>
              <w:rPr>
                <w:sz w:val="20"/>
                <w:szCs w:val="20"/>
                <w:color w:val="auto"/>
              </w:rPr>
            </w:pPr>
            <w:r>
              <w:rPr>
                <w:rFonts w:ascii="Arial" w:cs="Arial" w:eastAsia="Arial" w:hAnsi="Arial"/>
                <w:sz w:val="18"/>
                <w:szCs w:val="18"/>
                <w:color w:val="auto"/>
              </w:rPr>
              <w:t>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(17,486</w:t>
            </w:r>
          </w:p>
        </w:tc>
        <w:tc>
          <w:tcPr>
            <w:tcW w:w="820" w:type="dxa"/>
            <w:vAlign w:val="bottom"/>
          </w:tcPr>
          <w:p>
            <w:pPr>
              <w:jc w:val="right"/>
              <w:ind w:right="6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(25,342)</w:t>
            </w:r>
          </w:p>
        </w:tc>
        <w:tc>
          <w:tcPr>
            <w:tcW w:w="120" w:type="dxa"/>
            <w:vAlign w:val="bottom"/>
          </w:tcPr>
          <w:p>
            <w:pPr>
              <w:spacing w:after="0"/>
              <w:rPr>
                <w:sz w:val="18"/>
                <w:szCs w:val="18"/>
                <w:color w:val="auto"/>
              </w:rPr>
            </w:pPr>
          </w:p>
        </w:tc>
      </w:tr>
      <w:tr>
        <w:trPr>
          <w:trHeight w:val="20"/>
        </w:trPr>
        <w:tc>
          <w:tcPr>
            <w:tcW w:w="7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96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Net loss per share—basic and diluted</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681"/>
              <w:spacing w:after="0" w:line="196" w:lineRule="exact"/>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(1.59)</w:t>
            </w:r>
          </w:p>
        </w:tc>
      </w:tr>
      <w:tr>
        <w:trPr>
          <w:trHeight w:val="203"/>
        </w:trPr>
        <w:tc>
          <w:tcPr>
            <w:tcW w:w="7960" w:type="dxa"/>
            <w:vAlign w:val="bottom"/>
          </w:tcPr>
          <w:p>
            <w:pPr>
              <w:ind w:left="360"/>
              <w:spacing w:after="0" w:line="202" w:lineRule="exact"/>
              <w:rPr>
                <w:sz w:val="20"/>
                <w:szCs w:val="20"/>
                <w:color w:val="auto"/>
              </w:rPr>
            </w:pPr>
            <w:r>
              <w:rPr>
                <w:rFonts w:ascii="Arial" w:cs="Arial" w:eastAsia="Arial" w:hAnsi="Arial"/>
                <w:sz w:val="18"/>
                <w:szCs w:val="18"/>
                <w:color w:val="auto"/>
              </w:rPr>
              <w:t>Weighted-average common shares outstanding</w:t>
            </w:r>
          </w:p>
        </w:tc>
        <w:tc>
          <w:tcPr>
            <w:tcW w:w="100" w:type="dxa"/>
            <w:vAlign w:val="bottom"/>
          </w:tcPr>
          <w:p>
            <w:pPr>
              <w:spacing w:after="0"/>
              <w:rPr>
                <w:sz w:val="17"/>
                <w:szCs w:val="17"/>
                <w:color w:val="auto"/>
              </w:rPr>
            </w:pPr>
          </w:p>
        </w:tc>
        <w:tc>
          <w:tcPr>
            <w:tcW w:w="1740" w:type="dxa"/>
            <w:vAlign w:val="bottom"/>
            <w:gridSpan w:val="2"/>
          </w:tcPr>
          <w:p>
            <w:pPr>
              <w:jc w:val="right"/>
              <w:ind w:right="741"/>
              <w:spacing w:after="0" w:line="202" w:lineRule="exact"/>
              <w:rPr>
                <w:sz w:val="20"/>
                <w:szCs w:val="20"/>
                <w:color w:val="auto"/>
              </w:rPr>
            </w:pPr>
            <w:r>
              <w:rPr>
                <w:rFonts w:ascii="Arial" w:cs="Arial" w:eastAsia="Arial" w:hAnsi="Arial"/>
                <w:sz w:val="18"/>
                <w:szCs w:val="18"/>
                <w:color w:val="auto"/>
                <w:w w:val="99"/>
              </w:rPr>
              <w:t>15,860,018</w:t>
            </w:r>
          </w:p>
        </w:tc>
        <w:tc>
          <w:tcPr>
            <w:tcW w:w="10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15,980,859</w:t>
            </w:r>
          </w:p>
        </w:tc>
      </w:tr>
      <w:tr>
        <w:trPr>
          <w:trHeight w:val="202"/>
        </w:trPr>
        <w:tc>
          <w:tcPr>
            <w:tcW w:w="7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 forma net loss per share—basic and diluted (unaudited)</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(0.23)</w:t>
            </w:r>
          </w:p>
        </w:tc>
      </w:tr>
      <w:tr>
        <w:trPr>
          <w:trHeight w:val="243"/>
        </w:trPr>
        <w:tc>
          <w:tcPr>
            <w:tcW w:w="7960" w:type="dxa"/>
            <w:vAlign w:val="bottom"/>
          </w:tcPr>
          <w:p>
            <w:pPr>
              <w:ind w:left="360"/>
              <w:spacing w:after="0"/>
              <w:rPr>
                <w:sz w:val="20"/>
                <w:szCs w:val="20"/>
                <w:color w:val="auto"/>
              </w:rPr>
            </w:pPr>
            <w:r>
              <w:rPr>
                <w:rFonts w:ascii="Arial" w:cs="Arial" w:eastAsia="Arial" w:hAnsi="Arial"/>
                <w:sz w:val="18"/>
                <w:szCs w:val="18"/>
                <w:color w:val="auto"/>
              </w:rPr>
              <w:t>Pro forma weighted-average common shares outstanding (unaudited)</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111,520,898</w:t>
            </w:r>
          </w:p>
        </w:tc>
      </w:tr>
    </w:tbl>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5" w:right="43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PMV Pharmaceuticals, Inc.</w:t>
      </w:r>
    </w:p>
    <w:p>
      <w:pPr>
        <w:spacing w:after="0" w:line="104" w:lineRule="exact"/>
        <w:rPr>
          <w:sz w:val="20"/>
          <w:szCs w:val="20"/>
          <w:color w:val="auto"/>
        </w:rPr>
      </w:pPr>
    </w:p>
    <w:p>
      <w:pPr>
        <w:jc w:val="right"/>
        <w:ind w:right="2540"/>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amounts)</w:t>
      </w:r>
    </w:p>
    <w:p>
      <w:pPr>
        <w:sectPr>
          <w:pgSz w:w="11900" w:h="16838" w:orient="portrait"/>
          <w:cols w:equalWidth="0" w:num="1">
            <w:col w:w="11080"/>
          </w:cols>
          <w:pgMar w:left="320" w:top="455" w:right="499" w:bottom="1440" w:gutter="0" w:footer="0" w:header="0"/>
        </w:sectPr>
      </w:pP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2040" w:type="dxa"/>
            <w:vAlign w:val="bottom"/>
            <w:gridSpan w:val="3"/>
          </w:tcPr>
          <w:p>
            <w:pPr>
              <w:jc w:val="right"/>
              <w:ind w:right="532"/>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7"/>
        </w:trPr>
        <w:tc>
          <w:tcPr>
            <w:tcW w:w="2160" w:type="dxa"/>
            <w:vAlign w:val="bottom"/>
          </w:tcPr>
          <w:p>
            <w:pPr>
              <w:spacing w:after="0"/>
              <w:rPr>
                <w:sz w:val="15"/>
                <w:szCs w:val="15"/>
                <w:color w:val="auto"/>
              </w:rPr>
            </w:pPr>
          </w:p>
        </w:tc>
        <w:tc>
          <w:tcPr>
            <w:tcW w:w="204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209"/>
        </w:trPr>
        <w:tc>
          <w:tcPr>
            <w:tcW w:w="2160" w:type="dxa"/>
            <w:vAlign w:val="bottom"/>
            <w:vMerge w:val="restart"/>
          </w:tcPr>
          <w:p>
            <w:pPr>
              <w:spacing w:after="0"/>
              <w:rPr>
                <w:sz w:val="20"/>
                <w:szCs w:val="20"/>
                <w:color w:val="auto"/>
              </w:rPr>
            </w:pPr>
            <w:r>
              <w:rPr>
                <w:rFonts w:ascii="Arial" w:cs="Arial" w:eastAsia="Arial" w:hAnsi="Arial"/>
                <w:sz w:val="18"/>
                <w:szCs w:val="18"/>
                <w:color w:val="auto"/>
              </w:rPr>
              <w:t>Balances at December</w:t>
            </w: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0"/>
        </w:trPr>
        <w:tc>
          <w:tcPr>
            <w:tcW w:w="216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31, 2017</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91,595,100</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$107,228</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Stock-based</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compensation expense</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Unrealized gain on</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available for sale</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16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2160" w:type="dxa"/>
            <w:vAlign w:val="bottom"/>
          </w:tcPr>
          <w:p>
            <w:pPr>
              <w:spacing w:after="0" w:line="187" w:lineRule="exact"/>
              <w:rPr>
                <w:sz w:val="20"/>
                <w:szCs w:val="20"/>
                <w:color w:val="auto"/>
              </w:rPr>
            </w:pPr>
            <w:r>
              <w:rPr>
                <w:rFonts w:ascii="Arial" w:cs="Arial" w:eastAsia="Arial" w:hAnsi="Arial"/>
                <w:sz w:val="18"/>
                <w:szCs w:val="18"/>
                <w:color w:val="auto"/>
              </w:rPr>
              <w:t>Balances at December</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160" w:type="dxa"/>
            <w:vAlign w:val="bottom"/>
          </w:tcPr>
          <w:p>
            <w:pPr>
              <w:ind w:left="180"/>
              <w:spacing w:after="0"/>
              <w:rPr>
                <w:sz w:val="20"/>
                <w:szCs w:val="20"/>
                <w:color w:val="auto"/>
              </w:rPr>
            </w:pPr>
            <w:r>
              <w:rPr>
                <w:rFonts w:ascii="Arial" w:cs="Arial" w:eastAsia="Arial" w:hAnsi="Arial"/>
                <w:sz w:val="18"/>
                <w:szCs w:val="18"/>
                <w:color w:val="auto"/>
              </w:rPr>
              <w:t>31, 2018</w:t>
            </w:r>
          </w:p>
        </w:tc>
        <w:tc>
          <w:tcPr>
            <w:tcW w:w="1080" w:type="dxa"/>
            <w:vAlign w:val="bottom"/>
          </w:tcPr>
          <w:p>
            <w:pPr>
              <w:jc w:val="right"/>
              <w:spacing w:after="0"/>
              <w:rPr>
                <w:sz w:val="20"/>
                <w:szCs w:val="20"/>
                <w:color w:val="auto"/>
              </w:rPr>
            </w:pPr>
            <w:r>
              <w:rPr>
                <w:rFonts w:ascii="Arial" w:cs="Arial" w:eastAsia="Arial" w:hAnsi="Arial"/>
                <w:sz w:val="18"/>
                <w:szCs w:val="18"/>
                <w:color w:val="auto"/>
              </w:rPr>
              <w:t>91,595,100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107,228</w:t>
            </w:r>
          </w:p>
        </w:tc>
        <w:tc>
          <w:tcPr>
            <w:tcW w:w="0" w:type="dxa"/>
            <w:vAlign w:val="bottom"/>
          </w:tcPr>
          <w:p>
            <w:pPr>
              <w:spacing w:after="0"/>
              <w:rPr>
                <w:sz w:val="1"/>
                <w:szCs w:val="1"/>
                <w:color w:val="auto"/>
              </w:rPr>
            </w:pPr>
          </w:p>
        </w:tc>
      </w:tr>
      <w:tr>
        <w:trPr>
          <w:trHeight w:val="187"/>
        </w:trPr>
        <w:tc>
          <w:tcPr>
            <w:tcW w:w="2160" w:type="dxa"/>
            <w:vAlign w:val="bottom"/>
          </w:tcPr>
          <w:p>
            <w:pPr>
              <w:spacing w:after="0" w:line="187" w:lineRule="exact"/>
              <w:rPr>
                <w:sz w:val="20"/>
                <w:szCs w:val="20"/>
                <w:color w:val="auto"/>
              </w:rPr>
            </w:pPr>
            <w:r>
              <w:rPr>
                <w:rFonts w:ascii="Arial" w:cs="Arial" w:eastAsia="Arial" w:hAnsi="Arial"/>
                <w:sz w:val="18"/>
                <w:szCs w:val="18"/>
                <w:color w:val="auto"/>
              </w:rPr>
              <w:t>Issuance of Series C</w:t>
            </w:r>
          </w:p>
        </w:tc>
        <w:tc>
          <w:tcPr>
            <w:tcW w:w="10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convertible preferred</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stock, net of issuance</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costs of $168</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28,798,050</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61,705</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Exercise of stock options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Stock-based</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compensation expense</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Unrealized gain on</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available for sale</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16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2160" w:type="dxa"/>
            <w:vAlign w:val="bottom"/>
          </w:tcPr>
          <w:p>
            <w:pPr>
              <w:spacing w:after="0" w:line="187" w:lineRule="exact"/>
              <w:rPr>
                <w:sz w:val="20"/>
                <w:szCs w:val="20"/>
                <w:color w:val="auto"/>
              </w:rPr>
            </w:pPr>
            <w:r>
              <w:rPr>
                <w:rFonts w:ascii="Arial" w:cs="Arial" w:eastAsia="Arial" w:hAnsi="Arial"/>
                <w:sz w:val="18"/>
                <w:szCs w:val="18"/>
                <w:color w:val="auto"/>
              </w:rPr>
              <w:t>Balances at December</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160" w:type="dxa"/>
            <w:vAlign w:val="bottom"/>
          </w:tcPr>
          <w:p>
            <w:pPr>
              <w:ind w:left="180"/>
              <w:spacing w:after="0"/>
              <w:rPr>
                <w:sz w:val="20"/>
                <w:szCs w:val="20"/>
                <w:color w:val="auto"/>
              </w:rPr>
            </w:pPr>
            <w:r>
              <w:rPr>
                <w:rFonts w:ascii="Arial" w:cs="Arial" w:eastAsia="Arial" w:hAnsi="Arial"/>
                <w:sz w:val="18"/>
                <w:szCs w:val="18"/>
                <w:color w:val="auto"/>
              </w:rPr>
              <w:t>31, 2019</w:t>
            </w:r>
          </w:p>
        </w:tc>
        <w:tc>
          <w:tcPr>
            <w:tcW w:w="1080" w:type="dxa"/>
            <w:vAlign w:val="bottom"/>
          </w:tcPr>
          <w:p>
            <w:pPr>
              <w:jc w:val="right"/>
              <w:spacing w:after="0"/>
              <w:rPr>
                <w:sz w:val="20"/>
                <w:szCs w:val="20"/>
                <w:color w:val="auto"/>
              </w:rPr>
            </w:pPr>
            <w:r>
              <w:rPr>
                <w:rFonts w:ascii="Arial" w:cs="Arial" w:eastAsia="Arial" w:hAnsi="Arial"/>
                <w:sz w:val="18"/>
                <w:szCs w:val="18"/>
                <w:color w:val="auto"/>
              </w:rPr>
              <w:t>120,393,150</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168,933</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gridSpan w:val="3"/>
            <w:vMerge w:val="restart"/>
          </w:tcPr>
          <w:p>
            <w:pPr>
              <w:jc w:val="right"/>
              <w:ind w:right="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0"/>
        </w:trPr>
        <w:tc>
          <w:tcPr>
            <w:tcW w:w="1460" w:type="dxa"/>
            <w:vAlign w:val="bottom"/>
            <w:tcBorders>
              <w:bottom w:val="single" w:sz="8" w:color="auto"/>
            </w:tcBorders>
            <w:gridSpan w:val="3"/>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9"/>
                <w:szCs w:val="9"/>
                <w:color w:val="auto"/>
              </w:rPr>
            </w:pPr>
          </w:p>
        </w:tc>
        <w:tc>
          <w:tcPr>
            <w:tcW w:w="13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2"/>
        </w:trPr>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960" w:type="dxa"/>
            <w:vAlign w:val="bottom"/>
          </w:tcPr>
          <w:p>
            <w:pPr>
              <w:jc w:val="right"/>
              <w:ind w:right="153"/>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960" w:type="dxa"/>
            <w:vAlign w:val="bottom"/>
          </w:tcPr>
          <w:p>
            <w:pPr>
              <w:jc w:val="right"/>
              <w:spacing w:after="0"/>
              <w:rPr>
                <w:sz w:val="20"/>
                <w:szCs w:val="20"/>
                <w:color w:val="auto"/>
              </w:rPr>
            </w:pPr>
            <w:r>
              <w:rPr>
                <w:rFonts w:ascii="Arial" w:cs="Arial" w:eastAsia="Arial" w:hAnsi="Arial"/>
                <w:sz w:val="18"/>
                <w:szCs w:val="18"/>
                <w:color w:val="auto"/>
              </w:rPr>
              <w:t>15,860,018</w:t>
            </w:r>
          </w:p>
        </w:tc>
        <w:tc>
          <w:tcPr>
            <w:tcW w:w="5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2,882</w:t>
            </w:r>
          </w:p>
        </w:tc>
        <w:tc>
          <w:tcPr>
            <w:tcW w:w="3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(32,550)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(29,733)</w:t>
            </w:r>
          </w:p>
        </w:tc>
        <w:tc>
          <w:tcPr>
            <w:tcW w:w="0" w:type="dxa"/>
            <w:vAlign w:val="bottom"/>
          </w:tcPr>
          <w:p>
            <w:pPr>
              <w:spacing w:after="0"/>
              <w:rPr>
                <w:sz w:val="1"/>
                <w:szCs w:val="1"/>
                <w:color w:val="auto"/>
              </w:rPr>
            </w:pPr>
          </w:p>
        </w:tc>
      </w:tr>
      <w:tr>
        <w:trPr>
          <w:trHeight w:val="365"/>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(17,538)</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(17,538)</w:t>
            </w:r>
          </w:p>
        </w:tc>
        <w:tc>
          <w:tcPr>
            <w:tcW w:w="0" w:type="dxa"/>
            <w:vAlign w:val="bottom"/>
          </w:tcPr>
          <w:p>
            <w:pPr>
              <w:spacing w:after="0"/>
              <w:rPr>
                <w:sz w:val="1"/>
                <w:szCs w:val="1"/>
                <w:color w:val="auto"/>
              </w:rPr>
            </w:pPr>
          </w:p>
        </w:tc>
      </w:tr>
      <w:tr>
        <w:trPr>
          <w:trHeight w:val="59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jc w:val="right"/>
              <w:spacing w:after="0"/>
              <w:rPr>
                <w:sz w:val="20"/>
                <w:szCs w:val="20"/>
                <w:color w:val="auto"/>
              </w:rPr>
            </w:pPr>
            <w:r>
              <w:rPr>
                <w:rFonts w:ascii="Arial" w:cs="Arial" w:eastAsia="Arial" w:hAnsi="Arial"/>
                <w:sz w:val="18"/>
                <w:szCs w:val="18"/>
                <w:color w:val="auto"/>
              </w:rPr>
              <w:t>15,860,018</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3,961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(50,088)</w:t>
            </w:r>
          </w:p>
        </w:tc>
        <w:tc>
          <w:tcPr>
            <w:tcW w:w="1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(46,140)</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8"/>
                <w:szCs w:val="18"/>
                <w:color w:val="auto"/>
              </w:rPr>
              <w:t>178,572</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5"/>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(25,352)</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(25,352)</w:t>
            </w:r>
          </w:p>
        </w:tc>
        <w:tc>
          <w:tcPr>
            <w:tcW w:w="0" w:type="dxa"/>
            <w:vAlign w:val="bottom"/>
          </w:tcPr>
          <w:p>
            <w:pPr>
              <w:spacing w:after="0"/>
              <w:rPr>
                <w:sz w:val="1"/>
                <w:szCs w:val="1"/>
                <w:color w:val="auto"/>
              </w:rPr>
            </w:pPr>
          </w:p>
        </w:tc>
      </w:tr>
      <w:tr>
        <w:trPr>
          <w:trHeight w:val="59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jc w:val="right"/>
              <w:spacing w:after="0"/>
              <w:rPr>
                <w:sz w:val="20"/>
                <w:szCs w:val="20"/>
                <w:color w:val="auto"/>
              </w:rPr>
            </w:pPr>
            <w:r>
              <w:rPr>
                <w:rFonts w:ascii="Arial" w:cs="Arial" w:eastAsia="Arial" w:hAnsi="Arial"/>
                <w:sz w:val="18"/>
                <w:szCs w:val="18"/>
                <w:color w:val="auto"/>
              </w:rPr>
              <w:t>16,038,590</w:t>
            </w:r>
          </w:p>
        </w:tc>
        <w:tc>
          <w:tcPr>
            <w:tcW w:w="5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4,969</w:t>
            </w:r>
          </w:p>
        </w:tc>
        <w:tc>
          <w:tcPr>
            <w:tcW w:w="3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(75,440)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(70,474)</w:t>
            </w:r>
          </w:p>
        </w:tc>
        <w:tc>
          <w:tcPr>
            <w:tcW w:w="0" w:type="dxa"/>
            <w:vAlign w:val="bottom"/>
          </w:tcPr>
          <w:p>
            <w:pPr>
              <w:spacing w:after="0"/>
              <w:rPr>
                <w:sz w:val="1"/>
                <w:szCs w:val="1"/>
                <w:color w:val="auto"/>
              </w:rPr>
            </w:pPr>
          </w:p>
        </w:tc>
      </w:tr>
      <w:tr>
        <w:trPr>
          <w:trHeight w:val="20"/>
        </w:trPr>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-2961005</wp:posOffset>
            </wp:positionH>
            <wp:positionV relativeFrom="paragraph">
              <wp:posOffset>-3445510</wp:posOffset>
            </wp:positionV>
            <wp:extent cx="6995160" cy="3454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3454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460"/>
            <w:col w:w="6300"/>
          </w:cols>
          <w:pgMar w:left="320" w:top="455" w:right="499" w:bottom="1440" w:gutter="0" w:footer="0" w:header="0"/>
          <w:type w:val="continuous"/>
        </w:sectPr>
      </w:pP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80"/>
          </w:cols>
          <w:pgMar w:left="320" w:top="455" w:right="499" w:bottom="1440" w:gutter="0" w:footer="0" w:header="0"/>
          <w:type w:val="continuous"/>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PMV Pharmaceuticals, Inc.</w:t>
      </w:r>
    </w:p>
    <w:p>
      <w:pPr>
        <w:spacing w:after="0" w:line="10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Statements of Cash Flows</w:t>
      </w:r>
    </w:p>
    <w:p>
      <w:pPr>
        <w:spacing w:after="0" w:line="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83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83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(17,538)</w:t>
            </w:r>
          </w:p>
        </w:tc>
        <w:tc>
          <w:tcPr>
            <w:tcW w:w="5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(25,352)</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1,079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premiums on marketable securities</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319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7"/>
                <w:szCs w:val="17"/>
                <w:color w:val="auto"/>
              </w:rPr>
            </w:pP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267</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09"/>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(15,178)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(22,065)</w:t>
            </w:r>
          </w:p>
        </w:tc>
        <w:tc>
          <w:tcPr>
            <w:tcW w:w="0" w:type="dxa"/>
            <w:vAlign w:val="bottom"/>
          </w:tcPr>
          <w:p>
            <w:pPr>
              <w:spacing w:after="0"/>
              <w:rPr>
                <w:sz w:val="1"/>
                <w:szCs w:val="1"/>
                <w:color w:val="auto"/>
              </w:rPr>
            </w:pPr>
          </w:p>
        </w:tc>
      </w:tr>
      <w:tr>
        <w:trPr>
          <w:trHeight w:val="209"/>
        </w:trPr>
        <w:tc>
          <w:tcPr>
            <w:tcW w:w="83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of property and equipment</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(452)</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Purchase of marketable securities</w:t>
            </w:r>
          </w:p>
        </w:tc>
        <w:tc>
          <w:tcPr>
            <w:tcW w:w="220" w:type="dxa"/>
            <w:vAlign w:val="bottom"/>
          </w:tcPr>
          <w:p>
            <w:pPr>
              <w:spacing w:after="0"/>
              <w:rPr>
                <w:sz w:val="17"/>
                <w:szCs w:val="17"/>
                <w:color w:val="auto"/>
              </w:rPr>
            </w:pP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(48,678)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(43,452)</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Maturities of marketable securities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70,823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46,792</w:t>
            </w:r>
          </w:p>
        </w:tc>
        <w:tc>
          <w:tcPr>
            <w:tcW w:w="0" w:type="dxa"/>
            <w:vAlign w:val="bottom"/>
          </w:tcPr>
          <w:p>
            <w:pPr>
              <w:spacing w:after="0"/>
              <w:rPr>
                <w:sz w:val="1"/>
                <w:szCs w:val="1"/>
                <w:color w:val="auto"/>
              </w:rPr>
            </w:pPr>
          </w:p>
        </w:tc>
      </w:tr>
      <w:tr>
        <w:trPr>
          <w:trHeight w:val="217"/>
        </w:trPr>
        <w:tc>
          <w:tcPr>
            <w:tcW w:w="8360" w:type="dxa"/>
            <w:vAlign w:val="bottom"/>
          </w:tcPr>
          <w:p>
            <w:pPr>
              <w:ind w:left="1080"/>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Proceeds from issuance of convertible preferred stock</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61,873</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equity issuance costs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0"/>
        </w:trPr>
        <w:tc>
          <w:tcPr>
            <w:tcW w:w="8360" w:type="dxa"/>
            <w:vAlign w:val="bottom"/>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61,805</w:t>
            </w:r>
          </w:p>
        </w:tc>
        <w:tc>
          <w:tcPr>
            <w:tcW w:w="0" w:type="dxa"/>
            <w:vAlign w:val="bottom"/>
          </w:tcPr>
          <w:p>
            <w:pPr>
              <w:spacing w:after="0"/>
              <w:rPr>
                <w:sz w:val="1"/>
                <w:szCs w:val="1"/>
                <w:color w:val="auto"/>
              </w:rPr>
            </w:pPr>
          </w:p>
        </w:tc>
      </w:tr>
      <w:tr>
        <w:trPr>
          <w:trHeight w:val="209"/>
        </w:trPr>
        <w:tc>
          <w:tcPr>
            <w:tcW w:w="8360" w:type="dxa"/>
            <w:vAlign w:val="bottom"/>
          </w:tcPr>
          <w:p>
            <w:pPr>
              <w:ind w:left="1080"/>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line="202" w:lineRule="exact"/>
              <w:rPr>
                <w:sz w:val="20"/>
                <w:szCs w:val="20"/>
                <w:color w:val="auto"/>
              </w:rPr>
            </w:pPr>
            <w:r>
              <w:rPr>
                <w:rFonts w:ascii="Arial" w:cs="Arial" w:eastAsia="Arial" w:hAnsi="Arial"/>
                <w:sz w:val="18"/>
                <w:szCs w:val="18"/>
                <w:color w:val="auto"/>
              </w:rPr>
              <w:t>Cash and cash equivalents—beginning of period</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23,792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30,307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equivalents—end of period</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30,307</w:t>
            </w:r>
          </w:p>
        </w:tc>
        <w:tc>
          <w:tcPr>
            <w:tcW w:w="5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73,278</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paid for income tax</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5" w:right="43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2018 and 2019</w:t>
      </w: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0" w:lineRule="exact"/>
        <w:rPr>
          <w:sz w:val="20"/>
          <w:szCs w:val="20"/>
          <w:color w:val="auto"/>
        </w:rPr>
      </w:pPr>
    </w:p>
    <w:p>
      <w:pPr>
        <w:ind w:left="660" w:right="7260" w:hanging="544"/>
        <w:spacing w:after="0" w:line="360" w:lineRule="auto"/>
        <w:tabs>
          <w:tab w:leader="none" w:pos="309" w:val="left"/>
        </w:tabs>
        <w:numPr>
          <w:ilvl w:val="0"/>
          <w:numId w:val="1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Formation and Business of the Company Organization</w:t>
      </w:r>
    </w:p>
    <w:p>
      <w:pPr>
        <w:ind w:left="120" w:right="240" w:firstLine="551"/>
        <w:spacing w:after="0" w:line="248" w:lineRule="auto"/>
        <w:rPr>
          <w:sz w:val="20"/>
          <w:szCs w:val="20"/>
          <w:color w:val="auto"/>
        </w:rPr>
      </w:pPr>
      <w:r>
        <w:rPr>
          <w:rFonts w:ascii="Arial" w:cs="Arial" w:eastAsia="Arial" w:hAnsi="Arial"/>
          <w:sz w:val="18"/>
          <w:szCs w:val="18"/>
          <w:color w:val="auto"/>
        </w:rPr>
        <w:t>PMV Pharmaceuticals, Inc. (the “Company”) was incorporated in the state of Delaware in March 2013. Since inception, the Company has devoted substantially all of its time and efforts to performing research and development activities and raising capital. The Company is a precision oncology company pioneering the discovery and development of small molecule, tumor-agnostic therapies targeting p53 mutations. The Company’s headquarters are located in Cranbury, New Jersey.</w:t>
      </w:r>
    </w:p>
    <w:p>
      <w:pPr>
        <w:spacing w:after="0" w:line="170"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180"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The Company has incurred net losses and negative cash flows from operations. During the year ended December 31, 2019, the Company incurred a net loss of $25,352 and used $22,065 of cash for operations. At December 31, 2019, the Company had accumulated deficit of $75,440. Cash, cash equivalents and short-term marketable securities at December 31, 2019 were $101,486. Management expects to incur substantial additional operating losses for the next several years and will need to obtain additional debt or equity financings in order to complete development of its products, obtain regulatory approvals, launch and commercialize its products and continue research and development programs. The Company believes it has adequate cash and financial resources to operate for at least the next twelve months from the date of issuance of these financial statements.</w:t>
      </w:r>
    </w:p>
    <w:p>
      <w:pPr>
        <w:spacing w:after="0" w:line="287" w:lineRule="exact"/>
        <w:rPr>
          <w:sz w:val="20"/>
          <w:szCs w:val="20"/>
          <w:color w:val="auto"/>
        </w:rPr>
      </w:pPr>
    </w:p>
    <w:p>
      <w:pPr>
        <w:ind w:left="660" w:right="6980" w:hanging="544"/>
        <w:spacing w:after="0" w:line="360" w:lineRule="auto"/>
        <w:tabs>
          <w:tab w:leader="none" w:pos="309" w:val="left"/>
        </w:tabs>
        <w:numPr>
          <w:ilvl w:val="0"/>
          <w:numId w:val="1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Basis of Presentation</w:t>
      </w:r>
    </w:p>
    <w:p>
      <w:pPr>
        <w:ind w:left="120" w:right="180" w:firstLine="551"/>
        <w:spacing w:after="0" w:line="260" w:lineRule="auto"/>
        <w:rPr>
          <w:sz w:val="20"/>
          <w:szCs w:val="20"/>
          <w:color w:val="auto"/>
        </w:rPr>
      </w:pPr>
      <w:r>
        <w:rPr>
          <w:rFonts w:ascii="Arial" w:cs="Arial" w:eastAsia="Arial" w:hAnsi="Arial"/>
          <w:sz w:val="17"/>
          <w:szCs w:val="17"/>
          <w:color w:val="auto"/>
        </w:rPr>
        <w:t>The accompanying financial statements have been prepared in accordance with United States generally accepted accounting principles (“GAAP”). Any reference in these notes to applicable guidance is meant to refer to the authoritative GAAP as found in the Accounting Standards Codification (“ASC”) and Accounting Standards Update (“ASU”) of the Financial Accounting Standards Board (“FASB”). The accompanying financial statements have been prepared on a going concern basis, which contemplates the realization of assets and the satisfaction of liabilities and commitments in the ordinary course of business. The Company has limited operating history and its prospects are subject to risks, expenses and uncertainties frequently encountered by companies in the biotechnology industry.</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80"/>
          </w:cols>
          <w:pgMar w:left="320" w:top="455" w:right="49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2018 and 2019</w:t>
      </w: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60"/>
        <w:spacing w:after="0" w:line="245" w:lineRule="auto"/>
        <w:rPr>
          <w:sz w:val="20"/>
          <w:szCs w:val="20"/>
          <w:color w:val="auto"/>
        </w:rPr>
      </w:pPr>
      <w:r>
        <w:rPr>
          <w:rFonts w:ascii="Arial" w:cs="Arial" w:eastAsia="Arial" w:hAnsi="Arial"/>
          <w:sz w:val="18"/>
          <w:szCs w:val="18"/>
          <w:color w:val="auto"/>
        </w:rPr>
        <w:t>contingent assets and liabilities at the date of the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the fair values of common stock, convertible preferred stock and stock-based compensation. Actual results could differ materially from those estimates.</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ind w:left="120" w:right="500" w:firstLine="551"/>
        <w:spacing w:after="0" w:line="243"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79" w:lineRule="exact"/>
        <w:rPr>
          <w:sz w:val="20"/>
          <w:szCs w:val="20"/>
          <w:color w:val="auto"/>
        </w:rPr>
      </w:pPr>
    </w:p>
    <w:p>
      <w:pPr>
        <w:ind w:left="880" w:right="100" w:hanging="224"/>
        <w:spacing w:after="0" w:line="276" w:lineRule="auto"/>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Level 1 - Inputs that reflect unadjusted quoted prices in active markets for identical assets or liabilities that the Company has the ability to access at the measurement date.</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Level 2 - Inputs other than quoted prices that are observable for the asset or liability either directly or indirectly, including inputs in markets that are not considered to be active.</w:t>
      </w:r>
    </w:p>
    <w:p>
      <w:pPr>
        <w:spacing w:after="0" w:line="50"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Level 3 - Inputs are unobservable in which there is little or no market data available, which require the reporting entity to develop its own assumptions that are unobservable.</w:t>
      </w:r>
    </w:p>
    <w:p>
      <w:pPr>
        <w:spacing w:after="0" w:line="145"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considers all highly liquid investments with original maturities of three months or less to be cash equivalents.</w:t>
      </w:r>
    </w:p>
    <w:p>
      <w:pPr>
        <w:spacing w:after="0" w:line="212" w:lineRule="exact"/>
        <w:rPr>
          <w:sz w:val="20"/>
          <w:szCs w:val="20"/>
          <w:color w:val="auto"/>
        </w:rPr>
      </w:pPr>
    </w:p>
    <w:p>
      <w:pPr>
        <w:ind w:left="120" w:right="120" w:firstLine="551"/>
        <w:spacing w:after="0" w:line="241" w:lineRule="auto"/>
        <w:rPr>
          <w:sz w:val="20"/>
          <w:szCs w:val="20"/>
          <w:color w:val="auto"/>
        </w:rPr>
      </w:pPr>
      <w:r>
        <w:rPr>
          <w:rFonts w:ascii="Arial" w:cs="Arial" w:eastAsia="Arial" w:hAnsi="Arial"/>
          <w:sz w:val="18"/>
          <w:szCs w:val="18"/>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deficit. Premiums and discounts on marketable debt securities are amortized into earnings over the life of the security, which is recorded in Interest income, net. For the years ending December 31, 2018 and 2019, the Company recorded $319 and $62 of amortization, respectively.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5" w:right="43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PMV Pharmaceuticals,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2018 and 2019</w:t>
      </w: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4"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8"/>
          <w:szCs w:val="18"/>
          <w:color w:val="auto"/>
        </w:rPr>
        <w:t>Property and equipment are recorded at cost net of accumulated depreciation. Property and equipment are depreciated using the straight-line method over the estimated useful lives of the assets, generally five years, except for leasehold improvements, which are amortized over the remaining term of the lease.</w:t>
      </w:r>
    </w:p>
    <w:p>
      <w:pPr>
        <w:spacing w:after="0" w:line="164" w:lineRule="exact"/>
        <w:rPr>
          <w:sz w:val="20"/>
          <w:szCs w:val="20"/>
          <w:color w:val="auto"/>
        </w:rPr>
      </w:pPr>
    </w:p>
    <w:p>
      <w:pPr>
        <w:ind w:left="120" w:right="340" w:firstLine="551"/>
        <w:spacing w:after="0" w:line="276" w:lineRule="auto"/>
        <w:rPr>
          <w:sz w:val="20"/>
          <w:szCs w:val="20"/>
          <w:color w:val="auto"/>
        </w:rPr>
      </w:pPr>
      <w:r>
        <w:rPr>
          <w:rFonts w:ascii="Arial" w:cs="Arial" w:eastAsia="Arial" w:hAnsi="Arial"/>
          <w:sz w:val="18"/>
          <w:szCs w:val="18"/>
          <w:color w:val="auto"/>
        </w:rPr>
        <w:t>Upon retirement or sale of assets, the cost and related accumulated depreciation are removed from the balance sheet and the resulting gain or loss is reflected in operations. Repairs and maintenance costs are charged to operations as incurred.</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Long-lived assets, which are comprised of property and equipment to be held and used are tested for recoverability whenever events or changes in the business environment indicate that the carrying amount of the assets may not be fully recoverable. Factors considered by the Company when deciding when to perform an impairment review include significant underperformance of the business against expectations, significant negative industry or economic trends and significant changes or planned changes in the use of the assets. If an impairment review is performed to evaluate a long-lived asset for recoverability, the Company compares forecasts of undiscounted cash flows resulting from the use and eventual disposition of the long-lived asset to its carrying value. An impairment loss would be recognized when estimated undiscounted future cash flows resulting from the use of an asset are less than its carrying amount. The impairment loss would be based on the excess of the carrying value of the impaired asset over its current fair value. To date, the Company has not recorded any impairment losses on long-lived assets.</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Comprehensive Income/Loss</w:t>
      </w:r>
    </w:p>
    <w:p>
      <w:pPr>
        <w:spacing w:after="0" w:line="104"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The Company recorded $52 and $10 in other comprehensive income related to unrealized gains on marketable securities, net of tax for the years ended December 31, 2018 and 2019, respectively. The Company presents comprehensive income in a single statement within its financial statements.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compensation costs, which includes allocated stock-based compensation, salary payroll taxes, employee benefits; materials; supplies; depreciation on and maintenance of research equipment; the cost of services provided by outside contractors; and the allocable portions of facility costs, such as rent, utilities, insurance, repairs and maintenance, depreciation, and general support services. Costs for certain research and development activities are recognized based on the terms of the individual arrangements, which may differ from the pattern of costs incurred, and are reflected in the financial statements as a prepaid expenses or as accrued research and development expenses. All costs associated with research and development are expensed as incurred.</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04" w:lineRule="exact"/>
        <w:rPr>
          <w:sz w:val="20"/>
          <w:szCs w:val="20"/>
          <w:color w:val="auto"/>
        </w:rPr>
      </w:pPr>
    </w:p>
    <w:p>
      <w:pPr>
        <w:ind w:left="120" w:right="560" w:firstLine="551"/>
        <w:spacing w:after="0" w:line="276" w:lineRule="auto"/>
        <w:rPr>
          <w:sz w:val="20"/>
          <w:szCs w:val="20"/>
          <w:color w:val="auto"/>
        </w:rPr>
      </w:pPr>
      <w:r>
        <w:rPr>
          <w:rFonts w:ascii="Arial" w:cs="Arial" w:eastAsia="Arial" w:hAnsi="Arial"/>
          <w:sz w:val="18"/>
          <w:szCs w:val="18"/>
          <w:color w:val="auto"/>
        </w:rPr>
        <w:t>The Company’s convertible preferred stock is classified outside of stockholders’ deficit because the shares contain deemed liquidation rights that are a contingent redemption feature not solely within</w:t>
      </w:r>
    </w:p>
    <w:p>
      <w:pPr>
        <w:spacing w:after="0" w:line="7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20"/>
          </w:cols>
          <w:pgMar w:left="320" w:top="455" w:right="55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2018 and 2019</w:t>
      </w: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580"/>
        <w:spacing w:after="0" w:line="276" w:lineRule="auto"/>
        <w:rPr>
          <w:sz w:val="20"/>
          <w:szCs w:val="20"/>
          <w:color w:val="auto"/>
        </w:rPr>
      </w:pPr>
      <w:r>
        <w:rPr>
          <w:rFonts w:ascii="Arial" w:cs="Arial" w:eastAsia="Arial" w:hAnsi="Arial"/>
          <w:sz w:val="18"/>
          <w:szCs w:val="18"/>
          <w:color w:val="auto"/>
        </w:rPr>
        <w:t>the control of the Company. The Company’s policy is not to accrete the carrying value and related issuance costs of the convertible preferred stock to its redemption value until it is probable that the security will become redeemable.</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104" w:lineRule="exact"/>
        <w:rPr>
          <w:sz w:val="20"/>
          <w:szCs w:val="20"/>
          <w:color w:val="auto"/>
        </w:rPr>
      </w:pPr>
    </w:p>
    <w:p>
      <w:pPr>
        <w:ind w:left="120" w:right="100" w:firstLine="551"/>
        <w:spacing w:after="0" w:line="243" w:lineRule="auto"/>
        <w:rPr>
          <w:sz w:val="20"/>
          <w:szCs w:val="20"/>
          <w:color w:val="auto"/>
        </w:rPr>
      </w:pPr>
      <w:r>
        <w:rPr>
          <w:rFonts w:ascii="Arial" w:cs="Arial" w:eastAsia="Arial" w:hAnsi="Arial"/>
          <w:sz w:val="18"/>
          <w:szCs w:val="18"/>
          <w:color w:val="auto"/>
        </w:rPr>
        <w:t>The Company may issue certain financial instruments with embedded features which may be accounted for as separate derivative assets or liabilities, dependent on their specific contractual terms or other conditions. These derivative assets or liabilities are required to be measured at fair value at issuance and remeasured at the end of each reporting period. To determine the fair value of these instruments the Company uses a discounted cash flow analysis, as these instruments are not quoted on an active market. Increases or decreases in fair value from initial measurement and each reporting period are recorded in the statement of operations and comprehensive loss as change in fair value of derivative liabilities.</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120" w:right="380" w:firstLine="551"/>
        <w:spacing w:after="0" w:line="276" w:lineRule="auto"/>
        <w:rPr>
          <w:sz w:val="20"/>
          <w:szCs w:val="20"/>
          <w:color w:val="auto"/>
        </w:rPr>
      </w:pPr>
      <w:r>
        <w:rPr>
          <w:rFonts w:ascii="Arial" w:cs="Arial" w:eastAsia="Arial" w:hAnsi="Arial"/>
          <w:sz w:val="18"/>
          <w:szCs w:val="18"/>
          <w:color w:val="auto"/>
        </w:rPr>
        <w:t>The Company’s share-based compensation program allows for grants of stock options and restricted stock awards. Grants are awarded to employees and non-employees, including directors.</w:t>
      </w:r>
    </w:p>
    <w:p>
      <w:pPr>
        <w:spacing w:after="0" w:line="145"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 xml:space="preserve">The Company accounts for stock-based employee compensation arrangements in accordance with provisions of ASC 718, </w:t>
      </w:r>
      <w:r>
        <w:rPr>
          <w:rFonts w:ascii="Arial" w:cs="Arial" w:eastAsia="Arial" w:hAnsi="Arial"/>
          <w:sz w:val="18"/>
          <w:szCs w:val="18"/>
          <w:i w:val="1"/>
          <w:iCs w:val="1"/>
          <w:color w:val="auto"/>
        </w:rPr>
        <w:t xml:space="preserve">Compensation—Stock Compensation </w:t>
      </w:r>
      <w:r>
        <w:rPr>
          <w:rFonts w:ascii="Arial" w:cs="Arial" w:eastAsia="Arial" w:hAnsi="Arial"/>
          <w:sz w:val="18"/>
          <w:szCs w:val="18"/>
          <w:color w:val="auto"/>
        </w:rPr>
        <w:t>(“ASC 718”)</w:t>
      </w:r>
      <w:r>
        <w:rPr>
          <w:rFonts w:ascii="Arial" w:cs="Arial" w:eastAsia="Arial" w:hAnsi="Arial"/>
          <w:sz w:val="18"/>
          <w:szCs w:val="18"/>
          <w:i w:val="1"/>
          <w:iCs w:val="1"/>
          <w:color w:val="auto"/>
        </w:rPr>
        <w:t xml:space="preserve">. </w:t>
      </w:r>
      <w:r>
        <w:rPr>
          <w:rFonts w:ascii="Arial" w:cs="Arial" w:eastAsia="Arial" w:hAnsi="Arial"/>
          <w:sz w:val="18"/>
          <w:szCs w:val="18"/>
          <w:color w:val="auto"/>
        </w:rPr>
        <w:t>ASC 718 requires the recognition of compensation expense, using a fair-value based</w:t>
      </w:r>
      <w:r>
        <w:rPr>
          <w:rFonts w:ascii="Arial" w:cs="Arial" w:eastAsia="Arial" w:hAnsi="Arial"/>
          <w:sz w:val="18"/>
          <w:szCs w:val="18"/>
          <w:i w:val="1"/>
          <w:iCs w:val="1"/>
          <w:color w:val="auto"/>
        </w:rPr>
        <w:t xml:space="preserve"> </w:t>
      </w:r>
      <w:r>
        <w:rPr>
          <w:rFonts w:ascii="Arial" w:cs="Arial" w:eastAsia="Arial" w:hAnsi="Arial"/>
          <w:sz w:val="18"/>
          <w:szCs w:val="18"/>
          <w:color w:val="auto"/>
        </w:rPr>
        <w:t>method, for costs related to all share-based payments including stock options. ASC 718 requires companies to estimate the fair value of share-based payment awards on the date of grant using an option pricing or equity valuation model that is applied in a manner consistent with the fair value measurement objectives of ASC 718, is based on established principles of financial theory and reflects all of the substantive terms and conditions of the award. The Company uses the Black-Scholes option-pricing model (“Black-Scholes”) to value stock option grants to employees, non-employees and directors. The fair value of the Company’s common stock is used to determine the fair value of restricted stock awards and stock options.</w:t>
      </w:r>
    </w:p>
    <w:p>
      <w:pPr>
        <w:spacing w:after="0" w:line="180"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Company’s stock-based compensation awards are subject to either service or performance-based vesting conditions. Compensation expense related to awards to employees and directors with service-based vesting conditions is recognized on a straight-line basis based on the grant date fair value over the associated service period of the award, which is typically the vesting term. Compensation expense related to awards to employees with performance-based vesting conditions is recognized based on grant date fair value over the requisite service period using the accelerated attribution method to the extent achievement of the of performance condition is probable.</w:t>
      </w:r>
    </w:p>
    <w:p>
      <w:pPr>
        <w:spacing w:after="0" w:line="17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The Black-Scholes option pricing model requires inputs based on certain subjective assumptions, including (i) the expected stock price volatility, (ii) the expected term of the award, (iii) the risk-free interest rate and (iv) expected dividends. Due to the lack of a public market for the Company’s common stock and lack of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5" w:right="47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2018 and 2019</w:t>
      </w: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line="263" w:lineRule="auto"/>
        <w:rPr>
          <w:sz w:val="20"/>
          <w:szCs w:val="20"/>
          <w:color w:val="auto"/>
        </w:rPr>
      </w:pPr>
      <w:r>
        <w:rPr>
          <w:rFonts w:ascii="Arial" w:cs="Arial" w:eastAsia="Arial" w:hAnsi="Arial"/>
          <w:sz w:val="17"/>
          <w:szCs w:val="17"/>
          <w:color w:val="auto"/>
        </w:rPr>
        <w:t>with expected term assumption. The Company uses the simplified method to calculate the expected term for options granted to employees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The Company recognizes forfeitures as they occur.</w:t>
      </w:r>
    </w:p>
    <w:p>
      <w:pPr>
        <w:spacing w:after="0" w:line="157"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Non-employee option awards are measured at the earlier of the commitment date for performance by the counterparty or the date when performance is complete, and compensation expense is recognized in the same manner as if we had paid cash for goods or services.</w:t>
      </w:r>
    </w:p>
    <w:p>
      <w:pPr>
        <w:spacing w:after="0" w:line="16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Due to the absence of an active market for the Company’s common stock, the Company utilized methodologies in accordance with the framework of the American Institute of Certified Public Accountants Technical Practice Aid, Valuation of Privately-Held Company Equity Securities Issued as Compensation, to estimate the fair value of its common stock. In determining the exercise prices for options granted, the Company has considered the estimated fair value of the common stock as of the measurement date. The estimated fair value of the common stock has been determined at each grant date based upon a variety of factors, including the illiquid nature of the common stock, arm’s-length sales of the Company’s capital stock (including convertible preferred stock), the effect of the rights and preferences of the preferred shareholders, and the prospects of a liquidity event. Among other factors are the Company’s financial position and historical financial performance, the status of technological developments within the Company’s research, the composition and ability of the current research and management team, an evaluation or benchmark of the Company’s competition, and the current business climate in the marketplace. Significant changes to the key assumptions underlying the factors used could result in different fair values of common stock at each valuation date.</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04"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Company’s Chief Operating Decision Maker to make decisions with respect to resource allocation and assessment of performance. To date, the Company has viewed its operations and manages its business as one operating segment.</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0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 xml:space="preserve">Basic net loss per share is computed using the “two-class” method which includes the weighted average number of shares of common stock outstanding during the period and other securities that participate in dividends (a participating security). The Company’s convertible preferred stock are participating securities as defined by ASC 260-10, </w:t>
      </w:r>
      <w:r>
        <w:rPr>
          <w:rFonts w:ascii="Arial" w:cs="Arial" w:eastAsia="Arial" w:hAnsi="Arial"/>
          <w:sz w:val="18"/>
          <w:szCs w:val="18"/>
          <w:i w:val="1"/>
          <w:iCs w:val="1"/>
          <w:color w:val="auto"/>
        </w:rPr>
        <w:t>Earnings per Share</w:t>
      </w:r>
      <w:r>
        <w:rPr>
          <w:rFonts w:ascii="Arial" w:cs="Arial" w:eastAsia="Arial" w:hAnsi="Arial"/>
          <w:sz w:val="18"/>
          <w:szCs w:val="18"/>
          <w:color w:val="auto"/>
        </w:rPr>
        <w:t>. During the periods where the Company incurs net losses, the Company allocates no loss to participating securities because these securities have no contractual obligation to share in the losses of the Company. Under the two-class method, basic net loss per share applicable to common stockholders is computed by dividing the net loss applicable to common stockholders by the weighted average number of common shares outstanding for the period. Diluted net loss per share is computed similar to basic net loss per share except that the denominator is increased to include the number of additional shares for the potential</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5" w:right="45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2018 and 2019</w:t>
      </w: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line="245" w:lineRule="auto"/>
        <w:rPr>
          <w:sz w:val="20"/>
          <w:szCs w:val="20"/>
          <w:color w:val="auto"/>
        </w:rPr>
      </w:pPr>
      <w:r>
        <w:rPr>
          <w:rFonts w:ascii="Arial" w:cs="Arial" w:eastAsia="Arial" w:hAnsi="Arial"/>
          <w:sz w:val="18"/>
          <w:szCs w:val="18"/>
          <w:color w:val="auto"/>
        </w:rPr>
        <w:t xml:space="preserve">dilutive effects of a warrant, convertible preferred stock and stock options outstanding during the period calculated in accordance with the treasury stock method, or the two-class method, whichever is more dilutive. The Company allocates net earnings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(equal) basis to both common and preferred stockholders. Net losses are not allocated to preferred stockholders as they do not have an obligation to share in the Company’s net losses. For all periods presented, basic and diluted net loss per share are the same, as any additional share equivalents would be anti-dilutive.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04"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The unaudited pro forma net loss per share is computed using the weighted-average number of shares of common stock outstanding after giving pro forma effect to the conversion of all issued and outstanding shares of convertible preferred stock during the year ended December 31, 2019 into shares of common stock as if such conversion had occurred at January 1, 2019, or the date of original issuance, if later.</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 xml:space="preserve">The Company accounts for income taxes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 that will be in effect when the differences are expected to reverse. ASC 740 also requires that deferred tax assets be reduced by a valuation allowance if it is more likely than not that some or all of the deferred tax assets will not be realized. The Company evaluates annually the realizability of the deferred tax assets by assessing the valuation allowance and by adjusting the amount of such allowance, if necessary. The factors used to assess the likelihood of realization include forecast of future taxable income and available tax planning strategies that could be implemented to realize the net deferred tax assets. In 2018 and 2019, the Company has recorded a full valuation allowance for the deferred tax assets based on the historical loss and the uncertainty regarding the ability to project future taxable income. In future periods if the Company is able to generate income, the Company may reduce or eliminate the valuation allowance.</w:t>
      </w:r>
    </w:p>
    <w:p>
      <w:pPr>
        <w:spacing w:after="0" w:line="183"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The Company accounts for uncertain tax positions in accordance with ASC 740.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 likely than not” threshold. In accordance with this accounting policy, the Company recognizes accrued interest and penalties related to unrecognized tax benefits as a component of income tax.</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4" w:lineRule="exact"/>
        <w:rPr>
          <w:sz w:val="20"/>
          <w:szCs w:val="20"/>
          <w:color w:val="auto"/>
        </w:rPr>
      </w:pPr>
    </w:p>
    <w:p>
      <w:pPr>
        <w:jc w:val="both"/>
        <w:ind w:left="120" w:right="120" w:firstLine="551"/>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requiring lessees to recognize operating and financing lease liabilities on the balance sheet, as well as corresponding right-of-use assets. The new lease standard also makes some changes to lessor accounting and aligns</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2018 and 2019</w:t>
      </w: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line="245" w:lineRule="auto"/>
        <w:rPr>
          <w:sz w:val="20"/>
          <w:szCs w:val="20"/>
          <w:color w:val="auto"/>
        </w:rPr>
      </w:pPr>
      <w:r>
        <w:rPr>
          <w:rFonts w:ascii="Arial" w:cs="Arial" w:eastAsia="Arial" w:hAnsi="Arial"/>
          <w:sz w:val="18"/>
          <w:szCs w:val="18"/>
          <w:color w:val="auto"/>
        </w:rPr>
        <w:t xml:space="preserve">key aspects of the lessor accounting model with the revenue recognition standard. In addition, disclosures will be required to enable users of financial statements to assess the amount, timing, and uncertainty of cash flows arising from leases. In June 2020, the FASB also issued ASU 2020-05, </w:t>
      </w:r>
      <w:r>
        <w:rPr>
          <w:rFonts w:ascii="Arial" w:cs="Arial" w:eastAsia="Arial" w:hAnsi="Arial"/>
          <w:sz w:val="18"/>
          <w:szCs w:val="18"/>
          <w:i w:val="1"/>
          <w:iCs w:val="1"/>
          <w:color w:val="auto"/>
        </w:rPr>
        <w:t>Revenue from Contracts with Customers (Topic 606) and Leases (Topic 842): Effective Dates for Certain Entities,</w:t>
      </w:r>
      <w:r>
        <w:rPr>
          <w:rFonts w:ascii="Arial" w:cs="Arial" w:eastAsia="Arial" w:hAnsi="Arial"/>
          <w:sz w:val="18"/>
          <w:szCs w:val="18"/>
          <w:color w:val="auto"/>
        </w:rPr>
        <w:t xml:space="preserve"> which requires nonpublic entities to adopt the provisions of ASU 2016-02 for fiscal years beginning after December 15, 2021, and for interim periods within fiscal years beginning after December 15, 2022.</w:t>
      </w:r>
    </w:p>
    <w:p>
      <w:pPr>
        <w:spacing w:after="0" w:line="172"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The Company expects to qualify as an emerging growth company (“EGC”) upon issuance of its initial public offering. Qualifying as an EGC allows the Company to employ extended transition provisions by using nonpublic business entity adoption dates for new or revised accounting standards, so long as the issuer maintains its status as an EGC. The Company expects to retain its status as an EGC through December 31, 2022, and therefore expects to adopt ASU 2016-02 for the annual period ended December 31, 2022, with the provisions of the new standard reflected in quarterly periods thereafter. The Company is currently evaluating the impact of this accounting standard update on its financial statements.</w:t>
      </w:r>
    </w:p>
    <w:p>
      <w:pPr>
        <w:spacing w:after="0" w:line="174" w:lineRule="exact"/>
        <w:rPr>
          <w:sz w:val="20"/>
          <w:szCs w:val="20"/>
          <w:color w:val="auto"/>
        </w:rPr>
      </w:pPr>
    </w:p>
    <w:p>
      <w:pPr>
        <w:jc w:val="both"/>
        <w:ind w:left="120" w:right="620" w:firstLine="551"/>
        <w:spacing w:after="0" w:line="255"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related to the classification of certain cash receipts and cash payments on the Statement of Cash Flows. The Company adopted the accounting standard effective January 1, 2019. There was no material impact on the financial statements.</w:t>
      </w:r>
    </w:p>
    <w:p>
      <w:pPr>
        <w:spacing w:after="0" w:line="16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 xml:space="preserve">In July 2017, the FASB issued ASU 2017-11, </w:t>
      </w:r>
      <w:r>
        <w:rPr>
          <w:rFonts w:ascii="Arial" w:cs="Arial" w:eastAsia="Arial" w:hAnsi="Arial"/>
          <w:sz w:val="18"/>
          <w:szCs w:val="18"/>
          <w:i w:val="1"/>
          <w:iCs w:val="1"/>
          <w:color w:val="auto"/>
        </w:rPr>
        <w:t>I. Accounting for Certain Financial Instrument with Down Round Features II.</w:t>
      </w:r>
      <w:r>
        <w:rPr>
          <w:rFonts w:ascii="Arial" w:cs="Arial" w:eastAsia="Arial" w:hAnsi="Arial"/>
          <w:sz w:val="18"/>
          <w:szCs w:val="18"/>
          <w:color w:val="auto"/>
        </w:rPr>
        <w:t xml:space="preserve"> </w:t>
      </w:r>
      <w:r>
        <w:rPr>
          <w:rFonts w:ascii="Arial" w:cs="Arial" w:eastAsia="Arial" w:hAnsi="Arial"/>
          <w:sz w:val="18"/>
          <w:szCs w:val="18"/>
          <w:i w:val="1"/>
          <w:iCs w:val="1"/>
          <w:color w:val="auto"/>
        </w:rPr>
        <w:t>Replacement of the Indefinite Deferral for Mandatorily Redeemable Financial Instruments of Certain nonpublic Entities and Certain Mandatorily Redeemable Noncontrolling Interests with a Scope Exception</w:t>
      </w:r>
      <w:r>
        <w:rPr>
          <w:rFonts w:ascii="Arial" w:cs="Arial" w:eastAsia="Arial" w:hAnsi="Arial"/>
          <w:sz w:val="18"/>
          <w:szCs w:val="18"/>
          <w:color w:val="auto"/>
        </w:rPr>
        <w:t>. Part I of the ASU simplifies the accounting for certain equity-linked financial instruments and embedded features with down round features that reduce the exercise price when the pricing of a future round of financing is lower (down round protection). Current accounting guidance provides that instruments with down round protection be classified as derivative liabilities with changes in fair value recorded through earnings. The updated guidance provides that instruments with down round protection are no longer precluded from being classified as equity. This guidance is effective for fiscal years beginning after December 15, 2018 and early adoption is permitted. This guidance must be applied retrospectively. The Company adopted this guidance on January 1, 2019 and the adoption did not have a material impact on its financial statements.</w:t>
      </w:r>
    </w:p>
    <w:p>
      <w:pPr>
        <w:spacing w:after="0" w:line="176"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Compensation—Stock Compensation: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Accounting </w:t>
      </w:r>
      <w:r>
        <w:rPr>
          <w:rFonts w:ascii="Arial" w:cs="Arial" w:eastAsia="Arial" w:hAnsi="Arial"/>
          <w:sz w:val="18"/>
          <w:szCs w:val="18"/>
          <w:color w:val="auto"/>
        </w:rPr>
        <w:t>(which currently only includes share-based payments to employees) to include share-based payments issued to</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nonemployees for goods or services. Consequently, the accounting for share-based payments to nonemployees and employees will be substantially aligned. The ASU supersedes Subtopic 505-50, Equity—Equity-Based Payments to Non-Employees. The pronouncement is effective for the Company in the annual period beginning after December 15, 2019, and early adoption is permitted. The Company will adopt this guidance on January 1, 2020. The Company is currently evaluating the impact of adopting this standard on its financial statements.</w:t>
      </w:r>
    </w:p>
    <w:p>
      <w:pPr>
        <w:spacing w:after="0" w:line="179" w:lineRule="exact"/>
        <w:rPr>
          <w:sz w:val="20"/>
          <w:szCs w:val="20"/>
          <w:color w:val="auto"/>
        </w:rPr>
      </w:pPr>
    </w:p>
    <w:p>
      <w:pPr>
        <w:ind w:left="120" w:right="540" w:firstLine="551"/>
        <w:spacing w:after="0" w:line="276"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This standard modifies disclosure requirements related to fair value measurement and is effective for all</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80"/>
          </w:cols>
          <w:pgMar w:left="320" w:top="455" w:right="49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2018 and 2019</w:t>
      </w: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jc w:val="both"/>
        <w:ind w:left="120" w:right="100"/>
        <w:spacing w:after="0" w:line="248" w:lineRule="auto"/>
        <w:rPr>
          <w:sz w:val="20"/>
          <w:szCs w:val="20"/>
          <w:color w:val="auto"/>
        </w:rPr>
      </w:pPr>
      <w:r>
        <w:rPr>
          <w:rFonts w:ascii="Arial" w:cs="Arial" w:eastAsia="Arial" w:hAnsi="Arial"/>
          <w:sz w:val="18"/>
          <w:szCs w:val="18"/>
          <w:color w:val="auto"/>
        </w:rPr>
        <w:t>entities for fiscal years beginning after December 15, 2019. Early adoption is permitted. Implementation on a prospective or retrospective basis varies by specific disclosure requirement. The standard also allows for early adoption of any removed or modified disclosures upon issuance while delaying adoption of the additional disclosures until their effective date. The Company is currently evaluating the impact of adopting this standard on its financial statements.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0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of cash and cash equivalents and marketable securities. Cash and cash equivalents are held in a checking account held at one financial institution. At times, such deposits may be in excess of insured limits. The Company has not experienced any losses on its deposits of cash and cash equivalents. The Company’s marketable debt securities are carried at fair value with unrealized gains and losses. Any investments with unrealized losses are considered to be temporarily impaired.</w:t>
      </w:r>
    </w:p>
    <w:p>
      <w:pPr>
        <w:spacing w:after="0" w:line="172" w:lineRule="exact"/>
        <w:rPr>
          <w:sz w:val="20"/>
          <w:szCs w:val="20"/>
          <w:color w:val="auto"/>
        </w:rPr>
      </w:pPr>
    </w:p>
    <w:p>
      <w:pPr>
        <w:ind w:left="120" w:right="300" w:firstLine="551"/>
        <w:spacing w:after="0" w:line="248"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strategic relationships and dependence on key individuals.</w:t>
      </w:r>
    </w:p>
    <w:p>
      <w:pPr>
        <w:spacing w:after="0" w:line="170"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Products developed by the Company require clearances from the Food and Drug Administration or other international regulatory agencies prior to commercial sales. There can be no assurance the Company’s future products will receive the necessary clearances. If the Company was denied clearance, clearance was delayed or it was unable to maintain clearance, it could have a materially adverse impact on the Company.</w:t>
      </w:r>
    </w:p>
    <w:p>
      <w:pPr>
        <w:spacing w:after="0" w:line="170"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The Company continues to monitor the impact of the COVID-19 outbreak closely. The extent to which the COVID-19 outbreak will impact its operations or financial results is uncertain.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2018 and 2019</w:t>
      </w:r>
    </w:p>
    <w:p>
      <w:pPr>
        <w:ind w:left="34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 Financial Instruments and Fair Value Measurements</w:t>
      </w:r>
    </w:p>
    <w:p>
      <w:pPr>
        <w:spacing w:after="0" w:line="10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The Company’s financial instruments consist of money market funds, U.S. government debt securities and corporate debt securities. The following tables show the Company’s cash equivalents and available-for-sale securities’ carrying amounts and fair values at December 31, 2018 and 2019:</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5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 2019</w:t>
            </w:r>
          </w:p>
        </w:tc>
        <w:tc>
          <w:tcPr>
            <w:tcW w:w="10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5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3"/>
          </w:tcPr>
          <w:p>
            <w:pPr>
              <w:jc w:val="center"/>
              <w:ind w:right="600"/>
              <w:spacing w:after="0" w:line="141" w:lineRule="exact"/>
              <w:rPr>
                <w:sz w:val="20"/>
                <w:szCs w:val="20"/>
                <w:color w:val="auto"/>
              </w:rPr>
            </w:pPr>
            <w:r>
              <w:rPr>
                <w:rFonts w:ascii="Arial" w:cs="Arial" w:eastAsia="Arial" w:hAnsi="Arial"/>
                <w:sz w:val="14"/>
                <w:szCs w:val="14"/>
                <w:b w:val="1"/>
                <w:bCs w:val="1"/>
                <w:color w:val="auto"/>
              </w:rPr>
              <w:t>Quoted Priced in</w:t>
            </w:r>
          </w:p>
        </w:tc>
        <w:tc>
          <w:tcPr>
            <w:tcW w:w="1460" w:type="dxa"/>
            <w:vAlign w:val="bottom"/>
            <w:gridSpan w:val="3"/>
          </w:tcPr>
          <w:p>
            <w:pPr>
              <w:jc w:val="center"/>
              <w:ind w:right="300"/>
              <w:spacing w:after="0" w:line="141" w:lineRule="exact"/>
              <w:rPr>
                <w:sz w:val="20"/>
                <w:szCs w:val="20"/>
                <w:color w:val="auto"/>
              </w:rPr>
            </w:pPr>
            <w:r>
              <w:rPr>
                <w:rFonts w:ascii="Arial" w:cs="Arial" w:eastAsia="Arial" w:hAnsi="Arial"/>
                <w:sz w:val="14"/>
                <w:szCs w:val="14"/>
                <w:b w:val="1"/>
                <w:bCs w:val="1"/>
                <w:color w:val="auto"/>
              </w:rPr>
              <w:t>Significant Other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5"/>
              <w:spacing w:after="0" w:line="141"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2"/>
                <w:szCs w:val="12"/>
                <w:color w:val="auto"/>
              </w:rPr>
            </w:pPr>
          </w:p>
        </w:tc>
      </w:tr>
      <w:tr>
        <w:trPr>
          <w:trHeight w:val="162"/>
        </w:trPr>
        <w:tc>
          <w:tcPr>
            <w:tcW w:w="5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Active Markets</w:t>
            </w:r>
          </w:p>
        </w:tc>
        <w:tc>
          <w:tcPr>
            <w:tcW w:w="14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Observable</w:t>
            </w:r>
          </w:p>
        </w:tc>
        <w:tc>
          <w:tcPr>
            <w:tcW w:w="320" w:type="dxa"/>
            <w:vAlign w:val="bottom"/>
          </w:tcPr>
          <w:p>
            <w:pPr>
              <w:spacing w:after="0"/>
              <w:rPr>
                <w:sz w:val="14"/>
                <w:szCs w:val="14"/>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Unobservable</w:t>
            </w:r>
          </w:p>
        </w:tc>
      </w:tr>
      <w:tr>
        <w:trPr>
          <w:trHeight w:val="177"/>
        </w:trPr>
        <w:tc>
          <w:tcPr>
            <w:tcW w:w="5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Fair Value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(Level 1)</w:t>
            </w:r>
          </w:p>
        </w:tc>
        <w:tc>
          <w:tcPr>
            <w:tcW w:w="14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Inputs (Level 2)</w:t>
            </w:r>
          </w:p>
        </w:tc>
        <w:tc>
          <w:tcPr>
            <w:tcW w:w="320" w:type="dxa"/>
            <w:vAlign w:val="bottom"/>
          </w:tcPr>
          <w:p>
            <w:pPr>
              <w:spacing w:after="0"/>
              <w:rPr>
                <w:sz w:val="15"/>
                <w:szCs w:val="15"/>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Inputs (Level 3)</w:t>
            </w:r>
          </w:p>
        </w:tc>
      </w:tr>
      <w:tr>
        <w:trPr>
          <w:trHeight w:val="163"/>
        </w:trPr>
        <w:tc>
          <w:tcPr>
            <w:tcW w:w="5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6"/>
              </w:rPr>
              <w:t>Assets</w:t>
            </w:r>
          </w:p>
        </w:tc>
        <w:tc>
          <w:tcPr>
            <w:tcW w:w="236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3"/>
        </w:trPr>
        <w:tc>
          <w:tcPr>
            <w:tcW w:w="2900" w:type="dxa"/>
            <w:vAlign w:val="bottom"/>
            <w:gridSpan w:val="2"/>
          </w:tcPr>
          <w:p>
            <w:pPr>
              <w:spacing w:after="0" w:line="202" w:lineRule="exact"/>
              <w:rPr>
                <w:sz w:val="20"/>
                <w:szCs w:val="20"/>
                <w:color w:val="auto"/>
              </w:rPr>
            </w:pPr>
            <w:r>
              <w:rPr>
                <w:rFonts w:ascii="Arial" w:cs="Arial" w:eastAsia="Arial" w:hAnsi="Arial"/>
                <w:sz w:val="18"/>
                <w:szCs w:val="18"/>
                <w:color w:val="auto"/>
              </w:rPr>
              <w:t>Money market funds</w:t>
            </w:r>
          </w:p>
        </w:tc>
        <w:tc>
          <w:tcPr>
            <w:tcW w:w="15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1,680</w:t>
            </w:r>
          </w:p>
        </w:tc>
        <w:tc>
          <w:tcPr>
            <w:tcW w:w="280" w:type="dxa"/>
            <w:vAlign w:val="bottom"/>
          </w:tcPr>
          <w:p>
            <w:pPr>
              <w:spacing w:after="0"/>
              <w:rPr>
                <w:sz w:val="17"/>
                <w:szCs w:val="17"/>
                <w:color w:val="auto"/>
              </w:rPr>
            </w:pPr>
          </w:p>
        </w:tc>
        <w:tc>
          <w:tcPr>
            <w:tcW w:w="13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1,680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1,680</w:t>
            </w:r>
          </w:p>
        </w:tc>
        <w:tc>
          <w:tcPr>
            <w:tcW w:w="14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debt securities</w:t>
            </w:r>
          </w:p>
        </w:tc>
        <w:tc>
          <w:tcPr>
            <w:tcW w:w="158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97,819</w:t>
            </w: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97,816</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97,816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9"/>
        </w:trPr>
        <w:tc>
          <w:tcPr>
            <w:tcW w:w="290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88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99,499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$ 99,496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6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97,816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412"/>
        </w:trPr>
        <w:tc>
          <w:tcPr>
            <w:tcW w:w="5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 2018</w:t>
            </w: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0"/>
        </w:trPr>
        <w:tc>
          <w:tcPr>
            <w:tcW w:w="5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3"/>
          </w:tcPr>
          <w:p>
            <w:pPr>
              <w:jc w:val="center"/>
              <w:ind w:right="600"/>
              <w:spacing w:after="0" w:line="141" w:lineRule="exact"/>
              <w:rPr>
                <w:sz w:val="20"/>
                <w:szCs w:val="20"/>
                <w:color w:val="auto"/>
              </w:rPr>
            </w:pPr>
            <w:r>
              <w:rPr>
                <w:rFonts w:ascii="Arial" w:cs="Arial" w:eastAsia="Arial" w:hAnsi="Arial"/>
                <w:sz w:val="14"/>
                <w:szCs w:val="14"/>
                <w:b w:val="1"/>
                <w:bCs w:val="1"/>
                <w:color w:val="auto"/>
              </w:rPr>
              <w:t>Quoted Priced in</w:t>
            </w:r>
          </w:p>
        </w:tc>
        <w:tc>
          <w:tcPr>
            <w:tcW w:w="1460" w:type="dxa"/>
            <w:vAlign w:val="bottom"/>
            <w:gridSpan w:val="3"/>
          </w:tcPr>
          <w:p>
            <w:pPr>
              <w:jc w:val="center"/>
              <w:ind w:right="300"/>
              <w:spacing w:after="0" w:line="141" w:lineRule="exact"/>
              <w:rPr>
                <w:sz w:val="20"/>
                <w:szCs w:val="20"/>
                <w:color w:val="auto"/>
              </w:rPr>
            </w:pPr>
            <w:r>
              <w:rPr>
                <w:rFonts w:ascii="Arial" w:cs="Arial" w:eastAsia="Arial" w:hAnsi="Arial"/>
                <w:sz w:val="14"/>
                <w:szCs w:val="14"/>
                <w:b w:val="1"/>
                <w:bCs w:val="1"/>
                <w:color w:val="auto"/>
              </w:rPr>
              <w:t>Significant Other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5"/>
              <w:spacing w:after="0" w:line="141"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2"/>
                <w:szCs w:val="12"/>
                <w:color w:val="auto"/>
              </w:rPr>
            </w:pPr>
          </w:p>
        </w:tc>
      </w:tr>
      <w:tr>
        <w:trPr>
          <w:trHeight w:val="162"/>
        </w:trPr>
        <w:tc>
          <w:tcPr>
            <w:tcW w:w="5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Active Markets</w:t>
            </w:r>
          </w:p>
        </w:tc>
        <w:tc>
          <w:tcPr>
            <w:tcW w:w="14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Observable</w:t>
            </w:r>
          </w:p>
        </w:tc>
        <w:tc>
          <w:tcPr>
            <w:tcW w:w="320" w:type="dxa"/>
            <w:vAlign w:val="bottom"/>
          </w:tcPr>
          <w:p>
            <w:pPr>
              <w:spacing w:after="0"/>
              <w:rPr>
                <w:sz w:val="14"/>
                <w:szCs w:val="14"/>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Unobservable</w:t>
            </w:r>
          </w:p>
        </w:tc>
      </w:tr>
      <w:tr>
        <w:trPr>
          <w:trHeight w:val="177"/>
        </w:trPr>
        <w:tc>
          <w:tcPr>
            <w:tcW w:w="5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Fair Value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(Level 1)</w:t>
            </w:r>
          </w:p>
        </w:tc>
        <w:tc>
          <w:tcPr>
            <w:tcW w:w="14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Inputs (Level 2)</w:t>
            </w:r>
          </w:p>
        </w:tc>
        <w:tc>
          <w:tcPr>
            <w:tcW w:w="320" w:type="dxa"/>
            <w:vAlign w:val="bottom"/>
          </w:tcPr>
          <w:p>
            <w:pPr>
              <w:spacing w:after="0"/>
              <w:rPr>
                <w:sz w:val="15"/>
                <w:szCs w:val="15"/>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Inputs (Level 3)</w:t>
            </w:r>
          </w:p>
        </w:tc>
      </w:tr>
      <w:tr>
        <w:trPr>
          <w:trHeight w:val="163"/>
        </w:trPr>
        <w:tc>
          <w:tcPr>
            <w:tcW w:w="5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6"/>
              </w:rPr>
              <w:t>Assets</w:t>
            </w:r>
          </w:p>
        </w:tc>
        <w:tc>
          <w:tcPr>
            <w:tcW w:w="236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3"/>
        </w:trPr>
        <w:tc>
          <w:tcPr>
            <w:tcW w:w="2900" w:type="dxa"/>
            <w:vAlign w:val="bottom"/>
            <w:gridSpan w:val="2"/>
          </w:tcPr>
          <w:p>
            <w:pPr>
              <w:spacing w:after="0" w:line="202" w:lineRule="exact"/>
              <w:rPr>
                <w:sz w:val="20"/>
                <w:szCs w:val="20"/>
                <w:color w:val="auto"/>
              </w:rPr>
            </w:pPr>
            <w:r>
              <w:rPr>
                <w:rFonts w:ascii="Arial" w:cs="Arial" w:eastAsia="Arial" w:hAnsi="Arial"/>
                <w:sz w:val="18"/>
                <w:szCs w:val="18"/>
                <w:color w:val="auto"/>
              </w:rPr>
              <w:t>Money market funds</w:t>
            </w:r>
          </w:p>
        </w:tc>
        <w:tc>
          <w:tcPr>
            <w:tcW w:w="1860" w:type="dxa"/>
            <w:vAlign w:val="bottom"/>
            <w:gridSpan w:val="4"/>
          </w:tcPr>
          <w:p>
            <w:pPr>
              <w:jc w:val="right"/>
              <w:ind w:right="300"/>
              <w:spacing w:after="0" w:line="202" w:lineRule="exact"/>
              <w:rPr>
                <w:sz w:val="20"/>
                <w:szCs w:val="20"/>
                <w:color w:val="auto"/>
              </w:rPr>
            </w:pPr>
            <w:r>
              <w:rPr>
                <w:rFonts w:ascii="Arial" w:cs="Arial" w:eastAsia="Arial" w:hAnsi="Arial"/>
                <w:sz w:val="18"/>
                <w:szCs w:val="18"/>
                <w:color w:val="auto"/>
              </w:rPr>
              <w:t>82</w:t>
            </w:r>
          </w:p>
        </w:tc>
        <w:tc>
          <w:tcPr>
            <w:tcW w:w="13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82</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82</w:t>
            </w:r>
          </w:p>
        </w:tc>
        <w:tc>
          <w:tcPr>
            <w:tcW w:w="14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US government</w:t>
            </w:r>
          </w:p>
        </w:tc>
        <w:tc>
          <w:tcPr>
            <w:tcW w:w="186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3,977</w:t>
            </w:r>
          </w:p>
        </w:tc>
        <w:tc>
          <w:tcPr>
            <w:tcW w:w="13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3,977</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3,977</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900" w:type="dxa"/>
            <w:vAlign w:val="bottom"/>
            <w:gridSpan w:val="2"/>
          </w:tcPr>
          <w:p>
            <w:pPr>
              <w:spacing w:after="0" w:line="202" w:lineRule="exact"/>
              <w:rPr>
                <w:sz w:val="20"/>
                <w:szCs w:val="20"/>
                <w:color w:val="auto"/>
              </w:rPr>
            </w:pPr>
            <w:r>
              <w:rPr>
                <w:rFonts w:ascii="Arial" w:cs="Arial" w:eastAsia="Arial" w:hAnsi="Arial"/>
                <w:sz w:val="18"/>
                <w:szCs w:val="18"/>
                <w:color w:val="auto"/>
              </w:rPr>
              <w:t>Corporate debt securities</w:t>
            </w:r>
          </w:p>
        </w:tc>
        <w:tc>
          <w:tcPr>
            <w:tcW w:w="900" w:type="dxa"/>
            <w:vAlign w:val="bottom"/>
            <w:gridSpan w:val="2"/>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56,734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56,721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56,721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
        </w:trPr>
        <w:tc>
          <w:tcPr>
            <w:tcW w:w="5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9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assets</w:t>
            </w:r>
          </w:p>
        </w:tc>
        <w:tc>
          <w:tcPr>
            <w:tcW w:w="900" w:type="dxa"/>
            <w:vAlign w:val="bottom"/>
            <w:gridSpan w:val="2"/>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60,793</w:t>
            </w: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$ 60,780</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4,059</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56,721</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7"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Cash Equivalents</w:t>
      </w:r>
      <w:r>
        <w:rPr>
          <w:rFonts w:ascii="Arial" w:cs="Arial" w:eastAsia="Arial" w:hAnsi="Arial"/>
          <w:sz w:val="18"/>
          <w:szCs w:val="18"/>
          <w:b w:val="1"/>
          <w:bCs w:val="1"/>
          <w:color w:val="auto"/>
        </w:rPr>
        <w:t>—</w:t>
      </w:r>
      <w:r>
        <w:rPr>
          <w:rFonts w:ascii="Arial" w:cs="Arial" w:eastAsia="Arial" w:hAnsi="Arial"/>
          <w:sz w:val="18"/>
          <w:szCs w:val="18"/>
          <w:color w:val="auto"/>
        </w:rPr>
        <w:t>Cash equivalents of $29.2 million as of December 31, 2018 consisted of money market funds of</w:t>
      </w:r>
    </w:p>
    <w:p>
      <w:pPr>
        <w:spacing w:after="0" w:line="20" w:lineRule="exact"/>
        <w:rPr>
          <w:sz w:val="20"/>
          <w:szCs w:val="20"/>
          <w:color w:val="auto"/>
        </w:rPr>
      </w:pPr>
    </w:p>
    <w:p>
      <w:pPr>
        <w:ind w:left="660" w:right="40"/>
        <w:spacing w:after="0" w:line="239" w:lineRule="auto"/>
        <w:rPr>
          <w:sz w:val="20"/>
          <w:szCs w:val="20"/>
          <w:color w:val="auto"/>
        </w:rPr>
      </w:pPr>
      <w:r>
        <w:rPr>
          <w:rFonts w:ascii="Arial" w:cs="Arial" w:eastAsia="Arial" w:hAnsi="Arial"/>
          <w:sz w:val="18"/>
          <w:szCs w:val="18"/>
          <w:color w:val="auto"/>
        </w:rPr>
        <w:t>$0.1 million, and corporate debt securities of $29.1 million. Cash equivalents of $71.3 million as of December 31, 2019 consisted of money market funds of $1.7 million, and corporate debt securities of $69.6 million. Money market funds are classified within level 1 of the fair value hierarchy because they are valued using quoted market prices in active markets, whereas corporate debt securities are classified within level 2 of the fair value hierarchy because they are valued using inputs other than quoted prices that are observable for the asset or liability either directly or indirectly.</w:t>
      </w:r>
    </w:p>
    <w:p>
      <w:pPr>
        <w:spacing w:after="0" w:line="66" w:lineRule="exact"/>
        <w:rPr>
          <w:sz w:val="20"/>
          <w:szCs w:val="20"/>
          <w:color w:val="auto"/>
        </w:rPr>
      </w:pPr>
    </w:p>
    <w:p>
      <w:pPr>
        <w:ind w:left="660" w:right="20" w:firstLine="523"/>
        <w:spacing w:after="0" w:line="256" w:lineRule="auto"/>
        <w:rPr>
          <w:sz w:val="20"/>
          <w:szCs w:val="20"/>
          <w:color w:val="auto"/>
        </w:rPr>
      </w:pPr>
      <w:r>
        <w:rPr>
          <w:rFonts w:ascii="Arial" w:cs="Arial" w:eastAsia="Arial" w:hAnsi="Arial"/>
          <w:sz w:val="18"/>
          <w:szCs w:val="18"/>
          <w:b w:val="1"/>
          <w:bCs w:val="1"/>
          <w:i w:val="1"/>
          <w:iCs w:val="1"/>
          <w:color w:val="auto"/>
        </w:rPr>
        <w:t>Marketable Securities</w:t>
      </w:r>
      <w:r>
        <w:rPr>
          <w:rFonts w:ascii="Arial" w:cs="Arial" w:eastAsia="Arial" w:hAnsi="Arial"/>
          <w:sz w:val="18"/>
          <w:szCs w:val="18"/>
          <w:b w:val="1"/>
          <w:bCs w:val="1"/>
          <w:color w:val="auto"/>
        </w:rPr>
        <w:t>—</w:t>
      </w:r>
      <w:r>
        <w:rPr>
          <w:rFonts w:ascii="Arial" w:cs="Arial" w:eastAsia="Arial" w:hAnsi="Arial"/>
          <w:sz w:val="18"/>
          <w:szCs w:val="18"/>
          <w:color w:val="auto"/>
        </w:rPr>
        <w:t>Marketable securities of $31.6 million and $28.2 million as of December 31, 2018 and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consisted of corporate debt securities classified within level 2 of the fair value hierarchy because they are valued using inputs other than quoted prices that are observable for the asset or liability either directly or indirectly.</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5" w:right="43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2018 and 2019</w:t>
      </w: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 Property and Equipment, Net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0"/>
        </w:trPr>
        <w:tc>
          <w:tcPr>
            <w:tcW w:w="8280" w:type="dxa"/>
            <w:vAlign w:val="bottom"/>
          </w:tcPr>
          <w:p>
            <w:pPr>
              <w:spacing w:after="0"/>
              <w:rPr>
                <w:sz w:val="12"/>
                <w:szCs w:val="12"/>
                <w:color w:val="auto"/>
              </w:rPr>
            </w:pPr>
          </w:p>
        </w:tc>
        <w:tc>
          <w:tcPr>
            <w:tcW w:w="134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2"/>
                <w:szCs w:val="12"/>
                <w:color w:val="auto"/>
              </w:rPr>
            </w:pPr>
          </w:p>
        </w:tc>
        <w:tc>
          <w:tcPr>
            <w:tcW w:w="9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r>
      <w:tr>
        <w:trPr>
          <w:trHeight w:val="177"/>
        </w:trPr>
        <w:tc>
          <w:tcPr>
            <w:tcW w:w="8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96"/>
        </w:trPr>
        <w:tc>
          <w:tcPr>
            <w:tcW w:w="8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Machinery &amp; equipment</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1,789</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1,898</w:t>
            </w:r>
          </w:p>
        </w:tc>
        <w:tc>
          <w:tcPr>
            <w:tcW w:w="120" w:type="dxa"/>
            <w:vAlign w:val="bottom"/>
            <w:shd w:val="clear" w:color="auto" w:fill="CCEEFF"/>
          </w:tcPr>
          <w:p>
            <w:pPr>
              <w:spacing w:after="0"/>
              <w:rPr>
                <w:sz w:val="17"/>
                <w:szCs w:val="17"/>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Computers</w:t>
            </w:r>
          </w:p>
        </w:tc>
        <w:tc>
          <w:tcPr>
            <w:tcW w:w="22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w:t>
            </w: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&amp; fixtures</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w:t>
            </w: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67</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w:t>
            </w:r>
          </w:p>
        </w:tc>
      </w:tr>
      <w:tr>
        <w:trPr>
          <w:trHeight w:val="27"/>
        </w:trPr>
        <w:tc>
          <w:tcPr>
            <w:tcW w:w="8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property and equipment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1,873</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1,982</w:t>
            </w: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7"/>
                <w:szCs w:val="17"/>
                <w:color w:val="auto"/>
              </w:rPr>
            </w:pP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(855)</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(1,243)</w:t>
            </w:r>
          </w:p>
        </w:tc>
      </w:tr>
      <w:tr>
        <w:trPr>
          <w:trHeight w:val="27"/>
        </w:trPr>
        <w:tc>
          <w:tcPr>
            <w:tcW w:w="8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1,018</w:t>
            </w:r>
          </w:p>
        </w:tc>
        <w:tc>
          <w:tcPr>
            <w:tcW w:w="54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739</w:t>
            </w:r>
          </w:p>
        </w:tc>
      </w:tr>
      <w:tr>
        <w:trPr>
          <w:trHeight w:val="20"/>
        </w:trPr>
        <w:tc>
          <w:tcPr>
            <w:tcW w:w="8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for the years ended December 31, 2018 and 2019 was $338 and $388, respectively.</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 Accrued Expense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 consists of the following: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8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4"/>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r>
      <w:tr>
        <w:trPr>
          <w:trHeight w:val="177"/>
        </w:trPr>
        <w:tc>
          <w:tcPr>
            <w:tcW w:w="83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r>
      <w:tr>
        <w:trPr>
          <w:trHeight w:val="196"/>
        </w:trPr>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bonuses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893</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1,281</w:t>
            </w:r>
          </w:p>
        </w:tc>
        <w:tc>
          <w:tcPr>
            <w:tcW w:w="60" w:type="dxa"/>
            <w:vAlign w:val="bottom"/>
            <w:shd w:val="clear" w:color="auto" w:fill="CCEEFF"/>
          </w:tcPr>
          <w:p>
            <w:pPr>
              <w:spacing w:after="0"/>
              <w:rPr>
                <w:sz w:val="17"/>
                <w:szCs w:val="17"/>
                <w:color w:val="auto"/>
              </w:rPr>
            </w:pPr>
          </w:p>
        </w:tc>
      </w:tr>
      <w:tr>
        <w:trPr>
          <w:trHeight w:val="203"/>
        </w:trPr>
        <w:tc>
          <w:tcPr>
            <w:tcW w:w="8300" w:type="dxa"/>
            <w:vAlign w:val="bottom"/>
          </w:tcPr>
          <w:p>
            <w:pPr>
              <w:spacing w:after="0" w:line="202" w:lineRule="exact"/>
              <w:rPr>
                <w:sz w:val="20"/>
                <w:szCs w:val="20"/>
                <w:color w:val="auto"/>
              </w:rPr>
            </w:pPr>
            <w:r>
              <w:rPr>
                <w:rFonts w:ascii="Arial" w:cs="Arial" w:eastAsia="Arial" w:hAnsi="Arial"/>
                <w:sz w:val="18"/>
                <w:szCs w:val="18"/>
                <w:color w:val="auto"/>
              </w:rPr>
              <w:t>Accrued vacation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279</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367</w:t>
            </w: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accrued liabilities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117</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w:t>
            </w: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60" w:type="dxa"/>
            <w:vAlign w:val="bottom"/>
          </w:tcPr>
          <w:p>
            <w:pPr>
              <w:spacing w:after="0"/>
              <w:rPr>
                <w:sz w:val="18"/>
                <w:szCs w:val="18"/>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6. Commitments and Contingencies</w:t>
      </w:r>
    </w:p>
    <w:p>
      <w:pPr>
        <w:spacing w:after="0" w:line="104"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In April 2017, the Company amended an existing operating lease for 18,446 square feet of office and laboratory space in Cranbury, New Jersey, that expires in June 2022. In August 2018, the Company signed an operating lease for 6,297 square feet of additional office and laboratory space in Cranbury, New Jersey, which expires in July 2022. In September 2018, the Company signed an operating lease for 3,292 square feet of additional office and laboratory space in Bedford, Massachusetts, which expires in August 2023.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minimum lease payments under these leases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Years Ended December 31,</w:t>
            </w:r>
          </w:p>
        </w:tc>
        <w:tc>
          <w:tcPr>
            <w:tcW w:w="6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1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2020</w:t>
            </w:r>
          </w:p>
        </w:tc>
        <w:tc>
          <w:tcPr>
            <w:tcW w:w="248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479</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248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479</w:t>
            </w:r>
          </w:p>
        </w:tc>
      </w:tr>
      <w:tr>
        <w:trPr>
          <w:trHeight w:val="203"/>
        </w:trPr>
        <w:tc>
          <w:tcPr>
            <w:tcW w:w="1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2480" w:type="dxa"/>
            <w:vAlign w:val="bottom"/>
            <w:shd w:val="clear" w:color="auto" w:fill="CCEEFF"/>
          </w:tcPr>
          <w:p>
            <w:pPr>
              <w:spacing w:after="0"/>
              <w:rPr>
                <w:sz w:val="17"/>
                <w:szCs w:val="17"/>
                <w:color w:val="auto"/>
              </w:rPr>
            </w:pPr>
          </w:p>
        </w:tc>
        <w:tc>
          <w:tcPr>
            <w:tcW w:w="6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251</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48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r>
      <w:tr>
        <w:trPr>
          <w:trHeight w:val="203"/>
        </w:trPr>
        <w:tc>
          <w:tcPr>
            <w:tcW w:w="4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Thereafter</w:t>
            </w:r>
          </w:p>
        </w:tc>
        <w:tc>
          <w:tcPr>
            <w:tcW w:w="6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9"/>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Total future minimum lease payments</w:t>
            </w:r>
          </w:p>
        </w:tc>
        <w:tc>
          <w:tcPr>
            <w:tcW w:w="60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1,213</w:t>
            </w:r>
          </w:p>
        </w:tc>
        <w:tc>
          <w:tcPr>
            <w:tcW w:w="60" w:type="dxa"/>
            <w:vAlign w:val="bottom"/>
          </w:tcPr>
          <w:p>
            <w:pPr>
              <w:spacing w:after="0"/>
              <w:rPr>
                <w:sz w:val="18"/>
                <w:szCs w:val="18"/>
                <w:color w:val="auto"/>
              </w:rPr>
            </w:pPr>
          </w:p>
        </w:tc>
      </w:tr>
      <w:tr>
        <w:trPr>
          <w:trHeight w:val="20"/>
        </w:trPr>
        <w:tc>
          <w:tcPr>
            <w:tcW w:w="18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1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180" w:type="dxa"/>
            <w:vAlign w:val="bottom"/>
            <w:gridSpan w:val="2"/>
          </w:tcPr>
          <w:p>
            <w:pPr>
              <w:jc w:val="right"/>
              <w:ind w:right="4730"/>
              <w:spacing w:after="0"/>
              <w:rPr>
                <w:sz w:val="20"/>
                <w:szCs w:val="20"/>
                <w:color w:val="auto"/>
              </w:rPr>
            </w:pPr>
            <w:r>
              <w:rPr>
                <w:rFonts w:ascii="Arial" w:cs="Arial" w:eastAsia="Arial" w:hAnsi="Arial"/>
                <w:sz w:val="18"/>
                <w:szCs w:val="18"/>
                <w:color w:val="auto"/>
              </w:rPr>
              <w:t>F-16</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2018 and 2019</w:t>
      </w: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 recorded during the years ended December 31, 2018 and 2019 was $479 and $580, respectively.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2019, there were no purchase commitments with third-party suppliers.</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Contingencies</w:t>
      </w:r>
    </w:p>
    <w:p>
      <w:pPr>
        <w:spacing w:after="0" w:line="104" w:lineRule="exact"/>
        <w:rPr>
          <w:sz w:val="20"/>
          <w:szCs w:val="20"/>
          <w:color w:val="auto"/>
        </w:rPr>
      </w:pPr>
    </w:p>
    <w:p>
      <w:pPr>
        <w:ind w:left="120" w:right="320" w:firstLine="551"/>
        <w:spacing w:after="0" w:line="255"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7. Convertible Preferred Stock</w:t>
      </w:r>
    </w:p>
    <w:p>
      <w:pPr>
        <w:spacing w:after="0" w:line="104" w:lineRule="exact"/>
        <w:rPr>
          <w:sz w:val="20"/>
          <w:szCs w:val="20"/>
          <w:color w:val="auto"/>
        </w:rPr>
      </w:pPr>
    </w:p>
    <w:p>
      <w:pPr>
        <w:ind w:left="120" w:right="100" w:firstLine="551"/>
        <w:spacing w:after="0" w:line="243" w:lineRule="auto"/>
        <w:rPr>
          <w:sz w:val="20"/>
          <w:szCs w:val="20"/>
          <w:color w:val="auto"/>
        </w:rPr>
      </w:pPr>
      <w:r>
        <w:rPr>
          <w:rFonts w:ascii="Arial" w:cs="Arial" w:eastAsia="Arial" w:hAnsi="Arial"/>
          <w:sz w:val="18"/>
          <w:szCs w:val="18"/>
          <w:color w:val="auto"/>
        </w:rPr>
        <w:t>The Company is authorized to issue up to 120,483,538 shares of convertible preferred stock with a par value of $0.00001 per share. 8,729,029 shares have been designated as Series Seed convertible preferred stock (Series Seed Preferred), 42,526,138 shares have been designated as Series A convertible preferred stock (Series A Preferred), 40,396,799 shares have been designated as Series B convertible preferred stock (Series B Preferred) and 28,831,572 shares have been designated as Series C convertible preferred stock (Series C Preferred). At December 31, 2019, the Company had an aggregate of 120,393,150 shares of Series Seed Preferred, Series A Preferred, Series B Preferred and Series C Preferred (collectively, “Preferred Stock”) issued and outstanding.</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Preferred Stock consisted of the following (in thousands except for share data):</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Preferred Stock</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Common Stock</w:t>
            </w:r>
          </w:p>
        </w:tc>
      </w:tr>
      <w:tr>
        <w:trPr>
          <w:trHeight w:val="162"/>
        </w:trPr>
        <w:tc>
          <w:tcPr>
            <w:tcW w:w="396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Preferred Stock</w:t>
            </w: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Issued and</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Liquidation</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Issuable Upon</w:t>
            </w:r>
          </w:p>
        </w:tc>
      </w:tr>
      <w:tr>
        <w:trPr>
          <w:trHeight w:val="177"/>
        </w:trPr>
        <w:tc>
          <w:tcPr>
            <w:tcW w:w="3960" w:type="dxa"/>
            <w:vAlign w:val="bottom"/>
          </w:tcPr>
          <w:p>
            <w:pPr>
              <w:spacing w:after="0"/>
              <w:rPr>
                <w:sz w:val="15"/>
                <w:szCs w:val="15"/>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Authorized</w:t>
            </w: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Outstanding</w:t>
            </w: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15"/>
                <w:szCs w:val="15"/>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Preference</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Conversion</w:t>
            </w: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Seed Preferred</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8,729,029</w:t>
            </w:r>
          </w:p>
        </w:tc>
        <w:tc>
          <w:tcPr>
            <w:tcW w:w="3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8,672,163</w:t>
            </w:r>
          </w:p>
        </w:tc>
        <w:tc>
          <w:tcPr>
            <w:tcW w:w="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3,008</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3,050</w:t>
            </w:r>
          </w:p>
        </w:tc>
        <w:tc>
          <w:tcPr>
            <w:tcW w:w="3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8,672,163</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Series A Preferred</w:t>
            </w:r>
          </w:p>
        </w:tc>
        <w:tc>
          <w:tcPr>
            <w:tcW w:w="15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42,526,138</w:t>
            </w:r>
          </w:p>
        </w:tc>
        <w:tc>
          <w:tcPr>
            <w:tcW w:w="15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42,526,138</w:t>
            </w:r>
          </w:p>
        </w:tc>
        <w:tc>
          <w:tcPr>
            <w:tcW w:w="28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30,593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30,734</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42,526,138</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 Preferred</w:t>
            </w:r>
          </w:p>
        </w:tc>
        <w:tc>
          <w:tcPr>
            <w:tcW w:w="15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40,396,799</w:t>
            </w:r>
          </w:p>
        </w:tc>
        <w:tc>
          <w:tcPr>
            <w:tcW w:w="15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40,396,799</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73,627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73,728</w:t>
            </w: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40,396,799</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Series C Preferred</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28,831,572</w:t>
            </w:r>
          </w:p>
        </w:tc>
        <w:tc>
          <w:tcPr>
            <w:tcW w:w="380" w:type="dxa"/>
            <w:vAlign w:val="bottom"/>
          </w:tcPr>
          <w:p>
            <w:pPr>
              <w:spacing w:after="0"/>
              <w:rPr>
                <w:sz w:val="17"/>
                <w:szCs w:val="17"/>
                <w:color w:val="auto"/>
              </w:rPr>
            </w:pPr>
          </w:p>
        </w:tc>
        <w:tc>
          <w:tcPr>
            <w:tcW w:w="15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28,798,050</w:t>
            </w:r>
          </w:p>
        </w:tc>
        <w:tc>
          <w:tcPr>
            <w:tcW w:w="28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61,705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61,873</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28,798,050</w:t>
            </w:r>
          </w:p>
        </w:tc>
      </w:tr>
      <w:tr>
        <w:trPr>
          <w:trHeight w:val="27"/>
        </w:trPr>
        <w:tc>
          <w:tcPr>
            <w:tcW w:w="39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39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120,483,538</w:t>
            </w:r>
          </w:p>
        </w:tc>
        <w:tc>
          <w:tcPr>
            <w:tcW w:w="3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120,393,150</w:t>
            </w:r>
          </w:p>
        </w:tc>
        <w:tc>
          <w:tcPr>
            <w:tcW w:w="2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168,933</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169,385</w:t>
            </w: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120,393,150</w:t>
            </w: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holders of Preferred Stock have the rights, preferences, privileges and restrictions as set forth below:</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left="660" w:right="100" w:firstLine="523"/>
        <w:spacing w:after="0" w:line="248" w:lineRule="auto"/>
        <w:rPr>
          <w:sz w:val="20"/>
          <w:szCs w:val="20"/>
          <w:color w:val="auto"/>
        </w:rPr>
      </w:pPr>
      <w:r>
        <w:rPr>
          <w:rFonts w:ascii="Arial" w:cs="Arial" w:eastAsia="Arial" w:hAnsi="Arial"/>
          <w:sz w:val="18"/>
          <w:szCs w:val="18"/>
          <w:color w:val="auto"/>
        </w:rPr>
        <w:t>The holders of Preferred Stock are entitled to receive non-cumulative dividends prior to and in preference to any declaration of payment of dividends on common stock, when and if declared by the Board of Directors. Any additional dividends will be paid ratably to holders of common and Preferred Stock, with the holders of Preferred Stock participating on an as-if converted basis. No dividends have been declared or paid as of December 31, 2019.</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ind w:left="660" w:firstLine="523"/>
        <w:spacing w:after="0" w:line="276" w:lineRule="auto"/>
        <w:rPr>
          <w:sz w:val="20"/>
          <w:szCs w:val="20"/>
          <w:color w:val="auto"/>
        </w:rPr>
      </w:pPr>
      <w:r>
        <w:rPr>
          <w:rFonts w:ascii="Arial" w:cs="Arial" w:eastAsia="Arial" w:hAnsi="Arial"/>
          <w:sz w:val="18"/>
          <w:szCs w:val="18"/>
          <w:color w:val="auto"/>
        </w:rPr>
        <w:t>The holders of each share of Preferred Stock are entitled to voting rights equal to the number of shares of common stock into which the shares could be converted. As long as any</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5" w:right="43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2018 and 2019</w:t>
      </w: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right="160"/>
        <w:spacing w:after="0" w:line="248" w:lineRule="auto"/>
        <w:rPr>
          <w:sz w:val="20"/>
          <w:szCs w:val="20"/>
          <w:color w:val="auto"/>
        </w:rPr>
      </w:pPr>
      <w:r>
        <w:rPr>
          <w:rFonts w:ascii="Arial" w:cs="Arial" w:eastAsia="Arial" w:hAnsi="Arial"/>
          <w:sz w:val="18"/>
          <w:szCs w:val="18"/>
          <w:color w:val="auto"/>
        </w:rPr>
        <w:t>shares of Preferred Stock remain outstanding, the holders of Preferred Stock, voting together as a class, shall be entitled to elect four members of the Company’s Board of Directors. The holders of common stock, voting together as a single class, shall be entitled to elect two members of the Company’s Board of Directors. Remaining members of the Company’s Board of Directors will be elected by the holders of a majority of the shares of Preferred Stock and common stock, voting together as a single class.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04" w:lineRule="exact"/>
        <w:rPr>
          <w:sz w:val="20"/>
          <w:szCs w:val="20"/>
          <w:color w:val="auto"/>
        </w:rPr>
      </w:pPr>
    </w:p>
    <w:p>
      <w:pPr>
        <w:ind w:left="660" w:firstLine="523"/>
        <w:spacing w:after="0"/>
        <w:rPr>
          <w:sz w:val="20"/>
          <w:szCs w:val="20"/>
          <w:color w:val="auto"/>
        </w:rPr>
      </w:pPr>
      <w:r>
        <w:rPr>
          <w:rFonts w:ascii="Arial" w:cs="Arial" w:eastAsia="Arial" w:hAnsi="Arial"/>
          <w:sz w:val="18"/>
          <w:szCs w:val="18"/>
          <w:color w:val="auto"/>
        </w:rPr>
        <w:t>In the event of any liquidation, dissolution or winding up of the Company, whether voluntary or involuntary, the holders of Preferred Stock have liquidation preferences, before any distribution or payment is made to holders of any common stock, in an amount per share equal to the original issue price of $0.3517 for Series Seed Preferred, $0.7078 for Series A Preferred, $1.8251 for Series B Preferred and $2.1485 for Series C Preferred, as adjusted for stock splits, stock dividends, combinations, recapitalizations and the like, plus any declared but unpaid dividends. If the assets and funds to be distributed among the holders of Preferred Stock are insufficient to permit the payment to such holders, then the entire assets and funds of the Company legally available for distribution will be distributed ratably among the holders of Preferred Stock in proportion to the preferential amount each such holder is otherwise entitled to receive.</w:t>
      </w:r>
    </w:p>
    <w:p>
      <w:pPr>
        <w:spacing w:after="0" w:line="72" w:lineRule="exact"/>
        <w:rPr>
          <w:sz w:val="20"/>
          <w:szCs w:val="20"/>
          <w:color w:val="auto"/>
        </w:rPr>
      </w:pPr>
    </w:p>
    <w:p>
      <w:pPr>
        <w:ind w:left="660" w:firstLine="523"/>
        <w:spacing w:after="0" w:line="241" w:lineRule="auto"/>
        <w:rPr>
          <w:sz w:val="20"/>
          <w:szCs w:val="20"/>
          <w:color w:val="auto"/>
        </w:rPr>
      </w:pPr>
      <w:r>
        <w:rPr>
          <w:rFonts w:ascii="Arial" w:cs="Arial" w:eastAsia="Arial" w:hAnsi="Arial"/>
          <w:sz w:val="18"/>
          <w:szCs w:val="18"/>
          <w:color w:val="auto"/>
        </w:rPr>
        <w:t>Upon completion of the payment of the full liquidation preference of Preferred Stock, the remaining assets of the Company, if any, shall be distributed with equal priority and ratably to the holders of common stock and Preferred Stock, with the Preferred Stock being treated as if the Preferred Stock had been converted to shares of common stock at the then applicable conversion rate. Notwithstanding the foregoing, the aggregate distributions made with respect to any shares of Preferred Stock may not exceed the greater of (i) an amount equal to two times the original issue price plus any declared but unpaid dividends on such share or (ii) the amount the holder would have received if all shares of the Preferred Stock were deemed to have been converted into common stock as of immediately prior to such liquidation, dissolution or winding up of the Company.</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Conversion:</w:t>
      </w:r>
    </w:p>
    <w:p>
      <w:pPr>
        <w:spacing w:after="0" w:line="104" w:lineRule="exact"/>
        <w:rPr>
          <w:sz w:val="20"/>
          <w:szCs w:val="20"/>
          <w:color w:val="auto"/>
        </w:rPr>
      </w:pPr>
    </w:p>
    <w:p>
      <w:pPr>
        <w:ind w:left="660" w:right="80" w:firstLine="523"/>
        <w:spacing w:after="0" w:line="241" w:lineRule="auto"/>
        <w:rPr>
          <w:sz w:val="20"/>
          <w:szCs w:val="20"/>
          <w:color w:val="auto"/>
        </w:rPr>
      </w:pPr>
      <w:r>
        <w:rPr>
          <w:rFonts w:ascii="Arial" w:cs="Arial" w:eastAsia="Arial" w:hAnsi="Arial"/>
          <w:sz w:val="18"/>
          <w:szCs w:val="18"/>
          <w:color w:val="auto"/>
        </w:rPr>
        <w:t>Each share of Preferred Stock is convertible into shares of common stock, at the option of the holder, at any time after date of issuance. Each share of Preferred Stock automatically converts to the number of shares of common stock determined in accordance with the conversion rate upon the earlier of (i) written consent of two-thirds of the then outstanding shares of Preferred Stock, voting together as a single class, and written consent of the majority of the then outstanding shares of Series C Preferred or</w:t>
      </w:r>
    </w:p>
    <w:p>
      <w:pPr>
        <w:spacing w:after="0" w:line="1" w:lineRule="exact"/>
        <w:rPr>
          <w:sz w:val="20"/>
          <w:szCs w:val="20"/>
          <w:color w:val="auto"/>
        </w:rPr>
      </w:pPr>
    </w:p>
    <w:p>
      <w:pPr>
        <w:ind w:left="660" w:right="20" w:firstLine="7"/>
        <w:spacing w:after="0"/>
        <w:tabs>
          <w:tab w:leader="none" w:pos="91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closing of a public offering, in which the gross cash proceeds are at least $40,000 and the initial offering price to the public is at least $2.1485 per share (as adjusted for any stock splits, stock dividends, combinations, subdivisions, recapitalizations, reorganizations, reclassifications or the like). At December 31, 2019, the conversion price for each share of Series Seed Preferred, Series A Preferred, Series B Preferred and Series C Preferred is $0.3517, $0.7078, $1.8251 and $2.1485, respectively.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2018 and 2019</w:t>
      </w: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Redemption:</w:t>
      </w:r>
    </w:p>
    <w:p>
      <w:pPr>
        <w:spacing w:after="0" w:line="104" w:lineRule="exact"/>
        <w:rPr>
          <w:sz w:val="20"/>
          <w:szCs w:val="20"/>
          <w:color w:val="auto"/>
        </w:rPr>
      </w:pPr>
    </w:p>
    <w:p>
      <w:pPr>
        <w:ind w:left="660" w:right="220" w:firstLine="523"/>
        <w:spacing w:after="0" w:line="276" w:lineRule="auto"/>
        <w:rPr>
          <w:sz w:val="20"/>
          <w:szCs w:val="20"/>
          <w:color w:val="auto"/>
        </w:rPr>
      </w:pPr>
      <w:r>
        <w:rPr>
          <w:rFonts w:ascii="Arial" w:cs="Arial" w:eastAsia="Arial" w:hAnsi="Arial"/>
          <w:sz w:val="18"/>
          <w:szCs w:val="18"/>
          <w:color w:val="auto"/>
        </w:rPr>
        <w:t>The Preferred Stock is not currently redeemable. Upon certain change in control events that are outside of the Company’s control, including liquidation, sale or transfer of control of the Company, the Preferred Stock is contingently redeemable.</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Protective Provisions:</w:t>
      </w:r>
    </w:p>
    <w:p>
      <w:pPr>
        <w:spacing w:after="0" w:line="10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holders of preferred stock have certain protective provisions.</w:t>
      </w:r>
    </w:p>
    <w:p>
      <w:pPr>
        <w:spacing w:after="0" w:line="104" w:lineRule="exact"/>
        <w:rPr>
          <w:sz w:val="20"/>
          <w:szCs w:val="20"/>
          <w:color w:val="auto"/>
        </w:rPr>
      </w:pPr>
    </w:p>
    <w:p>
      <w:pPr>
        <w:ind w:left="660" w:firstLine="523"/>
        <w:spacing w:after="0" w:line="243" w:lineRule="auto"/>
        <w:rPr>
          <w:sz w:val="20"/>
          <w:szCs w:val="20"/>
          <w:color w:val="auto"/>
        </w:rPr>
      </w:pPr>
      <w:r>
        <w:rPr>
          <w:rFonts w:ascii="Arial" w:cs="Arial" w:eastAsia="Arial" w:hAnsi="Arial"/>
          <w:sz w:val="18"/>
          <w:szCs w:val="18"/>
          <w:color w:val="auto"/>
        </w:rPr>
        <w:t>As long as at least twenty percent (20%) of the shares of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Preferred Stock, or take certain other actions that would alter the rights, preferences, and privileges of Preferred Stock or effect liquidation, dissolution or winding up of the Company.</w:t>
      </w:r>
    </w:p>
    <w:p>
      <w:pPr>
        <w:spacing w:after="0" w:line="66" w:lineRule="exact"/>
        <w:rPr>
          <w:sz w:val="20"/>
          <w:szCs w:val="20"/>
          <w:color w:val="auto"/>
        </w:rPr>
      </w:pPr>
    </w:p>
    <w:p>
      <w:pPr>
        <w:ind w:left="660" w:right="60" w:firstLine="523"/>
        <w:spacing w:after="0" w:line="243" w:lineRule="auto"/>
        <w:rPr>
          <w:sz w:val="20"/>
          <w:szCs w:val="20"/>
          <w:color w:val="auto"/>
        </w:rPr>
      </w:pPr>
      <w:r>
        <w:rPr>
          <w:rFonts w:ascii="Arial" w:cs="Arial" w:eastAsia="Arial" w:hAnsi="Arial"/>
          <w:sz w:val="18"/>
          <w:szCs w:val="18"/>
          <w:color w:val="auto"/>
        </w:rPr>
        <w:t>As long as at least twenty percent (20%) of the shares of Series A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A Preferred without first obtaining approval of a majority of the outstanding shares of Series A Preferred.</w:t>
      </w:r>
    </w:p>
    <w:p>
      <w:pPr>
        <w:spacing w:after="0" w:line="66" w:lineRule="exact"/>
        <w:rPr>
          <w:sz w:val="20"/>
          <w:szCs w:val="20"/>
          <w:color w:val="auto"/>
        </w:rPr>
      </w:pPr>
    </w:p>
    <w:p>
      <w:pPr>
        <w:ind w:left="660" w:right="60" w:firstLine="523"/>
        <w:spacing w:after="0" w:line="243" w:lineRule="auto"/>
        <w:rPr>
          <w:sz w:val="20"/>
          <w:szCs w:val="20"/>
          <w:color w:val="auto"/>
        </w:rPr>
      </w:pPr>
      <w:r>
        <w:rPr>
          <w:rFonts w:ascii="Arial" w:cs="Arial" w:eastAsia="Arial" w:hAnsi="Arial"/>
          <w:sz w:val="18"/>
          <w:szCs w:val="18"/>
          <w:color w:val="auto"/>
        </w:rPr>
        <w:t>As long as at least twenty percent (20%) of the shares of Series B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B Preferred without first obtaining approval of a majority of the outstanding shares of Series B Preferred.</w:t>
      </w:r>
    </w:p>
    <w:p>
      <w:pPr>
        <w:spacing w:after="0" w:line="66" w:lineRule="exact"/>
        <w:rPr>
          <w:sz w:val="20"/>
          <w:szCs w:val="20"/>
          <w:color w:val="auto"/>
        </w:rPr>
      </w:pPr>
    </w:p>
    <w:p>
      <w:pPr>
        <w:ind w:left="660" w:right="60" w:firstLine="523"/>
        <w:spacing w:after="0" w:line="241" w:lineRule="auto"/>
        <w:rPr>
          <w:sz w:val="20"/>
          <w:szCs w:val="20"/>
          <w:color w:val="auto"/>
        </w:rPr>
      </w:pPr>
      <w:r>
        <w:rPr>
          <w:rFonts w:ascii="Arial" w:cs="Arial" w:eastAsia="Arial" w:hAnsi="Arial"/>
          <w:sz w:val="18"/>
          <w:szCs w:val="18"/>
          <w:color w:val="auto"/>
        </w:rPr>
        <w:t>As long as at least twenty percent (20%) of the shares of Series C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C Preferred or effect liquidation, dissolution or winding up of the Company, unless each share of Series C Preferred receives at least the original issue price of $2.1485 in any such transaction, without first obtaining approval of a majority of the outstanding shares of Series C Preferred.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8. Common Stock</w:t>
      </w:r>
    </w:p>
    <w:p>
      <w:pPr>
        <w:spacing w:after="0" w:line="104" w:lineRule="exact"/>
        <w:rPr>
          <w:sz w:val="20"/>
          <w:szCs w:val="20"/>
          <w:color w:val="auto"/>
        </w:rPr>
      </w:pPr>
    </w:p>
    <w:p>
      <w:pPr>
        <w:ind w:left="120" w:right="680" w:firstLine="551"/>
        <w:spacing w:after="0" w:line="276" w:lineRule="auto"/>
        <w:rPr>
          <w:sz w:val="20"/>
          <w:szCs w:val="20"/>
          <w:color w:val="auto"/>
        </w:rPr>
      </w:pPr>
      <w:r>
        <w:rPr>
          <w:rFonts w:ascii="Arial" w:cs="Arial" w:eastAsia="Arial" w:hAnsi="Arial"/>
          <w:sz w:val="18"/>
          <w:szCs w:val="18"/>
          <w:color w:val="auto"/>
        </w:rPr>
        <w:t>The Company is authorized to issue up to 175,068,944 shares of common stock with a par value of $0.00001 per share. At December 31, 2018 and 2019, there were 15,860,018 and 16,038,590 shares issued and outstanding, respectively.</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5" w:right="47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2018 and 2019</w:t>
      </w: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Common stockholders are entitled to dividends if and when declared by the Board of Directors subject to the rights of the preferred stockholders. As of December 31, 2019, no dividends on common stock had been declared by the Company.</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2018 and 2019, the Company had reserved shares of common stock for issuance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82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 outstanding</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91,595,100</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120,393,150</w:t>
            </w:r>
          </w:p>
        </w:tc>
        <w:tc>
          <w:tcPr>
            <w:tcW w:w="8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Options issued and outstanding</w:t>
            </w: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14,140,032</w:t>
            </w:r>
          </w:p>
        </w:tc>
        <w:tc>
          <w:tcPr>
            <w:tcW w:w="1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14,573,100</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issued and outstanding</w:t>
            </w:r>
          </w:p>
        </w:tc>
        <w:tc>
          <w:tcPr>
            <w:tcW w:w="1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56,866</w:t>
            </w:r>
          </w:p>
        </w:tc>
        <w:tc>
          <w:tcPr>
            <w:tcW w:w="1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56,866</w:t>
            </w: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Shares available for future stock option grants</w:t>
            </w: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3,669,997</w:t>
            </w:r>
          </w:p>
        </w:tc>
        <w:tc>
          <w:tcPr>
            <w:tcW w:w="1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8,058,357</w:t>
            </w:r>
          </w:p>
        </w:tc>
      </w:tr>
      <w:tr>
        <w:trPr>
          <w:trHeight w:val="27"/>
        </w:trPr>
        <w:tc>
          <w:tcPr>
            <w:tcW w:w="82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109,461,995</w:t>
            </w:r>
          </w:p>
        </w:tc>
        <w:tc>
          <w:tcPr>
            <w:tcW w:w="1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143,081,473</w:t>
            </w:r>
          </w:p>
        </w:tc>
      </w:tr>
      <w:tr>
        <w:trPr>
          <w:trHeight w:val="20"/>
        </w:trPr>
        <w:tc>
          <w:tcPr>
            <w:tcW w:w="8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9. Stock Plan</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2014, the Company adopted the 2013 Stock Plan (the “Plan”). As of December 31, 2019, there were 23,363,923 shares of common stock authorized and 8,058,357 shares available for issuance under the Plan. Under the Plan, the Company may issue shares of common stock and options to purchase common stock to employees and consultants. Options granted under the Plan may be Incentive Stock Options or Non-statutory Stock Options, as determined by the Administrator at the time of grant. Stock Purchase Rights may also be granted under the Plan. The term shall be no more than ten years from the date of grant thereof. In the case of an Incentive Stock Option granted to an optionee who, at the time the option is granted, owns stock representing more than 10% of the voting power of all classes of stock of the Company or any Parent or Subsidiary, the term of the option shall be five years from the date of grant or such shorter term as may be provided in the option Agreement.</w:t>
      </w:r>
    </w:p>
    <w:p>
      <w:pPr>
        <w:spacing w:after="0" w:line="180"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In the case of an Incentive Stock Option, (i) granted to an employee who, at the time of grant of such option, owns stock representing more than 10% of the voting power of all classes of stock of the Company or any Parent or Subsidiary, the exercise price shall be no less than 110% of the Fair Market Value per Share on the date of grant; (ii) granted to any other employee, the per share exercise price shall be no less than 100% of the Fair Market Value per Share on the date of grant. In the case of a Non-statutory Stock Option; (i) granted to a Service Provider who, at the time of grant of such option, owns stock representing more than 10% of the voting power of all classes of stock of the Company or any Parent or Subsidiary, the exercise price shall be no less than 110% of the Fair Market Value per Share on the date of grant; (ii) granted to any other service provider, the per share exercise price shall be no less than 100% of the Fair Market Value per Share on the date of grant. Notwithstanding the foregoing, options may be granted with a per share exercise price other than as required above pursuant to a merger or other corporate transaction.</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5" w:right="43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2018 and 2019</w:t>
      </w: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The options may include provisions permitting exercise of the option prior to full vesting. Any unvested shares so purchased shall be subject to repurchase by the Company at the original exercise price of the option.</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Options Outstanding</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Average</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Available</w:t>
            </w:r>
          </w:p>
        </w:tc>
        <w:tc>
          <w:tcPr>
            <w:tcW w:w="12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Contractual Life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7"/>
        </w:trPr>
        <w:tc>
          <w:tcPr>
            <w:tcW w:w="4720" w:type="dxa"/>
            <w:vAlign w:val="bottom"/>
          </w:tcPr>
          <w:p>
            <w:pPr>
              <w:spacing w:after="0"/>
              <w:rPr>
                <w:sz w:val="15"/>
                <w:szCs w:val="15"/>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for Grant</w:t>
            </w:r>
          </w:p>
        </w:tc>
        <w:tc>
          <w:tcPr>
            <w:tcW w:w="12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Price</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5"/>
                <w:szCs w:val="15"/>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 000s)</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Balances, December 31, 2017</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6,448,937</w:t>
            </w:r>
          </w:p>
        </w:tc>
        <w:tc>
          <w:tcPr>
            <w:tcW w:w="5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11,361,092</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0.26</w:t>
            </w:r>
          </w:p>
        </w:tc>
        <w:tc>
          <w:tcPr>
            <w:tcW w:w="4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8.56</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Shares reserved for issuance</w:t>
            </w:r>
          </w:p>
        </w:tc>
        <w:tc>
          <w:tcPr>
            <w:tcW w:w="14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granted</w:t>
            </w:r>
          </w:p>
        </w:tc>
        <w:tc>
          <w:tcPr>
            <w:tcW w:w="14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(4,215,465)</w:t>
            </w: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4,215,465</w:t>
            </w:r>
          </w:p>
        </w:tc>
        <w:tc>
          <w:tcPr>
            <w:tcW w:w="2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0.61</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Options forfeited / cancelled</w:t>
            </w:r>
          </w:p>
        </w:tc>
        <w:tc>
          <w:tcPr>
            <w:tcW w:w="14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1,436,525</w:t>
            </w:r>
          </w:p>
        </w:tc>
        <w:tc>
          <w:tcPr>
            <w:tcW w:w="12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(1,436,525)</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0.61</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exercised</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Arial" w:cs="Arial" w:eastAsia="Arial" w:hAnsi="Arial"/>
                <w:sz w:val="18"/>
                <w:szCs w:val="18"/>
                <w:b w:val="1"/>
                <w:bCs w:val="1"/>
                <w:color w:val="auto"/>
              </w:rPr>
              <w:t>Balances, December 31, 2018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3,669,997</w:t>
            </w:r>
          </w:p>
        </w:tc>
        <w:tc>
          <w:tcPr>
            <w:tcW w:w="5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14,140,032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4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7.88</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reserved for issuance</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5,000,000</w:t>
            </w:r>
          </w:p>
        </w:tc>
        <w:tc>
          <w:tcPr>
            <w:tcW w:w="12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Options granted</w:t>
            </w:r>
          </w:p>
        </w:tc>
        <w:tc>
          <w:tcPr>
            <w:tcW w:w="14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(1,315,000)</w:t>
            </w: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1,315,000</w:t>
            </w:r>
          </w:p>
        </w:tc>
        <w:tc>
          <w:tcPr>
            <w:tcW w:w="260" w:type="dxa"/>
            <w:vAlign w:val="bottom"/>
          </w:tcPr>
          <w:p>
            <w:pPr>
              <w:spacing w:after="0"/>
              <w:rPr>
                <w:sz w:val="17"/>
                <w:szCs w:val="17"/>
                <w:color w:val="auto"/>
              </w:rPr>
            </w:pP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0.67</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forfeited / cancelled</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703,360</w:t>
            </w:r>
          </w:p>
        </w:tc>
        <w:tc>
          <w:tcPr>
            <w:tcW w:w="12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(703,360)</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0.57</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Options exercised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2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(178,572)</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0.56</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Balances, December 31, 2019</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8,058,357</w:t>
            </w: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14,573,100</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0.39</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7.08</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At December 31, 2019</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Vested</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9,884,600</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0.32</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6.59</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4,197</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360"/>
              <w:spacing w:after="0"/>
              <w:rPr>
                <w:sz w:val="20"/>
                <w:szCs w:val="20"/>
                <w:color w:val="auto"/>
              </w:rPr>
            </w:pPr>
            <w:r>
              <w:rPr>
                <w:rFonts w:ascii="Arial" w:cs="Arial" w:eastAsia="Arial" w:hAnsi="Arial"/>
                <w:sz w:val="18"/>
                <w:szCs w:val="18"/>
                <w:color w:val="auto"/>
              </w:rPr>
              <w:t>Exercisable</w:t>
            </w: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vMerge w:val="restart"/>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0.34</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6.72</w:t>
            </w:r>
          </w:p>
        </w:tc>
        <w:tc>
          <w:tcPr>
            <w:tcW w:w="36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line="20" w:lineRule="exact"/>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11,509,852</w:t>
            </w:r>
          </w:p>
        </w:tc>
        <w:tc>
          <w:tcPr>
            <w:tcW w:w="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400" w:firstLine="551"/>
        <w:spacing w:after="0" w:line="255" w:lineRule="auto"/>
        <w:rPr>
          <w:sz w:val="20"/>
          <w:szCs w:val="20"/>
          <w:color w:val="auto"/>
        </w:rPr>
      </w:pPr>
      <w:r>
        <w:rPr>
          <w:rFonts w:ascii="Arial" w:cs="Arial" w:eastAsia="Arial" w:hAnsi="Arial"/>
          <w:sz w:val="18"/>
          <w:szCs w:val="18"/>
          <w:color w:val="auto"/>
        </w:rPr>
        <w:t>The aggregate intrinsic value of options vested and exercisable as of December 31, 2019 is calculated based on the difference between the exercise price and the current fair value of our common stock. The intrinsic value of options exercised in 2019 was $20. There were no stock option exercises in 2018.</w:t>
      </w:r>
    </w:p>
    <w:p>
      <w:pPr>
        <w:spacing w:after="0" w:line="164" w:lineRule="exact"/>
        <w:rPr>
          <w:sz w:val="20"/>
          <w:szCs w:val="20"/>
          <w:color w:val="auto"/>
        </w:rPr>
      </w:pPr>
    </w:p>
    <w:p>
      <w:pPr>
        <w:ind w:left="120" w:right="200" w:firstLine="551"/>
        <w:spacing w:after="0" w:line="276" w:lineRule="auto"/>
        <w:rPr>
          <w:sz w:val="20"/>
          <w:szCs w:val="20"/>
          <w:color w:val="auto"/>
        </w:rPr>
      </w:pPr>
      <w:r>
        <w:rPr>
          <w:rFonts w:ascii="Arial" w:cs="Arial" w:eastAsia="Arial" w:hAnsi="Arial"/>
          <w:sz w:val="18"/>
          <w:szCs w:val="18"/>
          <w:color w:val="auto"/>
        </w:rPr>
        <w:t>At December 31, 2019, the total compensation cost related to nonvested service-based awards not yet recognized is $1,481. The weighted-average period over which the nonvested awards is expected to be recognized is 1.9 years.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for Employees</w:t>
      </w:r>
    </w:p>
    <w:p>
      <w:pPr>
        <w:spacing w:after="0" w:line="104"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Employee options generally vest over four years. Stock-based compensation expense recognized during the years ended December 31, 2018 and 2019 for stock-based awards granted to employees based on the grant date fair value estimated in accordance with the provisions of ASC 718 was $847 and $854, respectively. The unrecognized compensation cost as of December 31, 2019 is expected to be recognized over a weighted-average amortization period of 2.0 years.</w:t>
      </w:r>
    </w:p>
    <w:p>
      <w:pPr>
        <w:spacing w:after="0" w:line="170" w:lineRule="exact"/>
        <w:rPr>
          <w:sz w:val="20"/>
          <w:szCs w:val="20"/>
          <w:color w:val="auto"/>
        </w:rPr>
      </w:pPr>
    </w:p>
    <w:p>
      <w:pPr>
        <w:ind w:left="120" w:right="840" w:firstLine="551"/>
        <w:spacing w:after="0" w:line="276" w:lineRule="auto"/>
        <w:rPr>
          <w:sz w:val="20"/>
          <w:szCs w:val="20"/>
          <w:color w:val="auto"/>
        </w:rPr>
      </w:pPr>
      <w:r>
        <w:rPr>
          <w:rFonts w:ascii="Arial" w:cs="Arial" w:eastAsia="Arial" w:hAnsi="Arial"/>
          <w:sz w:val="18"/>
          <w:szCs w:val="18"/>
          <w:color w:val="auto"/>
        </w:rPr>
        <w:t>The Company estimated the fair value of stock options using the Black-Scholes options valuation model. The fair value of employee stock options is being amortized on a straight-line basis over the</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5" w:right="43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2018 and 2019</w:t>
      </w: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requisite service period of the awards. The fair value of employee stock options was estimated using the following assumptions: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7040" w:type="dxa"/>
            <w:vAlign w:val="bottom"/>
          </w:tcPr>
          <w:p>
            <w:pPr>
              <w:spacing w:after="0"/>
              <w:rPr>
                <w:sz w:val="15"/>
                <w:szCs w:val="15"/>
                <w:color w:val="auto"/>
              </w:rPr>
            </w:pPr>
          </w:p>
        </w:tc>
        <w:tc>
          <w:tcPr>
            <w:tcW w:w="2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5"/>
                <w:szCs w:val="15"/>
                <w:color w:val="auto"/>
              </w:rPr>
            </w:pPr>
          </w:p>
        </w:tc>
      </w:tr>
      <w:tr>
        <w:trPr>
          <w:trHeight w:val="156"/>
        </w:trPr>
        <w:tc>
          <w:tcPr>
            <w:tcW w:w="7040" w:type="dxa"/>
            <w:vAlign w:val="bottom"/>
            <w:tcBorders>
              <w:bottom w:val="single" w:sz="8" w:color="CCEEFF"/>
            </w:tcBorders>
          </w:tcPr>
          <w:p>
            <w:pPr>
              <w:spacing w:after="0"/>
              <w:rPr>
                <w:sz w:val="13"/>
                <w:szCs w:val="13"/>
                <w:color w:val="auto"/>
              </w:rPr>
            </w:pPr>
          </w:p>
        </w:tc>
        <w:tc>
          <w:tcPr>
            <w:tcW w:w="18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3"/>
                <w:szCs w:val="13"/>
                <w:color w:val="auto"/>
              </w:rPr>
            </w:pPr>
          </w:p>
        </w:tc>
        <w:tc>
          <w:tcPr>
            <w:tcW w:w="18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grant date fair value of common stock</w:t>
            </w:r>
          </w:p>
        </w:tc>
        <w:tc>
          <w:tcPr>
            <w:tcW w:w="18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$0.61</w:t>
            </w:r>
          </w:p>
        </w:tc>
        <w:tc>
          <w:tcPr>
            <w:tcW w:w="22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center"/>
              <w:spacing w:after="0" w:line="196" w:lineRule="exact"/>
              <w:rPr>
                <w:sz w:val="20"/>
                <w:szCs w:val="20"/>
                <w:color w:val="auto"/>
              </w:rPr>
            </w:pPr>
            <w:r>
              <w:rPr>
                <w:rFonts w:ascii="Arial" w:cs="Arial" w:eastAsia="Arial" w:hAnsi="Arial"/>
                <w:sz w:val="18"/>
                <w:szCs w:val="18"/>
                <w:color w:val="auto"/>
              </w:rPr>
              <w:t>$0.67</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210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9"/>
              </w:rPr>
              <w:t>2.68% – 2.83%</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 2.51%</w:t>
            </w: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(in years)</w:t>
            </w:r>
          </w:p>
        </w:tc>
        <w:tc>
          <w:tcPr>
            <w:tcW w:w="18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5.99</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w:t>
            </w:r>
          </w:p>
        </w:tc>
        <w:tc>
          <w:tcPr>
            <w:tcW w:w="1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6.37</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7"/>
                <w:szCs w:val="17"/>
                <w:color w:val="auto"/>
              </w:rPr>
            </w:pPr>
          </w:p>
        </w:tc>
        <w:tc>
          <w:tcPr>
            <w:tcW w:w="18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0%</w:t>
            </w: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210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9"/>
              </w:rPr>
              <w:t>63.74% – 81.20%</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72.07%</w:t>
            </w:r>
          </w:p>
        </w:tc>
        <w:tc>
          <w:tcPr>
            <w:tcW w:w="1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72.69%</w:t>
            </w:r>
          </w:p>
        </w:tc>
      </w:tr>
    </w:tbl>
    <w:p>
      <w:pPr>
        <w:spacing w:after="0" w:line="85" w:lineRule="exact"/>
        <w:rPr>
          <w:sz w:val="20"/>
          <w:szCs w:val="20"/>
          <w:color w:val="auto"/>
        </w:rPr>
      </w:pPr>
    </w:p>
    <w:p>
      <w:pPr>
        <w:jc w:val="both"/>
        <w:ind w:left="660" w:right="660" w:firstLine="523"/>
        <w:spacing w:after="0" w:line="25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Company uses the simplified method to calculate expected term described in the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Commission’s Staff Accounting Bulletin No. 107, which takes into account vesting term and expiration date of the options.</w:t>
      </w:r>
    </w:p>
    <w:p>
      <w:pPr>
        <w:spacing w:after="0" w:line="56" w:lineRule="exact"/>
        <w:rPr>
          <w:sz w:val="20"/>
          <w:szCs w:val="20"/>
          <w:color w:val="auto"/>
        </w:rPr>
      </w:pPr>
    </w:p>
    <w:p>
      <w:pPr>
        <w:ind w:left="660" w:right="640" w:firstLine="523"/>
        <w:spacing w:after="0" w:line="276" w:lineRule="auto"/>
        <w:rPr>
          <w:sz w:val="20"/>
          <w:szCs w:val="20"/>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Volatility is based on an average of the historical volatilities of comparable publicly traded companies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w:t>
      </w:r>
    </w:p>
    <w:p>
      <w:pPr>
        <w:spacing w:after="0" w:line="37" w:lineRule="exact"/>
        <w:rPr>
          <w:sz w:val="20"/>
          <w:szCs w:val="20"/>
          <w:color w:val="auto"/>
        </w:rPr>
      </w:pPr>
    </w:p>
    <w:p>
      <w:pPr>
        <w:ind w:left="660" w:right="560" w:firstLine="523"/>
        <w:spacing w:after="0" w:line="276" w:lineRule="auto"/>
        <w:rPr>
          <w:sz w:val="20"/>
          <w:szCs w:val="20"/>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The risk-free rate is based on the U.S. Treasury yields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37" w:lineRule="exact"/>
        <w:rPr>
          <w:sz w:val="20"/>
          <w:szCs w:val="20"/>
          <w:color w:val="auto"/>
        </w:rPr>
      </w:pPr>
    </w:p>
    <w:p>
      <w:pPr>
        <w:ind w:left="660" w:right="60" w:firstLine="523"/>
        <w:spacing w:after="0" w:line="276"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The Company has never declared or paid any cash dividends and does not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and therefore, used an expected dividend yield of zero in the valuation model.</w:t>
      </w:r>
    </w:p>
    <w:p>
      <w:pPr>
        <w:spacing w:after="0" w:line="145" w:lineRule="exact"/>
        <w:rPr>
          <w:sz w:val="20"/>
          <w:szCs w:val="20"/>
          <w:color w:val="auto"/>
        </w:rPr>
      </w:pPr>
    </w:p>
    <w:p>
      <w:pPr>
        <w:ind w:left="120" w:right="100" w:firstLine="551"/>
        <w:spacing w:after="0" w:line="245" w:lineRule="auto"/>
        <w:rPr>
          <w:sz w:val="20"/>
          <w:szCs w:val="20"/>
          <w:color w:val="auto"/>
        </w:rPr>
      </w:pPr>
      <w:r>
        <w:rPr>
          <w:rFonts w:ascii="Arial" w:cs="Arial" w:eastAsia="Arial" w:hAnsi="Arial"/>
          <w:sz w:val="18"/>
          <w:szCs w:val="18"/>
          <w:color w:val="auto"/>
        </w:rPr>
        <w:t>During the year ended December 31, 2018, the Company granted 626,610 stock options at a grant-date fair value of $0.49 per share to an executive that vests only upon the attainment of certain liquidity events. The Company does not believe that it is probable that the performance condition will be satisfied and did not record any stock compensation expense in the years ended December 31, 2018 and 2019 for this option grant. The unrecognized compensation cost associated with this award was $305, a portion of which will be cumulatively caught-up upon achievement of the liquidity event.</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for Non-Employees</w:t>
      </w:r>
    </w:p>
    <w:p>
      <w:pPr>
        <w:spacing w:after="0" w:line="104" w:lineRule="exact"/>
        <w:rPr>
          <w:sz w:val="20"/>
          <w:szCs w:val="20"/>
          <w:color w:val="auto"/>
        </w:rPr>
      </w:pPr>
    </w:p>
    <w:p>
      <w:pPr>
        <w:jc w:val="both"/>
        <w:ind w:left="120" w:right="480" w:firstLine="551"/>
        <w:spacing w:after="0" w:line="255" w:lineRule="auto"/>
        <w:rPr>
          <w:sz w:val="20"/>
          <w:szCs w:val="20"/>
          <w:color w:val="auto"/>
        </w:rPr>
      </w:pPr>
      <w:r>
        <w:rPr>
          <w:rFonts w:ascii="Arial" w:cs="Arial" w:eastAsia="Arial" w:hAnsi="Arial"/>
          <w:sz w:val="18"/>
          <w:szCs w:val="18"/>
          <w:color w:val="auto"/>
        </w:rPr>
        <w:t>Stock-based compensation expense related to stock options granted to non-employees is recognized as the stock options are earned. The Company believes that the estimated fair value of the stock options is more readily measurable than the fair value of the services. There were no stock options granted to non-employees during the years ended December 31, 2018 and 2019.</w:t>
      </w:r>
    </w:p>
    <w:p>
      <w:pPr>
        <w:spacing w:after="0" w:line="16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Non-employee options generally vest over two to three years. Stock-based compensation expense is remeasured every reporting period as the options vest in accordance with the provisions of ASC 505-50. Stock compensation expense recognized during the years ended December 31, 2018 and 2019 for stock-based awards granted to non-employees was $232 and $54, respectively.</w:t>
      </w:r>
    </w:p>
    <w:p>
      <w:pPr>
        <w:spacing w:after="0" w:line="164" w:lineRule="exact"/>
        <w:rPr>
          <w:sz w:val="20"/>
          <w:szCs w:val="20"/>
          <w:color w:val="auto"/>
        </w:rPr>
      </w:pPr>
    </w:p>
    <w:p>
      <w:pPr>
        <w:ind w:left="120" w:right="520" w:firstLine="551"/>
        <w:spacing w:after="0" w:line="276" w:lineRule="auto"/>
        <w:rPr>
          <w:sz w:val="20"/>
          <w:szCs w:val="20"/>
          <w:color w:val="auto"/>
        </w:rPr>
      </w:pPr>
      <w:r>
        <w:rPr>
          <w:rFonts w:ascii="Arial" w:cs="Arial" w:eastAsia="Arial" w:hAnsi="Arial"/>
          <w:sz w:val="18"/>
          <w:szCs w:val="18"/>
          <w:color w:val="auto"/>
        </w:rPr>
        <w:t>No income tax benefits have been recognized relating to stock-based compensation expenses and no tax benefits have been realized from exercised stock options.</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5" w:right="43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2018 and 2019</w:t>
      </w:r>
    </w:p>
    <w:p>
      <w:pPr>
        <w:ind w:left="34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Total Stock-Based Compensation</w:t>
      </w:r>
    </w:p>
    <w:p>
      <w:pPr>
        <w:spacing w:after="0" w:line="104" w:lineRule="exact"/>
        <w:rPr>
          <w:sz w:val="20"/>
          <w:szCs w:val="20"/>
          <w:color w:val="auto"/>
        </w:rPr>
      </w:pPr>
    </w:p>
    <w:p>
      <w:pPr>
        <w:ind w:left="120" w:right="200" w:firstLine="551"/>
        <w:spacing w:after="0" w:line="276" w:lineRule="auto"/>
        <w:rPr>
          <w:sz w:val="20"/>
          <w:szCs w:val="20"/>
          <w:color w:val="auto"/>
        </w:rPr>
      </w:pPr>
      <w:r>
        <w:rPr>
          <w:rFonts w:ascii="Arial" w:cs="Arial" w:eastAsia="Arial" w:hAnsi="Arial"/>
          <w:sz w:val="18"/>
          <w:szCs w:val="18"/>
          <w:color w:val="auto"/>
        </w:rPr>
        <w:t>Total stock-based compensation expense recorded under ASC 718 and ASC 505-50 related to options granted to employees and nonemployees was allocated to research and development and general and administrative expense as follows: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8240" w:type="dxa"/>
            <w:vAlign w:val="bottom"/>
          </w:tcPr>
          <w:p>
            <w:pPr>
              <w:spacing w:after="0"/>
              <w:rPr>
                <w:sz w:val="12"/>
                <w:szCs w:val="12"/>
                <w:color w:val="auto"/>
              </w:rPr>
            </w:pPr>
          </w:p>
        </w:tc>
        <w:tc>
          <w:tcPr>
            <w:tcW w:w="17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r>
      <w:tr>
        <w:trPr>
          <w:trHeight w:val="177"/>
        </w:trPr>
        <w:tc>
          <w:tcPr>
            <w:tcW w:w="8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314</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302</w:t>
            </w:r>
          </w:p>
        </w:tc>
        <w:tc>
          <w:tcPr>
            <w:tcW w:w="60" w:type="dxa"/>
            <w:vAlign w:val="bottom"/>
            <w:shd w:val="clear" w:color="auto" w:fill="CCEEFF"/>
          </w:tcPr>
          <w:p>
            <w:pPr>
              <w:spacing w:after="0"/>
              <w:rPr>
                <w:sz w:val="17"/>
                <w:szCs w:val="17"/>
                <w:color w:val="auto"/>
              </w:rPr>
            </w:pPr>
          </w:p>
        </w:tc>
      </w:tr>
      <w:tr>
        <w:trPr>
          <w:trHeight w:val="209"/>
        </w:trPr>
        <w:tc>
          <w:tcPr>
            <w:tcW w:w="82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765</w:t>
            </w:r>
          </w:p>
        </w:tc>
        <w:tc>
          <w:tcPr>
            <w:tcW w:w="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606</w:t>
            </w:r>
          </w:p>
        </w:tc>
        <w:tc>
          <w:tcPr>
            <w:tcW w:w="60" w:type="dxa"/>
            <w:vAlign w:val="bottom"/>
          </w:tcPr>
          <w:p>
            <w:pPr>
              <w:spacing w:after="0"/>
              <w:rPr>
                <w:sz w:val="18"/>
                <w:szCs w:val="18"/>
                <w:color w:val="auto"/>
              </w:rPr>
            </w:pPr>
          </w:p>
        </w:tc>
      </w:tr>
      <w:tr>
        <w:trPr>
          <w:trHeight w:val="203"/>
        </w:trPr>
        <w:tc>
          <w:tcPr>
            <w:tcW w:w="8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stock-based compensation</w:t>
            </w:r>
          </w:p>
        </w:tc>
        <w:tc>
          <w:tcPr>
            <w:tcW w:w="2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1,079</w:t>
            </w:r>
          </w:p>
        </w:tc>
        <w:tc>
          <w:tcPr>
            <w:tcW w:w="8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908</w:t>
            </w:r>
          </w:p>
        </w:tc>
        <w:tc>
          <w:tcPr>
            <w:tcW w:w="60" w:type="dxa"/>
            <w:vAlign w:val="bottom"/>
            <w:shd w:val="clear" w:color="auto" w:fill="CCEEFF"/>
          </w:tcPr>
          <w:p>
            <w:pPr>
              <w:spacing w:after="0"/>
              <w:rPr>
                <w:sz w:val="17"/>
                <w:szCs w:val="17"/>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10. Income Taxes</w:t>
      </w:r>
    </w:p>
    <w:p>
      <w:pPr>
        <w:spacing w:after="0" w:line="104" w:lineRule="exact"/>
        <w:rPr>
          <w:sz w:val="20"/>
          <w:szCs w:val="20"/>
          <w:color w:val="auto"/>
        </w:rPr>
      </w:pPr>
    </w:p>
    <w:p>
      <w:pPr>
        <w:jc w:val="both"/>
        <w:ind w:left="120" w:right="300" w:firstLine="551"/>
        <w:spacing w:after="0" w:line="248" w:lineRule="auto"/>
        <w:rPr>
          <w:sz w:val="20"/>
          <w:szCs w:val="20"/>
          <w:color w:val="auto"/>
        </w:rPr>
      </w:pPr>
      <w:r>
        <w:rPr>
          <w:rFonts w:ascii="Arial" w:cs="Arial" w:eastAsia="Arial" w:hAnsi="Arial"/>
          <w:sz w:val="18"/>
          <w:szCs w:val="18"/>
          <w:color w:val="auto"/>
        </w:rPr>
        <w:t>The provision for income taxes consisted of current state taxes of $3 and $ 8 for the years ended December 31, 2018 and 2019, respectively. The effective tax rate for the Company for the year ended December 31, 2018 and for the year ended December 31, 2019 was zero percent. A reconciliation of income tax computed at the statutory federal income tax rate to the provision (benefit) for income taxes included in the accompanying statements of operations for the Company is as follows: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78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Years Ended</w:t>
            </w:r>
          </w:p>
        </w:tc>
        <w:tc>
          <w:tcPr>
            <w:tcW w:w="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7800" w:type="dxa"/>
            <w:vAlign w:val="bottom"/>
          </w:tcPr>
          <w:p>
            <w:pPr>
              <w:spacing w:after="0"/>
              <w:rPr>
                <w:sz w:val="12"/>
                <w:szCs w:val="12"/>
                <w:color w:val="auto"/>
              </w:rPr>
            </w:pPr>
          </w:p>
        </w:tc>
        <w:tc>
          <w:tcPr>
            <w:tcW w:w="2060" w:type="dxa"/>
            <w:vAlign w:val="bottom"/>
            <w:gridSpan w:val="2"/>
          </w:tcPr>
          <w:p>
            <w:pPr>
              <w:jc w:val="center"/>
              <w:ind w:right="1048"/>
              <w:spacing w:after="0" w:line="141" w:lineRule="exact"/>
              <w:rPr>
                <w:sz w:val="20"/>
                <w:szCs w:val="20"/>
                <w:color w:val="auto"/>
              </w:rPr>
            </w:pPr>
            <w:r>
              <w:rPr>
                <w:rFonts w:ascii="Arial" w:cs="Arial" w:eastAsia="Arial" w:hAnsi="Arial"/>
                <w:sz w:val="14"/>
                <w:szCs w:val="14"/>
                <w:b w:val="1"/>
                <w:bCs w:val="1"/>
                <w:color w:val="auto"/>
              </w:rPr>
              <w:t>December 31,</w:t>
            </w:r>
          </w:p>
        </w:tc>
        <w:tc>
          <w:tcPr>
            <w:tcW w:w="9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8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provision at statutory federal rate</w:t>
            </w:r>
          </w:p>
        </w:tc>
        <w:tc>
          <w:tcPr>
            <w:tcW w:w="2060" w:type="dxa"/>
            <w:vAlign w:val="bottom"/>
            <w:gridSpan w:val="2"/>
            <w:shd w:val="clear" w:color="auto" w:fill="CCEEFF"/>
          </w:tcPr>
          <w:p>
            <w:pPr>
              <w:jc w:val="right"/>
              <w:ind w:right="888"/>
              <w:spacing w:after="0" w:line="196" w:lineRule="exact"/>
              <w:rPr>
                <w:sz w:val="20"/>
                <w:szCs w:val="20"/>
                <w:color w:val="auto"/>
              </w:rPr>
            </w:pPr>
            <w:r>
              <w:rPr>
                <w:rFonts w:ascii="Arial" w:cs="Arial" w:eastAsia="Arial" w:hAnsi="Arial"/>
                <w:sz w:val="18"/>
                <w:szCs w:val="18"/>
                <w:color w:val="auto"/>
              </w:rPr>
              <w:t>21%</w:t>
            </w:r>
          </w:p>
        </w:tc>
        <w:tc>
          <w:tcPr>
            <w:tcW w:w="11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State tax—net of federal benefit</w:t>
            </w:r>
          </w:p>
        </w:tc>
        <w:tc>
          <w:tcPr>
            <w:tcW w:w="2060" w:type="dxa"/>
            <w:vAlign w:val="bottom"/>
            <w:gridSpan w:val="2"/>
          </w:tcPr>
          <w:p>
            <w:pPr>
              <w:jc w:val="right"/>
              <w:ind w:right="888"/>
              <w:spacing w:after="0" w:line="202" w:lineRule="exact"/>
              <w:rPr>
                <w:sz w:val="20"/>
                <w:szCs w:val="20"/>
                <w:color w:val="auto"/>
              </w:rPr>
            </w:pPr>
            <w:r>
              <w:rPr>
                <w:rFonts w:ascii="Arial" w:cs="Arial" w:eastAsia="Arial" w:hAnsi="Arial"/>
                <w:sz w:val="18"/>
                <w:szCs w:val="18"/>
                <w:color w:val="auto"/>
              </w:rPr>
              <w:t>8%</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credits</w:t>
            </w:r>
          </w:p>
        </w:tc>
        <w:tc>
          <w:tcPr>
            <w:tcW w:w="2060" w:type="dxa"/>
            <w:vAlign w:val="bottom"/>
            <w:gridSpan w:val="2"/>
            <w:shd w:val="clear" w:color="auto" w:fill="CCEEFF"/>
          </w:tcPr>
          <w:p>
            <w:pPr>
              <w:jc w:val="right"/>
              <w:ind w:right="888"/>
              <w:spacing w:after="0" w:line="202" w:lineRule="exact"/>
              <w:rPr>
                <w:sz w:val="20"/>
                <w:szCs w:val="20"/>
                <w:color w:val="auto"/>
              </w:rPr>
            </w:pPr>
            <w:r>
              <w:rPr>
                <w:rFonts w:ascii="Arial" w:cs="Arial" w:eastAsia="Arial" w:hAnsi="Arial"/>
                <w:sz w:val="18"/>
                <w:szCs w:val="18"/>
                <w:color w:val="auto"/>
              </w:rPr>
              <w:t>1%</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060" w:type="dxa"/>
            <w:vAlign w:val="bottom"/>
            <w:gridSpan w:val="2"/>
          </w:tcPr>
          <w:p>
            <w:pPr>
              <w:jc w:val="right"/>
              <w:ind w:right="888"/>
              <w:spacing w:after="0" w:line="202" w:lineRule="exact"/>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Changes in valuation allowance</w:t>
            </w:r>
          </w:p>
        </w:tc>
        <w:tc>
          <w:tcPr>
            <w:tcW w:w="2060" w:type="dxa"/>
            <w:vAlign w:val="bottom"/>
            <w:gridSpan w:val="2"/>
            <w:shd w:val="clear" w:color="auto" w:fill="CCEEFF"/>
          </w:tcPr>
          <w:p>
            <w:pPr>
              <w:jc w:val="right"/>
              <w:ind w:right="888"/>
              <w:spacing w:after="0" w:line="202" w:lineRule="exact"/>
              <w:rPr>
                <w:sz w:val="20"/>
                <w:szCs w:val="20"/>
                <w:color w:val="auto"/>
              </w:rPr>
            </w:pPr>
            <w:r>
              <w:rPr>
                <w:rFonts w:ascii="Arial" w:cs="Arial" w:eastAsia="Arial" w:hAnsi="Arial"/>
                <w:sz w:val="18"/>
                <w:szCs w:val="18"/>
                <w:color w:val="auto"/>
              </w:rPr>
              <w:t>-29%</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9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0" w:type="dxa"/>
            <w:vAlign w:val="bottom"/>
            <w:vMerge w:val="continue"/>
          </w:tcPr>
          <w:p>
            <w:pPr>
              <w:spacing w:after="0"/>
              <w:rPr>
                <w:sz w:val="18"/>
                <w:szCs w:val="18"/>
                <w:color w:val="auto"/>
              </w:rPr>
            </w:pPr>
          </w:p>
        </w:tc>
        <w:tc>
          <w:tcPr>
            <w:tcW w:w="2060" w:type="dxa"/>
            <w:vAlign w:val="bottom"/>
            <w:gridSpan w:val="2"/>
          </w:tcPr>
          <w:p>
            <w:pPr>
              <w:jc w:val="right"/>
              <w:ind w:right="888"/>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left="120" w:right="140" w:firstLine="551"/>
        <w:spacing w:after="0" w:line="255" w:lineRule="auto"/>
        <w:rPr>
          <w:sz w:val="20"/>
          <w:szCs w:val="20"/>
          <w:color w:val="auto"/>
        </w:rPr>
      </w:pPr>
      <w:r>
        <w:rPr>
          <w:rFonts w:ascii="Arial" w:cs="Arial" w:eastAsia="Arial" w:hAnsi="Arial"/>
          <w:sz w:val="18"/>
          <w:szCs w:val="18"/>
          <w:color w:val="auto"/>
        </w:rPr>
        <w:t>For the years ended December 31, 2018 and 2019, the Company’s effective tax rate is below the federal statutory income tax rate of 21% primarily due to state income taxes, net of federal benefit and the Company’s position to establish a full valuation allowance on its deferred tax assets.</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5" w:right="43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2018 and 2019</w:t>
      </w: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The tax effects of temporary differences and carryforwards that give rise to significant portions of the net deferred tax assets are presented below:</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0"/>
        </w:trPr>
        <w:tc>
          <w:tcPr>
            <w:tcW w:w="8360" w:type="dxa"/>
            <w:vAlign w:val="bottom"/>
          </w:tcPr>
          <w:p>
            <w:pPr>
              <w:spacing w:after="0"/>
              <w:rPr>
                <w:sz w:val="12"/>
                <w:szCs w:val="12"/>
                <w:color w:val="auto"/>
              </w:rPr>
            </w:pPr>
          </w:p>
        </w:tc>
        <w:tc>
          <w:tcPr>
            <w:tcW w:w="1300" w:type="dxa"/>
            <w:vAlign w:val="bottom"/>
            <w:gridSpan w:val="4"/>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9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r>
      <w:tr>
        <w:trPr>
          <w:trHeight w:val="177"/>
        </w:trPr>
        <w:tc>
          <w:tcPr>
            <w:tcW w:w="83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Net operating loss carryforwards</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12,098</w:t>
            </w:r>
          </w:p>
        </w:tc>
        <w:tc>
          <w:tcPr>
            <w:tcW w:w="5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18,707</w:t>
            </w: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Stock compensation</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315</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473</w:t>
            </w: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 credits</w:t>
            </w:r>
          </w:p>
        </w:tc>
        <w:tc>
          <w:tcPr>
            <w:tcW w:w="22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1,115</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1,497</w:t>
            </w: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Accruals and reserves</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353</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490</w:t>
            </w:r>
          </w:p>
        </w:tc>
      </w:tr>
      <w:tr>
        <w:trPr>
          <w:trHeight w:val="209"/>
        </w:trPr>
        <w:tc>
          <w:tcPr>
            <w:tcW w:w="836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13,881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21,167</w:t>
            </w: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(13,812)</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(21,106)</w:t>
            </w:r>
          </w:p>
        </w:tc>
      </w:tr>
      <w:tr>
        <w:trPr>
          <w:trHeight w:val="217"/>
        </w:trPr>
        <w:tc>
          <w:tcPr>
            <w:tcW w:w="8360" w:type="dxa"/>
            <w:vAlign w:val="bottom"/>
          </w:tcPr>
          <w:p>
            <w:pPr>
              <w:spacing w:after="0"/>
              <w:rPr>
                <w:sz w:val="20"/>
                <w:szCs w:val="20"/>
                <w:color w:val="auto"/>
              </w:rPr>
            </w:pPr>
            <w:r>
              <w:rPr>
                <w:rFonts w:ascii="Arial" w:cs="Arial" w:eastAsia="Arial" w:hAnsi="Arial"/>
                <w:sz w:val="18"/>
                <w:szCs w:val="18"/>
                <w:color w:val="auto"/>
              </w:rPr>
              <w:t>Deferred tax assets recognized</w:t>
            </w: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Fixed assets and depreciation</w:t>
            </w:r>
          </w:p>
        </w:tc>
        <w:tc>
          <w:tcPr>
            <w:tcW w:w="220" w:type="dxa"/>
            <w:vAlign w:val="bottom"/>
          </w:tcPr>
          <w:p>
            <w:pPr>
              <w:spacing w:after="0"/>
              <w:rPr>
                <w:sz w:val="17"/>
                <w:szCs w:val="17"/>
                <w:color w:val="auto"/>
              </w:rPr>
            </w:pPr>
          </w:p>
        </w:tc>
        <w:tc>
          <w:tcPr>
            <w:tcW w:w="10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(69)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(61)</w:t>
            </w:r>
          </w:p>
        </w:tc>
      </w:tr>
      <w:tr>
        <w:trPr>
          <w:trHeight w:val="27"/>
        </w:trPr>
        <w:tc>
          <w:tcPr>
            <w:tcW w:w="8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deferred tax liabilities</w:t>
            </w:r>
          </w:p>
        </w:tc>
        <w:tc>
          <w:tcPr>
            <w:tcW w:w="2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(69)</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(61)</w:t>
            </w:r>
          </w:p>
        </w:tc>
      </w:tr>
      <w:tr>
        <w:trPr>
          <w:trHeight w:val="210"/>
        </w:trPr>
        <w:tc>
          <w:tcPr>
            <w:tcW w:w="83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380" w:firstLine="551"/>
        <w:spacing w:after="0" w:line="276" w:lineRule="auto"/>
        <w:rPr>
          <w:sz w:val="20"/>
          <w:szCs w:val="20"/>
          <w:color w:val="auto"/>
        </w:rPr>
      </w:pPr>
      <w:r>
        <w:rPr>
          <w:rFonts w:ascii="Arial" w:cs="Arial" w:eastAsia="Arial" w:hAnsi="Arial"/>
          <w:sz w:val="18"/>
          <w:szCs w:val="18"/>
          <w:color w:val="auto"/>
        </w:rPr>
        <w:t>The Company has recorded a valuation allowance for its deferred tax assets that it does not believe will be realizable at a more likely than not level based on analysis of all available sources of taxable income.</w:t>
      </w:r>
    </w:p>
    <w:p>
      <w:pPr>
        <w:spacing w:after="0" w:line="145"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At December 31, 2018 and 2019, the Company had net operating loss carryforwards of $43,045 and $66,352, respectively. At December 31, 2018, the Company had state net operating loss carryforwards for New Jersey, California and Massachusetts of approximately $ 38,822, $4,912 and $363, respectively. At December 31, 2019, the Company had state net operating loss carryforwards for New Jersey, California and Massachusetts of approximately $61,503, $4,912 and $901, respectively. The federal and state net operating loss carryforwards expire beginning in the year 2033. The Company also has federal and state research and development credit carryforward of approximately $1,658 and $2,169, respectively, at December 31, 2018 and 2019. The federal credits will begin to expire in 2034 if not utilized. The California state credits carryforward indefinitely and the New Jersey state credits expire starting in 2021. The above net operating losses and research and development credits are subject to Sections 382 and 383 of the Internal Revenue Code. In the event of a change in ownership as defined by these code sections, the usage of the net operating losses and research and development credits may be limited.</w:t>
      </w:r>
    </w:p>
    <w:p>
      <w:pPr>
        <w:spacing w:after="0" w:line="180"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The Company accrues interest and penalties related to unrecognized tax benefits in the Provision for income taxes line item in the statements of operations and comprehensive loss. As of December 31, 2018 and 2019, the Company had not accrued any interest or penalties related to uncertain tax positions.</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5" w:right="43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2018 and 2019</w:t>
      </w: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If the ending balance of $415 and $ 543 of unrecognized tax benefits as of December 31, 2018 and 2019, respectively, were recognized, none of the recognition would affect the income tax rate. The following table summarizes the activity related to the Company’s unrecognized tax benefits: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0"/>
        </w:trPr>
        <w:tc>
          <w:tcPr>
            <w:tcW w:w="8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2"/>
                <w:szCs w:val="12"/>
                <w:color w:val="auto"/>
              </w:rPr>
            </w:pPr>
          </w:p>
        </w:tc>
        <w:tc>
          <w:tcPr>
            <w:tcW w:w="9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r>
      <w:tr>
        <w:trPr>
          <w:trHeight w:val="177"/>
        </w:trPr>
        <w:tc>
          <w:tcPr>
            <w:tcW w:w="80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96"/>
        </w:trPr>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Unrecognized tax benefits, beginning of year</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252</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7"/>
                <w:szCs w:val="17"/>
                <w:color w:val="auto"/>
              </w:rPr>
            </w:pPr>
          </w:p>
        </w:tc>
      </w:tr>
      <w:tr>
        <w:trPr>
          <w:trHeight w:val="203"/>
        </w:trPr>
        <w:tc>
          <w:tcPr>
            <w:tcW w:w="8080" w:type="dxa"/>
            <w:vAlign w:val="bottom"/>
          </w:tcPr>
          <w:p>
            <w:pPr>
              <w:spacing w:after="0" w:line="202" w:lineRule="exact"/>
              <w:rPr>
                <w:sz w:val="20"/>
                <w:szCs w:val="20"/>
                <w:color w:val="auto"/>
              </w:rPr>
            </w:pPr>
            <w:r>
              <w:rPr>
                <w:rFonts w:ascii="Arial" w:cs="Arial" w:eastAsia="Arial" w:hAnsi="Arial"/>
                <w:sz w:val="18"/>
                <w:szCs w:val="18"/>
                <w:color w:val="auto"/>
              </w:rPr>
              <w:t>Reductions based on prior year tax positions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w:t>
            </w:r>
          </w:p>
        </w:tc>
      </w:tr>
      <w:tr>
        <w:trPr>
          <w:trHeight w:val="203"/>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 based on current year tax positions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163</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159</w:t>
            </w:r>
          </w:p>
        </w:tc>
      </w:tr>
      <w:tr>
        <w:trPr>
          <w:trHeight w:val="210"/>
        </w:trPr>
        <w:tc>
          <w:tcPr>
            <w:tcW w:w="8080" w:type="dxa"/>
            <w:vAlign w:val="bottom"/>
          </w:tcPr>
          <w:p>
            <w:pPr>
              <w:spacing w:after="0"/>
              <w:rPr>
                <w:sz w:val="20"/>
                <w:szCs w:val="20"/>
                <w:color w:val="auto"/>
              </w:rPr>
            </w:pPr>
            <w:r>
              <w:rPr>
                <w:rFonts w:ascii="Arial" w:cs="Arial" w:eastAsia="Arial" w:hAnsi="Arial"/>
                <w:sz w:val="18"/>
                <w:szCs w:val="18"/>
                <w:color w:val="auto"/>
              </w:rPr>
              <w:t>Unrecognized tax benefits, end of year</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8"/>
                <w:szCs w:val="18"/>
                <w:color w:val="auto"/>
              </w:rPr>
            </w:pPr>
          </w:p>
        </w:tc>
      </w:tr>
      <w:tr>
        <w:trPr>
          <w:trHeight w:val="20"/>
        </w:trPr>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900" w:firstLine="551"/>
        <w:spacing w:after="0" w:line="276" w:lineRule="auto"/>
        <w:rPr>
          <w:sz w:val="20"/>
          <w:szCs w:val="20"/>
          <w:color w:val="auto"/>
        </w:rPr>
      </w:pPr>
      <w:r>
        <w:rPr>
          <w:rFonts w:ascii="Arial" w:cs="Arial" w:eastAsia="Arial" w:hAnsi="Arial"/>
          <w:sz w:val="18"/>
          <w:szCs w:val="18"/>
          <w:color w:val="auto"/>
        </w:rPr>
        <w:t>The Company does not anticipate any material change in its unrecognized tax benefits over the next twelve months. The unrecognized tax benefits may change during the next year for items that arise in the ordinary course of business.</w:t>
      </w:r>
    </w:p>
    <w:p>
      <w:pPr>
        <w:spacing w:after="0" w:line="145" w:lineRule="exact"/>
        <w:rPr>
          <w:sz w:val="20"/>
          <w:szCs w:val="20"/>
          <w:color w:val="auto"/>
        </w:rPr>
      </w:pPr>
    </w:p>
    <w:p>
      <w:pPr>
        <w:jc w:val="both"/>
        <w:ind w:left="120" w:right="60" w:firstLine="551"/>
        <w:spacing w:after="0" w:line="255" w:lineRule="auto"/>
        <w:rPr>
          <w:sz w:val="20"/>
          <w:szCs w:val="20"/>
          <w:color w:val="auto"/>
        </w:rPr>
      </w:pPr>
      <w:r>
        <w:rPr>
          <w:rFonts w:ascii="Arial" w:cs="Arial" w:eastAsia="Arial" w:hAnsi="Arial"/>
          <w:sz w:val="18"/>
          <w:szCs w:val="18"/>
          <w:color w:val="auto"/>
        </w:rPr>
        <w:t>The Company files U.S. federal and state income tax returns with varying statutes of limitations. The Company’s tax years 2013 to 2019 will remain open for examination by the federal and state authorities for three and four years, respectively, from the date of utilization of any net operating loss credits.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11. Net Loss per Share and Unaudited Pro Forma Net Loss Per Share</w:t>
      </w:r>
    </w:p>
    <w:p>
      <w:pPr>
        <w:spacing w:after="0" w:line="104" w:lineRule="exact"/>
        <w:rPr>
          <w:sz w:val="20"/>
          <w:szCs w:val="20"/>
          <w:color w:val="auto"/>
        </w:rPr>
      </w:pPr>
    </w:p>
    <w:p>
      <w:pPr>
        <w:jc w:val="both"/>
        <w:ind w:left="120" w:right="80" w:firstLine="551"/>
        <w:spacing w:after="0" w:line="276" w:lineRule="auto"/>
        <w:rPr>
          <w:sz w:val="20"/>
          <w:szCs w:val="20"/>
          <w:color w:val="auto"/>
        </w:rPr>
      </w:pPr>
      <w:r>
        <w:rPr>
          <w:rFonts w:ascii="Arial" w:cs="Arial" w:eastAsia="Arial" w:hAnsi="Arial"/>
          <w:sz w:val="18"/>
          <w:szCs w:val="18"/>
          <w:color w:val="auto"/>
        </w:rPr>
        <w:t>The following outstanding potentially dilutive common stock equivalents have been excluded from the calculation of diluted net loss per share for the periods presented due to their antidilutive effect:</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gridSpan w:val="8"/>
          </w:tcPr>
          <w:p>
            <w:pPr>
              <w:jc w:val="right"/>
              <w:ind w:right="1000"/>
              <w:spacing w:after="0"/>
              <w:rPr>
                <w:sz w:val="20"/>
                <w:szCs w:val="20"/>
                <w:color w:val="auto"/>
              </w:rPr>
            </w:pPr>
            <w:r>
              <w:rPr>
                <w:rFonts w:ascii="Arial" w:cs="Arial" w:eastAsia="Arial" w:hAnsi="Arial"/>
                <w:sz w:val="14"/>
                <w:szCs w:val="14"/>
                <w:b w:val="1"/>
                <w:bCs w:val="1"/>
                <w:color w:val="auto"/>
              </w:rPr>
              <w:t>Years Ended</w:t>
            </w:r>
          </w:p>
        </w:tc>
      </w:tr>
      <w:tr>
        <w:trPr>
          <w:trHeight w:val="140"/>
        </w:trPr>
        <w:tc>
          <w:tcPr>
            <w:tcW w:w="8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4"/>
          </w:tcPr>
          <w:p>
            <w:pPr>
              <w:jc w:val="center"/>
              <w:ind w:right="280"/>
              <w:spacing w:after="0" w:line="141" w:lineRule="exact"/>
              <w:rPr>
                <w:sz w:val="20"/>
                <w:szCs w:val="20"/>
                <w:color w:val="auto"/>
              </w:rPr>
            </w:pPr>
            <w:r>
              <w:rPr>
                <w:rFonts w:ascii="Arial" w:cs="Arial" w:eastAsia="Arial" w:hAnsi="Arial"/>
                <w:sz w:val="14"/>
                <w:szCs w:val="14"/>
                <w:b w:val="1"/>
                <w:bCs w:val="1"/>
                <w:color w:val="auto"/>
              </w:rPr>
              <w:t>December 31,</w:t>
            </w: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r>
      <w:tr>
        <w:trPr>
          <w:trHeight w:val="177"/>
        </w:trPr>
        <w:tc>
          <w:tcPr>
            <w:tcW w:w="824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 (as converted)</w:t>
            </w:r>
          </w:p>
        </w:tc>
        <w:tc>
          <w:tcPr>
            <w:tcW w:w="12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91,595,100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120,393,150</w:t>
            </w:r>
          </w:p>
        </w:tc>
        <w:tc>
          <w:tcPr>
            <w:tcW w:w="8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12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56,866</w:t>
            </w:r>
          </w:p>
        </w:tc>
        <w:tc>
          <w:tcPr>
            <w:tcW w:w="140" w:type="dxa"/>
            <w:vAlign w:val="bottom"/>
          </w:tcPr>
          <w:p>
            <w:pPr>
              <w:spacing w:after="0"/>
              <w:rPr>
                <w:sz w:val="17"/>
                <w:szCs w:val="17"/>
                <w:color w:val="auto"/>
              </w:rPr>
            </w:pPr>
          </w:p>
        </w:tc>
        <w:tc>
          <w:tcPr>
            <w:tcW w:w="136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56,866</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 options issued and outstanding</w:t>
            </w:r>
          </w:p>
        </w:tc>
        <w:tc>
          <w:tcPr>
            <w:tcW w:w="128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14,140,032</w:t>
            </w:r>
          </w:p>
        </w:tc>
        <w:tc>
          <w:tcPr>
            <w:tcW w:w="140" w:type="dxa"/>
            <w:vAlign w:val="bottom"/>
            <w:shd w:val="clear" w:color="auto" w:fill="CCEEFF"/>
          </w:tcPr>
          <w:p>
            <w:pPr>
              <w:spacing w:after="0"/>
              <w:rPr>
                <w:sz w:val="17"/>
                <w:szCs w:val="17"/>
                <w:color w:val="auto"/>
              </w:rPr>
            </w:pPr>
          </w:p>
        </w:tc>
        <w:tc>
          <w:tcPr>
            <w:tcW w:w="136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14,573,100</w:t>
            </w:r>
          </w:p>
        </w:tc>
      </w:tr>
      <w:tr>
        <w:trPr>
          <w:trHeight w:val="210"/>
        </w:trPr>
        <w:tc>
          <w:tcPr>
            <w:tcW w:w="8240" w:type="dxa"/>
            <w:vAlign w:val="bottom"/>
          </w:tcPr>
          <w:p>
            <w:pPr>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105,791,998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135,023,116</w:t>
            </w:r>
          </w:p>
        </w:tc>
        <w:tc>
          <w:tcPr>
            <w:tcW w:w="80" w:type="dxa"/>
            <w:vAlign w:val="bottom"/>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8"/>
          </w:tcPr>
          <w:p>
            <w:pPr>
              <w:jc w:val="right"/>
              <w:ind w:right="980"/>
              <w:spacing w:after="0"/>
              <w:rPr>
                <w:sz w:val="20"/>
                <w:szCs w:val="20"/>
                <w:color w:val="auto"/>
              </w:rPr>
            </w:pPr>
            <w:r>
              <w:rPr>
                <w:rFonts w:ascii="Arial" w:cs="Arial" w:eastAsia="Arial" w:hAnsi="Arial"/>
                <w:sz w:val="14"/>
                <w:szCs w:val="14"/>
                <w:b w:val="1"/>
                <w:bCs w:val="1"/>
                <w:color w:val="auto"/>
              </w:rPr>
              <w:t>Years Ended</w:t>
            </w:r>
          </w:p>
        </w:tc>
      </w:tr>
      <w:tr>
        <w:trPr>
          <w:trHeight w:val="140"/>
        </w:trPr>
        <w:tc>
          <w:tcPr>
            <w:tcW w:w="8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Borders>
              <w:top w:val="single" w:sz="8" w:color="auto"/>
            </w:tcBorders>
            <w:gridSpan w:val="4"/>
          </w:tcPr>
          <w:p>
            <w:pPr>
              <w:jc w:val="center"/>
              <w:ind w:right="240"/>
              <w:spacing w:after="0" w:line="141" w:lineRule="exact"/>
              <w:rPr>
                <w:sz w:val="20"/>
                <w:szCs w:val="20"/>
                <w:color w:val="auto"/>
              </w:rPr>
            </w:pPr>
            <w:r>
              <w:rPr>
                <w:rFonts w:ascii="Arial" w:cs="Arial" w:eastAsia="Arial" w:hAnsi="Arial"/>
                <w:sz w:val="14"/>
                <w:szCs w:val="14"/>
                <w:b w:val="1"/>
                <w:bCs w:val="1"/>
                <w:color w:val="auto"/>
              </w:rPr>
              <w:t>December 31,</w:t>
            </w: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December 31,</w:t>
            </w:r>
          </w:p>
        </w:tc>
        <w:tc>
          <w:tcPr>
            <w:tcW w:w="160" w:type="dxa"/>
            <w:vAlign w:val="bottom"/>
            <w:gridSpan w:val="2"/>
          </w:tcPr>
          <w:p>
            <w:pPr>
              <w:spacing w:after="0"/>
              <w:rPr>
                <w:sz w:val="12"/>
                <w:szCs w:val="12"/>
                <w:color w:val="auto"/>
              </w:rPr>
            </w:pPr>
          </w:p>
        </w:tc>
      </w:tr>
      <w:tr>
        <w:trPr>
          <w:trHeight w:val="177"/>
        </w:trPr>
        <w:tc>
          <w:tcPr>
            <w:tcW w:w="8240" w:type="dxa"/>
            <w:vAlign w:val="bottom"/>
          </w:tcPr>
          <w:p>
            <w:pPr>
              <w:spacing w:after="0"/>
              <w:rPr>
                <w:sz w:val="15"/>
                <w:szCs w:val="15"/>
                <w:color w:val="auto"/>
              </w:rPr>
            </w:pPr>
          </w:p>
        </w:tc>
        <w:tc>
          <w:tcPr>
            <w:tcW w:w="1200" w:type="dxa"/>
            <w:vAlign w:val="bottom"/>
            <w:gridSpan w:val="2"/>
          </w:tcPr>
          <w:p>
            <w:pPr>
              <w:jc w:val="center"/>
              <w:ind w:left="3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8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(17,538)</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(25,352)</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Weighted-average number of shares—basic and diluted</w:t>
            </w: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15,860,018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15,980,859</w:t>
            </w:r>
          </w:p>
        </w:tc>
        <w:tc>
          <w:tcPr>
            <w:tcW w:w="80" w:type="dxa"/>
            <w:vAlign w:val="bottom"/>
          </w:tcPr>
          <w:p>
            <w:pPr>
              <w:spacing w:after="0"/>
              <w:rPr>
                <w:sz w:val="17"/>
                <w:szCs w:val="17"/>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share—basic and diluted</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7"/>
                <w:szCs w:val="17"/>
                <w:color w:val="auto"/>
              </w:rPr>
            </w:pPr>
          </w:p>
        </w:tc>
      </w:tr>
    </w:tbl>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04" w:lineRule="exact"/>
        <w:rPr>
          <w:sz w:val="20"/>
          <w:szCs w:val="20"/>
          <w:color w:val="auto"/>
        </w:rPr>
      </w:pPr>
    </w:p>
    <w:p>
      <w:pPr>
        <w:ind w:left="120" w:right="880" w:firstLine="551"/>
        <w:spacing w:after="0" w:line="276" w:lineRule="auto"/>
        <w:rPr>
          <w:sz w:val="20"/>
          <w:szCs w:val="20"/>
          <w:color w:val="auto"/>
        </w:rPr>
      </w:pPr>
      <w:r>
        <w:rPr>
          <w:rFonts w:ascii="Arial" w:cs="Arial" w:eastAsia="Arial" w:hAnsi="Arial"/>
          <w:sz w:val="18"/>
          <w:szCs w:val="18"/>
          <w:color w:val="auto"/>
        </w:rPr>
        <w:t>The unaudited pro forma net loss per share is computed using the weighted-average number of shares of common stock outstanding after giving pro forma effect to the conversion of all issued and</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5" w:right="43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2018 and 2019</w:t>
      </w: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560"/>
        <w:spacing w:after="0" w:line="276" w:lineRule="auto"/>
        <w:rPr>
          <w:sz w:val="20"/>
          <w:szCs w:val="20"/>
          <w:color w:val="auto"/>
        </w:rPr>
      </w:pPr>
      <w:r>
        <w:rPr>
          <w:rFonts w:ascii="Arial" w:cs="Arial" w:eastAsia="Arial" w:hAnsi="Arial"/>
          <w:sz w:val="18"/>
          <w:szCs w:val="18"/>
          <w:color w:val="auto"/>
        </w:rPr>
        <w:t>outstanding shares of convertible preferred stock during the year ended December 31, 2019 into shares of common stock as if such conversion had occurred at January 1, 2019, or the date of original issuance, if later.</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680" w:type="dxa"/>
            <w:vAlign w:val="bottom"/>
          </w:tcPr>
          <w:p>
            <w:pPr>
              <w:spacing w:after="0"/>
              <w:rPr>
                <w:sz w:val="14"/>
                <w:szCs w:val="14"/>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9680" w:type="dxa"/>
            <w:vAlign w:val="bottom"/>
          </w:tcPr>
          <w:p>
            <w:pPr>
              <w:spacing w:after="0"/>
              <w:rPr>
                <w:sz w:val="14"/>
                <w:szCs w:val="14"/>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96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r>
      <w:tr>
        <w:trPr>
          <w:trHeight w:val="196"/>
        </w:trPr>
        <w:tc>
          <w:tcPr>
            <w:tcW w:w="9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(25,352)</w:t>
            </w:r>
          </w:p>
        </w:tc>
        <w:tc>
          <w:tcPr>
            <w:tcW w:w="160" w:type="dxa"/>
            <w:vAlign w:val="bottom"/>
            <w:shd w:val="clear" w:color="auto" w:fill="CCEEFF"/>
          </w:tcPr>
          <w:p>
            <w:pPr>
              <w:spacing w:after="0"/>
              <w:rPr>
                <w:sz w:val="17"/>
                <w:szCs w:val="17"/>
                <w:color w:val="auto"/>
              </w:rPr>
            </w:pPr>
          </w:p>
        </w:tc>
      </w:tr>
      <w:tr>
        <w:trPr>
          <w:trHeight w:val="209"/>
        </w:trPr>
        <w:tc>
          <w:tcPr>
            <w:tcW w:w="9680" w:type="dxa"/>
            <w:vAlign w:val="bottom"/>
          </w:tcPr>
          <w:p>
            <w:pPr>
              <w:spacing w:after="0"/>
              <w:rPr>
                <w:sz w:val="20"/>
                <w:szCs w:val="20"/>
                <w:color w:val="auto"/>
              </w:rPr>
            </w:pPr>
            <w:r>
              <w:rPr>
                <w:rFonts w:ascii="Arial" w:cs="Arial" w:eastAsia="Arial" w:hAnsi="Arial"/>
                <w:sz w:val="18"/>
                <w:szCs w:val="18"/>
                <w:color w:val="auto"/>
              </w:rPr>
              <w:t>Weighted-average number of shares—basic and diluted</w:t>
            </w:r>
          </w:p>
        </w:tc>
        <w:tc>
          <w:tcPr>
            <w:tcW w:w="1180" w:type="dxa"/>
            <w:vAlign w:val="bottom"/>
          </w:tcPr>
          <w:p>
            <w:pPr>
              <w:jc w:val="right"/>
              <w:spacing w:after="0"/>
              <w:rPr>
                <w:sz w:val="20"/>
                <w:szCs w:val="20"/>
                <w:color w:val="auto"/>
              </w:rPr>
            </w:pPr>
            <w:r>
              <w:rPr>
                <w:rFonts w:ascii="Arial" w:cs="Arial" w:eastAsia="Arial" w:hAnsi="Arial"/>
                <w:sz w:val="18"/>
                <w:szCs w:val="18"/>
                <w:color w:val="auto"/>
              </w:rPr>
              <w:t>15,980,859</w:t>
            </w:r>
          </w:p>
        </w:tc>
        <w:tc>
          <w:tcPr>
            <w:tcW w:w="160" w:type="dxa"/>
            <w:vAlign w:val="bottom"/>
          </w:tcPr>
          <w:p>
            <w:pPr>
              <w:spacing w:after="0"/>
              <w:rPr>
                <w:sz w:val="18"/>
                <w:szCs w:val="18"/>
                <w:color w:val="auto"/>
              </w:rPr>
            </w:pPr>
          </w:p>
        </w:tc>
      </w:tr>
      <w:tr>
        <w:trPr>
          <w:trHeight w:val="203"/>
        </w:trPr>
        <w:tc>
          <w:tcPr>
            <w:tcW w:w="9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 Assumed weighted-average effect of conversion of convertible preferred stock (unaudited)</w:t>
            </w: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95,540,039</w:t>
            </w:r>
          </w:p>
        </w:tc>
      </w:tr>
      <w:tr>
        <w:trPr>
          <w:trHeight w:val="217"/>
        </w:trPr>
        <w:tc>
          <w:tcPr>
            <w:tcW w:w="9680" w:type="dxa"/>
            <w:vAlign w:val="bottom"/>
          </w:tcPr>
          <w:p>
            <w:pPr>
              <w:spacing w:after="0"/>
              <w:rPr>
                <w:sz w:val="20"/>
                <w:szCs w:val="20"/>
                <w:color w:val="auto"/>
              </w:rPr>
            </w:pPr>
            <w:r>
              <w:rPr>
                <w:rFonts w:ascii="Arial" w:cs="Arial" w:eastAsia="Arial" w:hAnsi="Arial"/>
                <w:sz w:val="18"/>
                <w:szCs w:val="18"/>
                <w:color w:val="auto"/>
              </w:rPr>
              <w:t>Pro Forma weighted-average number of shares—basic and diluted</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111,520,898</w:t>
            </w:r>
          </w:p>
        </w:tc>
        <w:tc>
          <w:tcPr>
            <w:tcW w:w="160" w:type="dxa"/>
            <w:vAlign w:val="bottom"/>
          </w:tcPr>
          <w:p>
            <w:pPr>
              <w:spacing w:after="0"/>
              <w:rPr>
                <w:sz w:val="18"/>
                <w:szCs w:val="18"/>
                <w:color w:val="auto"/>
              </w:rPr>
            </w:pPr>
          </w:p>
        </w:tc>
      </w:tr>
      <w:tr>
        <w:trPr>
          <w:trHeight w:val="203"/>
        </w:trPr>
        <w:tc>
          <w:tcPr>
            <w:tcW w:w="9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 per share—basic and diluted</w:t>
            </w:r>
          </w:p>
        </w:tc>
        <w:tc>
          <w:tcPr>
            <w:tcW w:w="1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(0.23)</w:t>
            </w: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12. Related Parties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a consulting agreement with a member of the Board of Directors. Consulting fees paid in the year ended</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2018 and 2019 were $100. There were no amounts owed under the consulting agreement at December 31, 2018 or 2019.</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13. Subsequent Events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Subsequent events have been evaluated through June 26, 2020, which is the date the financial statements were issued.</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5" w:right="439" w:bottom="1440" w:gutter="0" w:footer="0" w:header="0"/>
        </w:sectPr>
      </w:pPr>
    </w:p>
    <w:bookmarkStart w:id="231" w:name="page232"/>
    <w:bookmarkEnd w:id="23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232410</wp:posOffset>
            </wp:positionV>
            <wp:extent cx="6995160"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292735</wp:posOffset>
            </wp:positionV>
            <wp:extent cx="69951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680"/>
        <w:spacing w:after="0"/>
        <w:rPr>
          <w:sz w:val="20"/>
          <w:szCs w:val="20"/>
          <w:color w:val="auto"/>
        </w:rPr>
      </w:pPr>
      <w:r>
        <w:rPr>
          <w:rFonts w:ascii="Arial" w:cs="Arial" w:eastAsia="Arial" w:hAnsi="Arial"/>
          <w:sz w:val="25"/>
          <w:szCs w:val="25"/>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PMV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350520</wp:posOffset>
            </wp:positionV>
            <wp:extent cx="3394710" cy="660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9471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745490</wp:posOffset>
            </wp:positionV>
            <wp:extent cx="11144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316865</wp:posOffset>
            </wp:positionV>
            <wp:extent cx="11144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tabs>
          <w:tab w:leader="none" w:pos="5040" w:val="left"/>
          <w:tab w:leader="none" w:pos="7720" w:val="left"/>
          <w:tab w:leader="none" w:pos="954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BofA Securities</w:t>
      </w:r>
      <w:r>
        <w:rPr>
          <w:sz w:val="20"/>
          <w:szCs w:val="20"/>
          <w:color w:val="auto"/>
        </w:rPr>
        <w:tab/>
      </w:r>
      <w:r>
        <w:rPr>
          <w:rFonts w:ascii="Arial" w:cs="Arial" w:eastAsia="Arial" w:hAnsi="Arial"/>
          <w:sz w:val="25"/>
          <w:szCs w:val="25"/>
          <w:b w:val="1"/>
          <w:bCs w:val="1"/>
          <w:color w:val="auto"/>
        </w:rPr>
        <w:t>Cowen</w:t>
      </w:r>
      <w:r>
        <w:rPr>
          <w:sz w:val="20"/>
          <w:szCs w:val="20"/>
          <w:color w:val="auto"/>
        </w:rPr>
        <w:tab/>
      </w:r>
      <w:r>
        <w:rPr>
          <w:rFonts w:ascii="Arial" w:cs="Arial" w:eastAsia="Arial" w:hAnsi="Arial"/>
          <w:sz w:val="25"/>
          <w:szCs w:val="25"/>
          <w:b w:val="1"/>
          <w:bCs w:val="1"/>
          <w:color w:val="auto"/>
        </w:rPr>
        <w:t>Evercore 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748030</wp:posOffset>
            </wp:positionV>
            <wp:extent cx="11144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firstLine="551"/>
        <w:spacing w:after="0" w:line="254" w:lineRule="auto"/>
        <w:rPr>
          <w:sz w:val="20"/>
          <w:szCs w:val="20"/>
          <w:color w:val="auto"/>
        </w:rPr>
      </w:pPr>
      <w:r>
        <w:rPr>
          <w:rFonts w:ascii="Arial" w:cs="Arial" w:eastAsia="Arial" w:hAnsi="Arial"/>
          <w:sz w:val="18"/>
          <w:szCs w:val="18"/>
          <w:b w:val="1"/>
          <w:bCs w:val="1"/>
          <w:color w:val="auto"/>
        </w:rPr>
        <w:t>Through and including , 2020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524510</wp:posOffset>
            </wp:positionV>
            <wp:extent cx="69951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584200</wp:posOffset>
            </wp:positionV>
            <wp:extent cx="6995160"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type w:val="continuous"/>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04" w:lineRule="exact"/>
        <w:rPr>
          <w:sz w:val="20"/>
          <w:szCs w:val="20"/>
          <w:color w:val="auto"/>
        </w:rPr>
      </w:pPr>
    </w:p>
    <w:p>
      <w:pPr>
        <w:jc w:val="both"/>
        <w:ind w:left="120" w:right="120" w:firstLine="551"/>
        <w:spacing w:after="0" w:line="255" w:lineRule="auto"/>
        <w:rPr>
          <w:sz w:val="20"/>
          <w:szCs w:val="20"/>
          <w:color w:val="auto"/>
        </w:rPr>
      </w:pPr>
      <w:r>
        <w:rPr>
          <w:rFonts w:ascii="Arial" w:cs="Arial" w:eastAsia="Arial" w:hAnsi="Arial"/>
          <w:sz w:val="18"/>
          <w:szCs w:val="18"/>
          <w:color w:val="auto"/>
        </w:rPr>
        <w:t>The following table sets forth the expenses to be incurred in connection with the offering described in this Registration Statement, other than underwriting discounts and commissions, all of which will be paid by us. All amounts are estimates except the SEC registration fee, the FINRA filing fee and the exchange listing fee.</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120" w:type="dxa"/>
            <w:vAlign w:val="bottom"/>
          </w:tcPr>
          <w:p>
            <w:pPr>
              <w:spacing w:after="0"/>
              <w:rPr>
                <w:sz w:val="14"/>
                <w:szCs w:val="14"/>
                <w:color w:val="auto"/>
              </w:rPr>
            </w:pPr>
          </w:p>
        </w:tc>
        <w:tc>
          <w:tcPr>
            <w:tcW w:w="760" w:type="dxa"/>
            <w:vAlign w:val="bottom"/>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10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 be Paid</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r>
      <w:tr>
        <w:trPr>
          <w:trHeight w:val="196"/>
        </w:trPr>
        <w:tc>
          <w:tcPr>
            <w:tcW w:w="10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SEC registration fee</w:t>
            </w:r>
          </w:p>
        </w:tc>
        <w:tc>
          <w:tcPr>
            <w:tcW w:w="760" w:type="dxa"/>
            <w:vAlign w:val="bottom"/>
            <w:shd w:val="clear" w:color="auto" w:fill="CCEEFF"/>
          </w:tcPr>
          <w:p>
            <w:pPr>
              <w:jc w:val="right"/>
              <w:ind w:right="579"/>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8"/>
              </w:rPr>
              <w:t>*</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FINRA filing fee</w:t>
            </w:r>
          </w:p>
        </w:tc>
        <w:tc>
          <w:tcPr>
            <w:tcW w:w="76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Exchange listing fee</w:t>
            </w:r>
          </w:p>
        </w:tc>
        <w:tc>
          <w:tcPr>
            <w:tcW w:w="7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76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84"/>
              </w:rPr>
              <w:t>*</w:t>
            </w:r>
          </w:p>
        </w:tc>
      </w:tr>
      <w:tr>
        <w:trPr>
          <w:trHeight w:val="202"/>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7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76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Transfer agent and registrar fees</w:t>
            </w:r>
          </w:p>
        </w:tc>
        <w:tc>
          <w:tcPr>
            <w:tcW w:w="7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Miscellaneous expenses</w:t>
            </w:r>
          </w:p>
        </w:tc>
        <w:tc>
          <w:tcPr>
            <w:tcW w:w="76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0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ind w:right="579"/>
              <w:spacing w:after="0" w:line="202" w:lineRule="exact"/>
              <w:rPr>
                <w:sz w:val="20"/>
                <w:szCs w:val="20"/>
                <w:color w:val="auto"/>
              </w:rPr>
            </w:pPr>
            <w:r>
              <w:rPr>
                <w:rFonts w:ascii="Arial" w:cs="Arial" w:eastAsia="Arial" w:hAnsi="Arial"/>
                <w:sz w:val="18"/>
                <w:szCs w:val="18"/>
                <w:color w:val="auto"/>
                <w:w w:val="79"/>
              </w:rPr>
              <w:t>$</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660" w:hanging="544"/>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be provided by amendment.</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104"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Section 145 of the General Corporation Law of the State of Delaware,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or not opposed to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amended and restated certificate of incorporation of the registrant expected to be in effect immediately prior to the completion of this offering provides for the indemnification of the registrant’s directors and officers to the fullest extent permitted under the DGCL. In addition, the amended and restated bylaws of the registrant to be in effect immediately prior to the completion of this offering require the registrant expected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88" w:lineRule="exact"/>
        <w:rPr>
          <w:sz w:val="20"/>
          <w:szCs w:val="20"/>
          <w:color w:val="auto"/>
        </w:rPr>
      </w:pPr>
    </w:p>
    <w:p>
      <w:pPr>
        <w:ind w:left="120" w:right="140" w:firstLine="551"/>
        <w:spacing w:after="0" w:line="262" w:lineRule="auto"/>
        <w:rPr>
          <w:sz w:val="20"/>
          <w:szCs w:val="20"/>
          <w:color w:val="auto"/>
        </w:rPr>
      </w:pPr>
      <w:r>
        <w:rPr>
          <w:rFonts w:ascii="Arial" w:cs="Arial" w:eastAsia="Arial" w:hAnsi="Arial"/>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w:t>
      </w:r>
    </w:p>
    <w:p>
      <w:pPr>
        <w:ind w:left="120" w:right="220" w:hanging="4"/>
        <w:spacing w:after="0" w:line="250" w:lineRule="auto"/>
        <w:tabs>
          <w:tab w:leader="none" w:pos="33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 (ii) for acts or omissions not in good faith or which involve intentional misconduct or a knowing violation of law, (iii) for payments of unlawful dividends or</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45" w:lineRule="auto"/>
        <w:rPr>
          <w:sz w:val="20"/>
          <w:szCs w:val="20"/>
          <w:color w:val="auto"/>
        </w:rPr>
      </w:pPr>
      <w:r>
        <w:rPr>
          <w:rFonts w:ascii="Arial" w:cs="Arial" w:eastAsia="Arial" w:hAnsi="Arial"/>
          <w:sz w:val="18"/>
          <w:szCs w:val="18"/>
          <w:color w:val="auto"/>
        </w:rPr>
        <w:t>unlawful stock repurchases or redemptions or (iv) for any transaction from which the director derived an improper personal benefit. The registrant’s amended and restated certificate of incorporation to be in effect immediately prior to the completion of this offering provides that the registrant’s directors shall not be personally liable to it or its stockholders for monetary damages for breach of fiduciary duty as a director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172"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72"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As permitted by the DGCL, the registrant has entered, and intends to continue to enter, into separate indemnification agreements with each of the registrant’s directors and certain of the registrant’s officers that require the registrant, among other things, to indemnify them against certain liabilities that may arise by reason of their status as directors, officers or certain other employees.</w:t>
      </w:r>
    </w:p>
    <w:p>
      <w:pPr>
        <w:spacing w:after="0" w:line="164" w:lineRule="exact"/>
        <w:rPr>
          <w:sz w:val="20"/>
          <w:szCs w:val="20"/>
          <w:color w:val="auto"/>
        </w:rPr>
      </w:pPr>
    </w:p>
    <w:p>
      <w:pPr>
        <w:jc w:val="both"/>
        <w:ind w:left="120" w:right="60" w:firstLine="551"/>
        <w:spacing w:after="0" w:line="257" w:lineRule="auto"/>
        <w:rPr>
          <w:sz w:val="20"/>
          <w:szCs w:val="20"/>
          <w:color w:val="auto"/>
        </w:rPr>
      </w:pPr>
      <w:r>
        <w:rPr>
          <w:rFonts w:ascii="Arial" w:cs="Arial" w:eastAsia="Arial" w:hAnsi="Arial"/>
          <w:sz w:val="17"/>
          <w:szCs w:val="17"/>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that might be imposed as a result of, actions, suits or proceedings to which they are parties by reason of being or having been directors or officers.</w:t>
      </w:r>
    </w:p>
    <w:p>
      <w:pPr>
        <w:spacing w:after="0" w:line="2" w:lineRule="exact"/>
        <w:rPr>
          <w:sz w:val="20"/>
          <w:szCs w:val="20"/>
          <w:color w:val="auto"/>
        </w:rPr>
      </w:pPr>
    </w:p>
    <w:p>
      <w:pPr>
        <w:ind w:left="120" w:right="120"/>
        <w:spacing w:after="0" w:line="250" w:lineRule="auto"/>
        <w:rPr>
          <w:sz w:val="20"/>
          <w:szCs w:val="20"/>
          <w:color w:val="auto"/>
        </w:rPr>
      </w:pPr>
      <w:r>
        <w:rPr>
          <w:rFonts w:ascii="Arial" w:cs="Arial" w:eastAsia="Arial" w:hAnsi="Arial"/>
          <w:sz w:val="18"/>
          <w:szCs w:val="18"/>
          <w:color w:val="auto"/>
        </w:rPr>
        <w:t>The coverage provided by these policies may apply whether or not the registrant would have the power to indemnify such person against such liability under the provisions of the DGCL.</w:t>
      </w:r>
    </w:p>
    <w:p>
      <w:pPr>
        <w:spacing w:after="0" w:line="168"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These indemnification provisions and the indemnification agreements entered, and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 of 1933, as amended, or Securities Act.</w:t>
      </w:r>
    </w:p>
    <w:p>
      <w:pPr>
        <w:spacing w:after="0" w:line="170" w:lineRule="exact"/>
        <w:rPr>
          <w:sz w:val="20"/>
          <w:szCs w:val="20"/>
          <w:color w:val="auto"/>
        </w:rPr>
      </w:pPr>
    </w:p>
    <w:p>
      <w:pPr>
        <w:ind w:left="120" w:right="400" w:firstLine="551"/>
        <w:spacing w:after="0" w:line="248" w:lineRule="auto"/>
        <w:rPr>
          <w:sz w:val="20"/>
          <w:szCs w:val="20"/>
          <w:color w:val="auto"/>
        </w:rPr>
      </w:pPr>
      <w:r>
        <w:rPr>
          <w:rFonts w:ascii="Arial" w:cs="Arial" w:eastAsia="Arial" w:hAnsi="Arial"/>
          <w:sz w:val="18"/>
          <w:szCs w:val="18"/>
          <w:color w:val="auto"/>
        </w:rPr>
        <w:t>The underwriting agreement between the registrant and the underwriters to be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04"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The following list sets forth information regarding all unregistered securities sold by us since January 1, 2017.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69" w:lineRule="exact"/>
        <w:rPr>
          <w:sz w:val="20"/>
          <w:szCs w:val="20"/>
          <w:color w:val="auto"/>
        </w:rPr>
      </w:pPr>
    </w:p>
    <w:p>
      <w:pPr>
        <w:ind w:left="1300" w:right="180" w:hanging="644"/>
        <w:spacing w:after="0" w:line="276" w:lineRule="auto"/>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February 2017, we issued and sold an aggregate of 40,396,799 shares of our Series B convertible preferred stock at a purchase price of $1.8251 per share for aggregate proceeds of $73.7 million to a total of nine (9) accredited investors.</w:t>
      </w:r>
    </w:p>
    <w:p>
      <w:pPr>
        <w:spacing w:after="0" w:line="50" w:lineRule="exact"/>
        <w:rPr>
          <w:rFonts w:ascii="Arial" w:cs="Arial" w:eastAsia="Arial" w:hAnsi="Arial"/>
          <w:sz w:val="18"/>
          <w:szCs w:val="18"/>
          <w:color w:val="auto"/>
        </w:rPr>
      </w:pPr>
    </w:p>
    <w:p>
      <w:pPr>
        <w:ind w:left="1300" w:hanging="644"/>
        <w:spacing w:after="0" w:line="306" w:lineRule="auto"/>
        <w:tabs>
          <w:tab w:leader="none" w:pos="13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In November 2019, we issued and sold an aggregate of 28,798,050 shares of our Series C convertible preferred stock at a purchase price of $2.1485 per share for aggregate proceeds of approximately $61.9 million to ten (10) accredited investors.</w:t>
      </w:r>
    </w:p>
    <w:p>
      <w:pPr>
        <w:spacing w:after="0" w:line="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5" w:right="47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300" w:right="40" w:hanging="644"/>
        <w:spacing w:after="0" w:line="248"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From January 2017 through June 26, 2020, we granted to our employees, directors, consultants and other service providers stock options to purchase an aggregate of 16,264,740 shares of common stock upon the exercise of options under our 2013 Equity Incentive Plan, as amended, or 2013 Plan, at exercise prices per share ranging from $0.56 to $0.80, for an aggregate exercise price of approximately $10.68 million.</w:t>
      </w:r>
    </w:p>
    <w:p>
      <w:pPr>
        <w:spacing w:after="0" w:line="197" w:lineRule="exact"/>
        <w:rPr>
          <w:rFonts w:ascii="Arial" w:cs="Arial" w:eastAsia="Arial" w:hAnsi="Arial"/>
          <w:sz w:val="18"/>
          <w:szCs w:val="18"/>
          <w:color w:val="auto"/>
        </w:rPr>
      </w:pPr>
    </w:p>
    <w:p>
      <w:pPr>
        <w:ind w:left="1300" w:hanging="644"/>
        <w:spacing w:after="0" w:line="255"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From January 2017 through June 26, 2020, we issued and sold to certain of our employees, directors, consultants and other service providers an aggregate of 178,572 shares of common stock upon the exercise of options under our 2013 Plan at an exercise price per share of $0.56, for an aggregate exercise price of approximately $100,000.00.</w:t>
      </w:r>
    </w:p>
    <w:p>
      <w:pPr>
        <w:spacing w:after="0" w:line="164"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color w:val="auto"/>
        </w:rPr>
        <w:t>The offers, sales and issuances of the securities described in Items 15(a) and 15(b) were exempt from registration under the Securities Act under Section 4(a)(2) of the Securities Act or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person and had adequate access, through employment, business or other relationships, to information about the registrant.</w:t>
      </w:r>
    </w:p>
    <w:p>
      <w:pPr>
        <w:spacing w:after="0" w:line="174"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The offers, sales and issuances of the securities described in Items 15(c) and 15(d) were exempt from registration under the Securities Act under either (i) Rule 701 in that the transactions were under compensatory benefit plans and contracts relating to compensation as provided under Rule 701 or (ii) Section 4(a)(2) of the Securities Act as transactions by an issuer not involving any public offering. The recipients of such securities were the registrant’s employees, consultants or directors and received the securities under our 2013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16. EXHIBIT AND FINANCIAL STATEMENT SCHEDULES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Exhibits.</w:t>
      </w:r>
    </w:p>
    <w:p>
      <w:pPr>
        <w:spacing w:after="0" w:line="104" w:lineRule="exact"/>
        <w:rPr>
          <w:sz w:val="20"/>
          <w:szCs w:val="20"/>
          <w:color w:val="auto"/>
        </w:rPr>
      </w:pPr>
    </w:p>
    <w:p>
      <w:pPr>
        <w:ind w:left="120" w:right="820" w:firstLine="551"/>
        <w:spacing w:after="0" w:line="276" w:lineRule="auto"/>
        <w:rPr>
          <w:sz w:val="20"/>
          <w:szCs w:val="20"/>
          <w:color w:val="auto"/>
        </w:rPr>
      </w:pPr>
      <w:r>
        <w:rPr>
          <w:rFonts w:ascii="Arial" w:cs="Arial" w:eastAsia="Arial" w:hAnsi="Arial"/>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04" w:lineRule="exact"/>
        <w:rPr>
          <w:sz w:val="20"/>
          <w:szCs w:val="20"/>
          <w:color w:val="auto"/>
        </w:rPr>
      </w:pPr>
    </w:p>
    <w:p>
      <w:pPr>
        <w:ind w:left="120" w:right="160" w:firstLine="551"/>
        <w:spacing w:after="0" w:line="276"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financial statements or notes thereto.</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04"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6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5" w:right="45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80"/>
        <w:spacing w:after="0" w:line="248" w:lineRule="auto"/>
        <w:rPr>
          <w:sz w:val="20"/>
          <w:szCs w:val="20"/>
          <w:color w:val="auto"/>
        </w:rPr>
      </w:pPr>
      <w:r>
        <w:rPr>
          <w:rFonts w:ascii="Arial" w:cs="Arial" w:eastAsia="Arial" w:hAnsi="Arial"/>
          <w:sz w:val="18"/>
          <w:szCs w:val="18"/>
          <w:color w:val="auto"/>
        </w:rPr>
        <w:t>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undertakes that:</w:t>
      </w:r>
    </w:p>
    <w:p>
      <w:pPr>
        <w:spacing w:after="0" w:line="117" w:lineRule="exact"/>
        <w:rPr>
          <w:sz w:val="20"/>
          <w:szCs w:val="20"/>
          <w:color w:val="auto"/>
        </w:rPr>
      </w:pPr>
    </w:p>
    <w:p>
      <w:pPr>
        <w:ind w:left="1300" w:right="20" w:hanging="644"/>
        <w:spacing w:after="0" w:line="248" w:lineRule="auto"/>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5" w:lineRule="exact"/>
        <w:rPr>
          <w:rFonts w:ascii="Arial" w:cs="Arial" w:eastAsia="Arial" w:hAnsi="Arial"/>
          <w:sz w:val="18"/>
          <w:szCs w:val="18"/>
          <w:color w:val="auto"/>
        </w:rPr>
      </w:pPr>
    </w:p>
    <w:p>
      <w:pPr>
        <w:ind w:left="1300" w:hanging="644"/>
        <w:spacing w:after="0" w:line="255" w:lineRule="auto"/>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00"/>
          </w:cols>
          <w:pgMar w:left="320" w:top="455" w:right="47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6420" w:type="dxa"/>
            <w:vAlign w:val="bottom"/>
            <w:gridSpan w:val="3"/>
          </w:tcPr>
          <w:p>
            <w:pPr>
              <w:ind w:left="260"/>
              <w:spacing w:after="0"/>
              <w:rPr>
                <w:sz w:val="20"/>
                <w:szCs w:val="20"/>
                <w:color w:val="auto"/>
              </w:rPr>
            </w:pPr>
            <w:r>
              <w:rPr>
                <w:rFonts w:ascii="Arial" w:cs="Arial" w:eastAsia="Arial" w:hAnsi="Arial"/>
                <w:sz w:val="18"/>
                <w:szCs w:val="18"/>
                <w:b w:val="1"/>
                <w:bCs w:val="1"/>
                <w:color w:val="auto"/>
              </w:rPr>
              <w:t>EXHIBIT INDEX</w:t>
            </w:r>
          </w:p>
        </w:tc>
      </w:tr>
      <w:tr>
        <w:trPr>
          <w:trHeight w:val="364"/>
        </w:trPr>
        <w:tc>
          <w:tcPr>
            <w:tcW w:w="1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177"/>
        </w:trPr>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4540" w:type="dxa"/>
            <w:vAlign w:val="bottom"/>
          </w:tcPr>
          <w:p>
            <w:pPr>
              <w:spacing w:after="0"/>
              <w:rPr>
                <w:sz w:val="15"/>
                <w:szCs w:val="15"/>
                <w:color w:val="auto"/>
              </w:rPr>
            </w:pPr>
          </w:p>
        </w:tc>
      </w:tr>
      <w:tr>
        <w:trPr>
          <w:trHeight w:val="322"/>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10320" w:type="dxa"/>
            <w:vAlign w:val="bottom"/>
            <w:gridSpan w:val="4"/>
          </w:tcPr>
          <w:p>
            <w:pPr>
              <w:ind w:left="420"/>
              <w:spacing w:after="0"/>
              <w:rPr>
                <w:sz w:val="20"/>
                <w:szCs w:val="20"/>
                <w:color w:val="auto"/>
              </w:rPr>
            </w:pPr>
            <w:r>
              <w:rPr>
                <w:rFonts w:ascii="Arial" w:cs="Arial" w:eastAsia="Arial" w:hAnsi="Arial"/>
                <w:sz w:val="18"/>
                <w:szCs w:val="18"/>
                <w:color w:val="auto"/>
              </w:rPr>
              <w:t>Form of Underwriting Agreement, including Form of Lock-up Agreement.</w:t>
            </w:r>
          </w:p>
        </w:tc>
      </w:tr>
      <w:tr>
        <w:trPr>
          <w:trHeight w:val="310"/>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10320" w:type="dxa"/>
            <w:vAlign w:val="bottom"/>
            <w:gridSpan w:val="4"/>
          </w:tcPr>
          <w:p>
            <w:pPr>
              <w:ind w:left="420"/>
              <w:spacing w:after="0"/>
              <w:rPr>
                <w:sz w:val="20"/>
                <w:szCs w:val="20"/>
                <w:color w:val="auto"/>
              </w:rPr>
            </w:pPr>
            <w:r>
              <w:rPr>
                <w:rFonts w:ascii="Arial" w:cs="Arial" w:eastAsia="Arial" w:hAnsi="Arial"/>
                <w:sz w:val="18"/>
                <w:szCs w:val="18"/>
                <w:color w:val="auto"/>
              </w:rPr>
              <w:t>Amended and Restated Certificate of Incorporation of the Registrant, as currently in effect.</w:t>
            </w:r>
          </w:p>
        </w:tc>
      </w:tr>
      <w:tr>
        <w:trPr>
          <w:trHeight w:val="270"/>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10320" w:type="dxa"/>
            <w:vAlign w:val="bottom"/>
            <w:gridSpan w:val="4"/>
          </w:tcPr>
          <w:p>
            <w:pPr>
              <w:ind w:left="420"/>
              <w:spacing w:after="0"/>
              <w:rPr>
                <w:sz w:val="20"/>
                <w:szCs w:val="20"/>
                <w:color w:val="auto"/>
              </w:rPr>
            </w:pPr>
            <w:r>
              <w:rPr>
                <w:rFonts w:ascii="Arial" w:cs="Arial" w:eastAsia="Arial" w:hAnsi="Arial"/>
                <w:sz w:val="18"/>
                <w:szCs w:val="18"/>
                <w:color w:val="auto"/>
              </w:rPr>
              <w:t>Form of Amended and Restated Certificate of Incorporation of the Registrant, to be in effect immediately prior to the</w:t>
            </w:r>
          </w:p>
        </w:tc>
      </w:tr>
      <w:tr>
        <w:trPr>
          <w:trHeight w:val="243"/>
        </w:trPr>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completion of this offering.</w:t>
            </w: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540" w:type="dxa"/>
            <w:vAlign w:val="bottom"/>
          </w:tcPr>
          <w:p>
            <w:pPr>
              <w:spacing w:after="0"/>
              <w:rPr>
                <w:sz w:val="21"/>
                <w:szCs w:val="21"/>
                <w:color w:val="auto"/>
              </w:rPr>
            </w:pPr>
          </w:p>
        </w:tc>
      </w:tr>
      <w:tr>
        <w:trPr>
          <w:trHeight w:val="311"/>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3.3*</w:t>
            </w:r>
          </w:p>
        </w:tc>
        <w:tc>
          <w:tcPr>
            <w:tcW w:w="10320" w:type="dxa"/>
            <w:vAlign w:val="bottom"/>
            <w:gridSpan w:val="4"/>
          </w:tcPr>
          <w:p>
            <w:pPr>
              <w:ind w:left="420"/>
              <w:spacing w:after="0"/>
              <w:rPr>
                <w:sz w:val="20"/>
                <w:szCs w:val="20"/>
                <w:color w:val="auto"/>
              </w:rPr>
            </w:pPr>
            <w:r>
              <w:rPr>
                <w:rFonts w:ascii="Arial" w:cs="Arial" w:eastAsia="Arial" w:hAnsi="Arial"/>
                <w:sz w:val="18"/>
                <w:szCs w:val="18"/>
                <w:color w:val="auto"/>
              </w:rPr>
              <w:t>Bylaws of the Registrant, as currently in effect.</w:t>
            </w:r>
          </w:p>
        </w:tc>
      </w:tr>
      <w:tr>
        <w:trPr>
          <w:trHeight w:val="310"/>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10320" w:type="dxa"/>
            <w:vAlign w:val="bottom"/>
            <w:gridSpan w:val="4"/>
          </w:tcPr>
          <w:p>
            <w:pPr>
              <w:ind w:left="420"/>
              <w:spacing w:after="0"/>
              <w:rPr>
                <w:sz w:val="20"/>
                <w:szCs w:val="20"/>
                <w:color w:val="auto"/>
              </w:rPr>
            </w:pPr>
            <w:r>
              <w:rPr>
                <w:rFonts w:ascii="Arial" w:cs="Arial" w:eastAsia="Arial" w:hAnsi="Arial"/>
                <w:sz w:val="18"/>
                <w:szCs w:val="18"/>
                <w:color w:val="auto"/>
              </w:rPr>
              <w:t>Form of Amended and Restated Bylaws of the Registrant, to be in effect immediately prior to the completion of this offering.</w:t>
            </w:r>
          </w:p>
        </w:tc>
      </w:tr>
      <w:tr>
        <w:trPr>
          <w:trHeight w:val="270"/>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0320" w:type="dxa"/>
            <w:vAlign w:val="bottom"/>
            <w:gridSpan w:val="4"/>
          </w:tcPr>
          <w:p>
            <w:pPr>
              <w:ind w:left="420"/>
              <w:spacing w:after="0"/>
              <w:rPr>
                <w:sz w:val="20"/>
                <w:szCs w:val="20"/>
                <w:color w:val="auto"/>
              </w:rPr>
            </w:pPr>
            <w:r>
              <w:rPr>
                <w:rFonts w:ascii="Arial" w:cs="Arial" w:eastAsia="Arial" w:hAnsi="Arial"/>
                <w:sz w:val="18"/>
                <w:szCs w:val="18"/>
                <w:color w:val="auto"/>
              </w:rPr>
              <w:t>Amended and Restated Investors’ Rights Agreement, dated November 12, 2019, by and among the Registrant and certain</w:t>
            </w:r>
          </w:p>
        </w:tc>
      </w:tr>
      <w:tr>
        <w:trPr>
          <w:trHeight w:val="243"/>
        </w:trPr>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of its stockholders.</w:t>
            </w: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540" w:type="dxa"/>
            <w:vAlign w:val="bottom"/>
          </w:tcPr>
          <w:p>
            <w:pPr>
              <w:spacing w:after="0"/>
              <w:rPr>
                <w:sz w:val="21"/>
                <w:szCs w:val="21"/>
                <w:color w:val="auto"/>
              </w:rPr>
            </w:pPr>
          </w:p>
        </w:tc>
      </w:tr>
      <w:tr>
        <w:trPr>
          <w:trHeight w:val="310"/>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10320" w:type="dxa"/>
            <w:vAlign w:val="bottom"/>
            <w:gridSpan w:val="4"/>
          </w:tcPr>
          <w:p>
            <w:pPr>
              <w:ind w:left="420"/>
              <w:spacing w:after="0"/>
              <w:rPr>
                <w:sz w:val="20"/>
                <w:szCs w:val="20"/>
                <w:color w:val="auto"/>
              </w:rPr>
            </w:pPr>
            <w:r>
              <w:rPr>
                <w:rFonts w:ascii="Arial" w:cs="Arial" w:eastAsia="Arial" w:hAnsi="Arial"/>
                <w:sz w:val="18"/>
                <w:szCs w:val="18"/>
                <w:color w:val="auto"/>
              </w:rPr>
              <w:t>Specimen common stock certificate of the Registrant.</w:t>
            </w:r>
          </w:p>
        </w:tc>
      </w:tr>
      <w:tr>
        <w:trPr>
          <w:trHeight w:val="311"/>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10320" w:type="dxa"/>
            <w:vAlign w:val="bottom"/>
            <w:gridSpan w:val="4"/>
          </w:tcPr>
          <w:p>
            <w:pPr>
              <w:ind w:left="420"/>
              <w:spacing w:after="0"/>
              <w:rPr>
                <w:sz w:val="20"/>
                <w:szCs w:val="20"/>
                <w:color w:val="auto"/>
              </w:rPr>
            </w:pPr>
            <w:r>
              <w:rPr>
                <w:rFonts w:ascii="Arial" w:cs="Arial" w:eastAsia="Arial" w:hAnsi="Arial"/>
                <w:sz w:val="18"/>
                <w:szCs w:val="18"/>
                <w:color w:val="auto"/>
              </w:rPr>
              <w:t>Opinion of Wilson Sonsini Goodrich &amp; Rosati, Professional Corporation.</w:t>
            </w:r>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10.1+*</w:t>
            </w:r>
          </w:p>
        </w:tc>
        <w:tc>
          <w:tcPr>
            <w:tcW w:w="10320" w:type="dxa"/>
            <w:vAlign w:val="bottom"/>
            <w:gridSpan w:val="4"/>
          </w:tcPr>
          <w:p>
            <w:pPr>
              <w:ind w:left="420"/>
              <w:spacing w:after="0"/>
              <w:rPr>
                <w:sz w:val="20"/>
                <w:szCs w:val="20"/>
                <w:color w:val="auto"/>
              </w:rPr>
            </w:pPr>
            <w:r>
              <w:rPr>
                <w:rFonts w:ascii="Arial" w:cs="Arial" w:eastAsia="Arial" w:hAnsi="Arial"/>
                <w:sz w:val="18"/>
                <w:szCs w:val="18"/>
                <w:color w:val="auto"/>
              </w:rPr>
              <w:t>Form of Indemnification Agreement between the Registrant and each of its directors and executive officers.</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10.2+*</w:t>
            </w:r>
          </w:p>
        </w:tc>
        <w:tc>
          <w:tcPr>
            <w:tcW w:w="10320" w:type="dxa"/>
            <w:vAlign w:val="bottom"/>
            <w:gridSpan w:val="4"/>
          </w:tcPr>
          <w:p>
            <w:pPr>
              <w:ind w:left="420"/>
              <w:spacing w:after="0"/>
              <w:rPr>
                <w:sz w:val="20"/>
                <w:szCs w:val="20"/>
                <w:color w:val="auto"/>
              </w:rPr>
            </w:pPr>
            <w:r>
              <w:rPr>
                <w:rFonts w:ascii="Arial" w:cs="Arial" w:eastAsia="Arial" w:hAnsi="Arial"/>
                <w:sz w:val="18"/>
                <w:szCs w:val="18"/>
                <w:color w:val="auto"/>
              </w:rPr>
              <w:t>2013 Equity Incentive Plan, as amended, and forms of agreement thereunder.</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10.3+*</w:t>
            </w:r>
          </w:p>
        </w:tc>
        <w:tc>
          <w:tcPr>
            <w:tcW w:w="10320" w:type="dxa"/>
            <w:vAlign w:val="bottom"/>
            <w:gridSpan w:val="4"/>
          </w:tcPr>
          <w:p>
            <w:pPr>
              <w:ind w:left="420"/>
              <w:spacing w:after="0"/>
              <w:rPr>
                <w:sz w:val="20"/>
                <w:szCs w:val="20"/>
                <w:color w:val="auto"/>
              </w:rPr>
            </w:pPr>
            <w:r>
              <w:rPr>
                <w:rFonts w:ascii="Arial" w:cs="Arial" w:eastAsia="Arial" w:hAnsi="Arial"/>
                <w:sz w:val="18"/>
                <w:szCs w:val="18"/>
                <w:color w:val="auto"/>
              </w:rPr>
              <w:t>2020 Equity Incentive Plan and forms of agreements thereunder, to be in effect prior to the completion of this offering.</w:t>
            </w:r>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10.4+*</w:t>
            </w:r>
          </w:p>
        </w:tc>
        <w:tc>
          <w:tcPr>
            <w:tcW w:w="3900" w:type="dxa"/>
            <w:vAlign w:val="bottom"/>
          </w:tcPr>
          <w:p>
            <w:pPr>
              <w:ind w:left="420"/>
              <w:spacing w:after="0"/>
              <w:rPr>
                <w:sz w:val="20"/>
                <w:szCs w:val="20"/>
                <w:color w:val="auto"/>
              </w:rPr>
            </w:pPr>
            <w:r>
              <w:rPr>
                <w:rFonts w:ascii="Arial" w:cs="Arial" w:eastAsia="Arial" w:hAnsi="Arial"/>
                <w:sz w:val="18"/>
                <w:szCs w:val="18"/>
                <w:color w:val="auto"/>
              </w:rPr>
              <w:t>Employment Offer Letter, dated</w:t>
            </w:r>
          </w:p>
        </w:tc>
        <w:tc>
          <w:tcPr>
            <w:tcW w:w="6420" w:type="dxa"/>
            <w:vAlign w:val="bottom"/>
            <w:gridSpan w:val="3"/>
          </w:tcPr>
          <w:p>
            <w:pPr>
              <w:ind w:left="60"/>
              <w:spacing w:after="0"/>
              <w:rPr>
                <w:sz w:val="20"/>
                <w:szCs w:val="20"/>
                <w:color w:val="auto"/>
              </w:rPr>
            </w:pPr>
            <w:r>
              <w:rPr>
                <w:rFonts w:ascii="Arial" w:cs="Arial" w:eastAsia="Arial" w:hAnsi="Arial"/>
                <w:sz w:val="18"/>
                <w:szCs w:val="18"/>
                <w:color w:val="auto"/>
              </w:rPr>
              <w:t>, 2020, by and between the Registrant and David H. Mack, Ph.D.</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10.5+*</w:t>
            </w:r>
          </w:p>
        </w:tc>
        <w:tc>
          <w:tcPr>
            <w:tcW w:w="3900" w:type="dxa"/>
            <w:vAlign w:val="bottom"/>
          </w:tcPr>
          <w:p>
            <w:pPr>
              <w:ind w:left="420"/>
              <w:spacing w:after="0"/>
              <w:rPr>
                <w:sz w:val="20"/>
                <w:szCs w:val="20"/>
                <w:color w:val="auto"/>
              </w:rPr>
            </w:pPr>
            <w:r>
              <w:rPr>
                <w:rFonts w:ascii="Arial" w:cs="Arial" w:eastAsia="Arial" w:hAnsi="Arial"/>
                <w:sz w:val="18"/>
                <w:szCs w:val="18"/>
                <w:color w:val="auto"/>
              </w:rPr>
              <w:t>Employment Offer Letter, dated</w:t>
            </w:r>
          </w:p>
        </w:tc>
        <w:tc>
          <w:tcPr>
            <w:tcW w:w="6420" w:type="dxa"/>
            <w:vAlign w:val="bottom"/>
            <w:gridSpan w:val="3"/>
          </w:tcPr>
          <w:p>
            <w:pPr>
              <w:ind w:left="60"/>
              <w:spacing w:after="0"/>
              <w:rPr>
                <w:sz w:val="20"/>
                <w:szCs w:val="20"/>
                <w:color w:val="auto"/>
              </w:rPr>
            </w:pPr>
            <w:r>
              <w:rPr>
                <w:rFonts w:ascii="Arial" w:cs="Arial" w:eastAsia="Arial" w:hAnsi="Arial"/>
                <w:sz w:val="18"/>
                <w:szCs w:val="18"/>
                <w:color w:val="auto"/>
              </w:rPr>
              <w:t>, 2020, by and between the Registrant and Winston Kung.</w:t>
            </w:r>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10.6+*</w:t>
            </w:r>
          </w:p>
        </w:tc>
        <w:tc>
          <w:tcPr>
            <w:tcW w:w="3900" w:type="dxa"/>
            <w:vAlign w:val="bottom"/>
          </w:tcPr>
          <w:p>
            <w:pPr>
              <w:ind w:left="420"/>
              <w:spacing w:after="0"/>
              <w:rPr>
                <w:sz w:val="20"/>
                <w:szCs w:val="20"/>
                <w:color w:val="auto"/>
              </w:rPr>
            </w:pPr>
            <w:r>
              <w:rPr>
                <w:rFonts w:ascii="Arial" w:cs="Arial" w:eastAsia="Arial" w:hAnsi="Arial"/>
                <w:sz w:val="18"/>
                <w:szCs w:val="18"/>
                <w:color w:val="auto"/>
              </w:rPr>
              <w:t>Employment Offer Letter, dated</w:t>
            </w:r>
          </w:p>
        </w:tc>
        <w:tc>
          <w:tcPr>
            <w:tcW w:w="6420" w:type="dxa"/>
            <w:vAlign w:val="bottom"/>
            <w:gridSpan w:val="3"/>
          </w:tcPr>
          <w:p>
            <w:pPr>
              <w:ind w:left="60"/>
              <w:spacing w:after="0"/>
              <w:rPr>
                <w:sz w:val="20"/>
                <w:szCs w:val="20"/>
                <w:color w:val="auto"/>
              </w:rPr>
            </w:pPr>
            <w:r>
              <w:rPr>
                <w:rFonts w:ascii="Arial" w:cs="Arial" w:eastAsia="Arial" w:hAnsi="Arial"/>
                <w:sz w:val="18"/>
                <w:szCs w:val="18"/>
                <w:color w:val="auto"/>
              </w:rPr>
              <w:t>, 2020, by and between the Registrant and Leila Alland, M.D.</w:t>
            </w:r>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10.7+*</w:t>
            </w:r>
          </w:p>
        </w:tc>
        <w:tc>
          <w:tcPr>
            <w:tcW w:w="3900" w:type="dxa"/>
            <w:vAlign w:val="bottom"/>
          </w:tcPr>
          <w:p>
            <w:pPr>
              <w:ind w:left="420"/>
              <w:spacing w:after="0"/>
              <w:rPr>
                <w:sz w:val="20"/>
                <w:szCs w:val="20"/>
                <w:color w:val="auto"/>
              </w:rPr>
            </w:pPr>
            <w:r>
              <w:rPr>
                <w:rFonts w:ascii="Arial" w:cs="Arial" w:eastAsia="Arial" w:hAnsi="Arial"/>
                <w:sz w:val="18"/>
                <w:szCs w:val="18"/>
                <w:color w:val="auto"/>
              </w:rPr>
              <w:t>Employment Offer Letter, dated</w:t>
            </w:r>
          </w:p>
        </w:tc>
        <w:tc>
          <w:tcPr>
            <w:tcW w:w="6420" w:type="dxa"/>
            <w:vAlign w:val="bottom"/>
            <w:gridSpan w:val="3"/>
          </w:tcPr>
          <w:p>
            <w:pPr>
              <w:ind w:left="60"/>
              <w:spacing w:after="0"/>
              <w:rPr>
                <w:sz w:val="20"/>
                <w:szCs w:val="20"/>
                <w:color w:val="auto"/>
              </w:rPr>
            </w:pPr>
            <w:r>
              <w:rPr>
                <w:rFonts w:ascii="Arial" w:cs="Arial" w:eastAsia="Arial" w:hAnsi="Arial"/>
                <w:sz w:val="18"/>
                <w:szCs w:val="18"/>
                <w:color w:val="auto"/>
              </w:rPr>
              <w:t>, 2020, by and between the Registrant and Deepika Jalota, Pharm.D.</w:t>
            </w:r>
          </w:p>
        </w:tc>
      </w:tr>
      <w:tr>
        <w:trPr>
          <w:trHeight w:val="270"/>
        </w:trPr>
        <w:tc>
          <w:tcPr>
            <w:tcW w:w="680" w:type="dxa"/>
            <w:vAlign w:val="bottom"/>
            <w:gridSpan w:val="2"/>
          </w:tcPr>
          <w:p>
            <w:pPr>
              <w:spacing w:after="0"/>
              <w:rPr>
                <w:sz w:val="20"/>
                <w:szCs w:val="20"/>
                <w:color w:val="auto"/>
              </w:rPr>
            </w:pPr>
            <w:r>
              <w:rPr>
                <w:rFonts w:ascii="Arial" w:cs="Arial" w:eastAsia="Arial" w:hAnsi="Arial"/>
                <w:sz w:val="18"/>
                <w:szCs w:val="18"/>
                <w:color w:val="auto"/>
              </w:rPr>
              <w:t>10.8+*</w:t>
            </w:r>
          </w:p>
        </w:tc>
        <w:tc>
          <w:tcPr>
            <w:tcW w:w="10320" w:type="dxa"/>
            <w:vAlign w:val="bottom"/>
            <w:gridSpan w:val="4"/>
          </w:tcPr>
          <w:p>
            <w:pPr>
              <w:ind w:left="420"/>
              <w:spacing w:after="0"/>
              <w:rPr>
                <w:sz w:val="20"/>
                <w:szCs w:val="20"/>
                <w:color w:val="auto"/>
              </w:rPr>
            </w:pPr>
            <w:r>
              <w:rPr>
                <w:rFonts w:ascii="Arial" w:cs="Arial" w:eastAsia="Arial" w:hAnsi="Arial"/>
                <w:sz w:val="18"/>
                <w:szCs w:val="18"/>
                <w:color w:val="auto"/>
              </w:rPr>
              <w:t>Change in Control and Severance Policy and form of Participation Agreement between the Registration and its executive</w:t>
            </w:r>
          </w:p>
        </w:tc>
      </w:tr>
      <w:tr>
        <w:trPr>
          <w:trHeight w:val="243"/>
        </w:trPr>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officers.</w:t>
            </w: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540" w:type="dxa"/>
            <w:vAlign w:val="bottom"/>
          </w:tcPr>
          <w:p>
            <w:pPr>
              <w:spacing w:after="0"/>
              <w:rPr>
                <w:sz w:val="21"/>
                <w:szCs w:val="21"/>
                <w:color w:val="auto"/>
              </w:rPr>
            </w:pPr>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10.9+*</w:t>
            </w:r>
          </w:p>
        </w:tc>
        <w:tc>
          <w:tcPr>
            <w:tcW w:w="10320" w:type="dxa"/>
            <w:vAlign w:val="bottom"/>
            <w:gridSpan w:val="4"/>
          </w:tcPr>
          <w:p>
            <w:pPr>
              <w:ind w:left="420"/>
              <w:spacing w:after="0"/>
              <w:rPr>
                <w:sz w:val="20"/>
                <w:szCs w:val="20"/>
                <w:color w:val="auto"/>
              </w:rPr>
            </w:pPr>
            <w:r>
              <w:rPr>
                <w:rFonts w:ascii="Arial" w:cs="Arial" w:eastAsia="Arial" w:hAnsi="Arial"/>
                <w:sz w:val="18"/>
                <w:szCs w:val="18"/>
                <w:color w:val="auto"/>
              </w:rPr>
              <w:t>Consulting Agreement, dated January 1, 2016, by and between the Registrant and Arnold Levine, Ph.D.</w:t>
            </w:r>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10.10+*</w:t>
            </w:r>
          </w:p>
        </w:tc>
        <w:tc>
          <w:tcPr>
            <w:tcW w:w="10320" w:type="dxa"/>
            <w:vAlign w:val="bottom"/>
            <w:gridSpan w:val="4"/>
          </w:tcPr>
          <w:p>
            <w:pPr>
              <w:ind w:left="420"/>
              <w:spacing w:after="0"/>
              <w:rPr>
                <w:sz w:val="20"/>
                <w:szCs w:val="20"/>
                <w:color w:val="auto"/>
              </w:rPr>
            </w:pPr>
            <w:r>
              <w:rPr>
                <w:rFonts w:ascii="Arial" w:cs="Arial" w:eastAsia="Arial" w:hAnsi="Arial"/>
                <w:sz w:val="18"/>
                <w:szCs w:val="18"/>
                <w:color w:val="auto"/>
              </w:rPr>
              <w:t>Consulting Agreement, dated July 14, 2017, by and between the Registrant and Richard Heyman, Ph.D.</w:t>
            </w:r>
          </w:p>
        </w:tc>
      </w:tr>
      <w:tr>
        <w:trPr>
          <w:trHeight w:val="270"/>
        </w:trPr>
        <w:tc>
          <w:tcPr>
            <w:tcW w:w="680" w:type="dxa"/>
            <w:vAlign w:val="bottom"/>
            <w:gridSpan w:val="2"/>
          </w:tcPr>
          <w:p>
            <w:pPr>
              <w:spacing w:after="0"/>
              <w:rPr>
                <w:sz w:val="20"/>
                <w:szCs w:val="20"/>
                <w:color w:val="auto"/>
              </w:rPr>
            </w:pPr>
            <w:r>
              <w:rPr>
                <w:rFonts w:ascii="Arial" w:cs="Arial" w:eastAsia="Arial" w:hAnsi="Arial"/>
                <w:sz w:val="18"/>
                <w:szCs w:val="18"/>
                <w:color w:val="auto"/>
              </w:rPr>
              <w:t>10.11*</w:t>
            </w:r>
          </w:p>
        </w:tc>
        <w:tc>
          <w:tcPr>
            <w:tcW w:w="10320" w:type="dxa"/>
            <w:vAlign w:val="bottom"/>
            <w:gridSpan w:val="4"/>
          </w:tcPr>
          <w:p>
            <w:pPr>
              <w:ind w:left="420"/>
              <w:spacing w:after="0"/>
              <w:rPr>
                <w:sz w:val="20"/>
                <w:szCs w:val="20"/>
                <w:color w:val="auto"/>
              </w:rPr>
            </w:pPr>
            <w:r>
              <w:rPr>
                <w:rFonts w:ascii="Arial" w:cs="Arial" w:eastAsia="Arial" w:hAnsi="Arial"/>
                <w:sz w:val="18"/>
                <w:szCs w:val="18"/>
                <w:color w:val="auto"/>
                <w:w w:val="99"/>
              </w:rPr>
              <w:t>Lease Agreement, dated March 3, 2015, by and between the Registrant and Cedar Brook 2005, LP, as amended by the First</w:t>
            </w:r>
          </w:p>
        </w:tc>
      </w:tr>
      <w:tr>
        <w:trPr>
          <w:trHeight w:val="243"/>
        </w:trPr>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Amendment to Lease dated April 24, 2017.</w:t>
            </w: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540" w:type="dxa"/>
            <w:vAlign w:val="bottom"/>
          </w:tcPr>
          <w:p>
            <w:pPr>
              <w:spacing w:after="0"/>
              <w:rPr>
                <w:sz w:val="21"/>
                <w:szCs w:val="21"/>
                <w:color w:val="auto"/>
              </w:rPr>
            </w:pPr>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23.1*</w:t>
            </w:r>
          </w:p>
        </w:tc>
        <w:tc>
          <w:tcPr>
            <w:tcW w:w="10320" w:type="dxa"/>
            <w:vAlign w:val="bottom"/>
            <w:gridSpan w:val="4"/>
          </w:tcPr>
          <w:p>
            <w:pPr>
              <w:ind w:left="4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23.2*</w:t>
            </w:r>
          </w:p>
        </w:tc>
        <w:tc>
          <w:tcPr>
            <w:tcW w:w="10320" w:type="dxa"/>
            <w:vAlign w:val="bottom"/>
            <w:gridSpan w:val="4"/>
          </w:tcPr>
          <w:p>
            <w:pPr>
              <w:ind w:left="420"/>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24.1*</w:t>
            </w:r>
          </w:p>
        </w:tc>
        <w:tc>
          <w:tcPr>
            <w:tcW w:w="10320" w:type="dxa"/>
            <w:vAlign w:val="bottom"/>
            <w:gridSpan w:val="4"/>
          </w:tcPr>
          <w:p>
            <w:pPr>
              <w:ind w:left="420"/>
              <w:spacing w:after="0"/>
              <w:rPr>
                <w:sz w:val="20"/>
                <w:szCs w:val="20"/>
                <w:color w:val="auto"/>
              </w:rPr>
            </w:pPr>
            <w:r>
              <w:rPr>
                <w:rFonts w:ascii="Arial" w:cs="Arial" w:eastAsia="Arial" w:hAnsi="Arial"/>
                <w:sz w:val="18"/>
                <w:szCs w:val="18"/>
                <w:color w:val="auto"/>
              </w:rPr>
              <w:t>Power of Attorney (see page II-6 to this Form S-1).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715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9" w:lineRule="exact"/>
        <w:rPr>
          <w:sz w:val="20"/>
          <w:szCs w:val="20"/>
          <w:color w:val="auto"/>
        </w:rPr>
      </w:pPr>
    </w:p>
    <w:p>
      <w:pPr>
        <w:ind w:left="660" w:hanging="544"/>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8" w:lineRule="exact"/>
        <w:rPr>
          <w:sz w:val="20"/>
          <w:szCs w:val="20"/>
          <w:color w:val="auto"/>
        </w:rPr>
      </w:pPr>
    </w:p>
    <w:p>
      <w:pPr>
        <w:ind w:left="660" w:hanging="544"/>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Indicated management contract or compensatory plan.</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320" w:top="455" w:right="45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w:t>
      </w:r>
    </w:p>
    <w:p>
      <w:pPr>
        <w:spacing w:after="0" w:line="18"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9440" w:type="dxa"/>
            <w:vAlign w:val="bottom"/>
          </w:tcPr>
          <w:p>
            <w:pPr>
              <w:spacing w:after="0"/>
              <w:rPr>
                <w:sz w:val="20"/>
                <w:szCs w:val="20"/>
                <w:color w:val="auto"/>
              </w:rPr>
            </w:pPr>
            <w:r>
              <w:rPr>
                <w:rFonts w:ascii="Arial" w:cs="Arial" w:eastAsia="Arial" w:hAnsi="Arial"/>
                <w:sz w:val="18"/>
                <w:szCs w:val="18"/>
                <w:color w:val="auto"/>
              </w:rPr>
              <w:t>to be signed on its behalf by the undersigned, thereunto duly authorized, in the City of Cranbury, New Jersey, on</w:t>
            </w:r>
          </w:p>
        </w:tc>
        <w:tc>
          <w:tcPr>
            <w:tcW w:w="108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17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PMV PHARMACEUTICALS, INC.</w:t>
      </w:r>
    </w:p>
    <w:p>
      <w:pPr>
        <w:spacing w:after="0" w:line="21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11430</wp:posOffset>
            </wp:positionV>
            <wp:extent cx="25628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David H. Mack, Ph.D.</w:t>
      </w:r>
    </w:p>
    <w:p>
      <w:pPr>
        <w:spacing w:after="0" w:line="4"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1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David H. Mack, Ph.D. and Winston Kung as his or her true and lawful attorneys-in-fact and agents, each with the full power of substitution, for him or her and in his or her name, place and stead, in any and all capacities (including his or her capacity as a director and/or officer of registrant) to sign any or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180" w:lineRule="exact"/>
        <w:rPr>
          <w:sz w:val="20"/>
          <w:szCs w:val="20"/>
          <w:color w:val="auto"/>
        </w:rPr>
      </w:pPr>
    </w:p>
    <w:p>
      <w:pPr>
        <w:ind w:left="120" w:right="620" w:firstLine="551"/>
        <w:spacing w:after="0" w:line="27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3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Signature</w:t>
            </w:r>
          </w:p>
        </w:tc>
        <w:tc>
          <w:tcPr>
            <w:tcW w:w="2280" w:type="dxa"/>
            <w:vAlign w:val="bottom"/>
          </w:tcPr>
          <w:p>
            <w:pPr>
              <w:spacing w:after="0"/>
              <w:rPr>
                <w:sz w:val="15"/>
                <w:szCs w:val="15"/>
                <w:color w:val="auto"/>
              </w:rPr>
            </w:pPr>
          </w:p>
        </w:tc>
        <w:tc>
          <w:tcPr>
            <w:tcW w:w="3340" w:type="dxa"/>
            <w:vAlign w:val="bottom"/>
            <w:gridSpan w:val="2"/>
          </w:tcPr>
          <w:p>
            <w:pPr>
              <w:jc w:val="center"/>
              <w:ind w:right="3040"/>
              <w:spacing w:after="0"/>
              <w:rPr>
                <w:sz w:val="20"/>
                <w:szCs w:val="20"/>
                <w:color w:val="auto"/>
              </w:rPr>
            </w:pPr>
            <w:r>
              <w:rPr>
                <w:rFonts w:ascii="Arial" w:cs="Arial" w:eastAsia="Arial" w:hAnsi="Arial"/>
                <w:sz w:val="14"/>
                <w:szCs w:val="14"/>
                <w:b w:val="1"/>
                <w:bCs w:val="1"/>
                <w:color w:val="auto"/>
              </w:rPr>
              <w:t>Title</w:t>
            </w:r>
          </w:p>
        </w:tc>
        <w:tc>
          <w:tcPr>
            <w:tcW w:w="9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1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620" w:type="dxa"/>
            <w:vAlign w:val="bottom"/>
            <w:gridSpan w:val="3"/>
          </w:tcPr>
          <w:p>
            <w:pPr>
              <w:jc w:val="center"/>
              <w:ind w:right="740"/>
              <w:spacing w:after="0"/>
              <w:rPr>
                <w:sz w:val="20"/>
                <w:szCs w:val="20"/>
                <w:color w:val="auto"/>
              </w:rPr>
            </w:pPr>
            <w:r>
              <w:rPr>
                <w:rFonts w:ascii="Arial" w:cs="Arial" w:eastAsia="Arial" w:hAnsi="Arial"/>
                <w:sz w:val="18"/>
                <w:szCs w:val="18"/>
                <w:color w:val="auto"/>
                <w:w w:val="99"/>
              </w:rPr>
              <w:t>President, Chief Executive Officer and Director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23"/>
        </w:trPr>
        <w:tc>
          <w:tcPr>
            <w:tcW w:w="4300" w:type="dxa"/>
            <w:vAlign w:val="bottom"/>
            <w:tcBorders>
              <w:bottom w:val="single" w:sz="8" w:color="auto"/>
            </w:tcBorders>
            <w:gridSpan w:val="3"/>
          </w:tcPr>
          <w:p>
            <w:pPr>
              <w:spacing w:after="0" w:line="20" w:lineRule="exact"/>
              <w:rPr>
                <w:sz w:val="1"/>
                <w:szCs w:val="1"/>
                <w:color w:val="auto"/>
              </w:rPr>
            </w:pPr>
          </w:p>
        </w:tc>
        <w:tc>
          <w:tcPr>
            <w:tcW w:w="5620" w:type="dxa"/>
            <w:vAlign w:val="bottom"/>
            <w:gridSpan w:val="3"/>
            <w:vMerge w:val="restart"/>
          </w:tcPr>
          <w:p>
            <w:pPr>
              <w:jc w:val="center"/>
              <w:ind w:right="760"/>
              <w:spacing w:after="0"/>
              <w:rPr>
                <w:sz w:val="20"/>
                <w:szCs w:val="20"/>
                <w:color w:val="auto"/>
              </w:rPr>
            </w:pPr>
            <w:r>
              <w:rPr>
                <w:rFonts w:ascii="Arial" w:cs="Arial" w:eastAsia="Arial" w:hAnsi="Arial"/>
                <w:sz w:val="18"/>
                <w:szCs w:val="18"/>
                <w:color w:val="auto"/>
                <w:w w:val="99"/>
              </w:rPr>
              <w:t>(Principal Executive Officer)</w:t>
            </w: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430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David H. Mack, Ph.D.</w:t>
            </w:r>
          </w:p>
        </w:tc>
        <w:tc>
          <w:tcPr>
            <w:tcW w:w="5620" w:type="dxa"/>
            <w:vAlign w:val="bottom"/>
            <w:gridSpan w:val="3"/>
            <w:vMerge w:val="continue"/>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620" w:type="dxa"/>
            <w:vAlign w:val="bottom"/>
            <w:gridSpan w:val="3"/>
          </w:tcPr>
          <w:p>
            <w:pPr>
              <w:jc w:val="center"/>
              <w:ind w:right="740"/>
              <w:spacing w:after="0"/>
              <w:rPr>
                <w:sz w:val="20"/>
                <w:szCs w:val="20"/>
                <w:color w:val="auto"/>
              </w:rPr>
            </w:pPr>
            <w:r>
              <w:rPr>
                <w:rFonts w:ascii="Arial" w:cs="Arial" w:eastAsia="Arial" w:hAnsi="Arial"/>
                <w:sz w:val="18"/>
                <w:szCs w:val="18"/>
                <w:color w:val="auto"/>
                <w:w w:val="99"/>
              </w:rPr>
              <w:t>Chief Operating Officer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23"/>
        </w:trPr>
        <w:tc>
          <w:tcPr>
            <w:tcW w:w="4300" w:type="dxa"/>
            <w:vAlign w:val="bottom"/>
            <w:tcBorders>
              <w:bottom w:val="single" w:sz="8" w:color="auto"/>
            </w:tcBorders>
            <w:gridSpan w:val="3"/>
          </w:tcPr>
          <w:p>
            <w:pPr>
              <w:spacing w:after="0" w:line="20" w:lineRule="exact"/>
              <w:rPr>
                <w:sz w:val="1"/>
                <w:szCs w:val="1"/>
                <w:color w:val="auto"/>
              </w:rPr>
            </w:pPr>
          </w:p>
        </w:tc>
        <w:tc>
          <w:tcPr>
            <w:tcW w:w="5620" w:type="dxa"/>
            <w:vAlign w:val="bottom"/>
            <w:gridSpan w:val="3"/>
            <w:vMerge w:val="restart"/>
          </w:tcPr>
          <w:p>
            <w:pPr>
              <w:jc w:val="center"/>
              <w:ind w:right="740"/>
              <w:spacing w:after="0" w:line="202" w:lineRule="exact"/>
              <w:rPr>
                <w:sz w:val="20"/>
                <w:szCs w:val="20"/>
                <w:color w:val="auto"/>
              </w:rPr>
            </w:pPr>
            <w:r>
              <w:rPr>
                <w:rFonts w:ascii="Arial" w:cs="Arial" w:eastAsia="Arial" w:hAnsi="Arial"/>
                <w:sz w:val="18"/>
                <w:szCs w:val="18"/>
                <w:color w:val="auto"/>
                <w:w w:val="99"/>
              </w:rPr>
              <w:t>and Chief Financial Officer</w:t>
            </w: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4300" w:type="dxa"/>
            <w:vAlign w:val="bottom"/>
            <w:gridSpan w:val="3"/>
          </w:tcPr>
          <w:p>
            <w:pPr>
              <w:jc w:val="center"/>
              <w:ind w:right="20"/>
              <w:spacing w:after="0" w:line="160" w:lineRule="exact"/>
              <w:rPr>
                <w:sz w:val="20"/>
                <w:szCs w:val="20"/>
                <w:color w:val="auto"/>
              </w:rPr>
            </w:pPr>
            <w:r>
              <w:rPr>
                <w:rFonts w:ascii="Arial" w:cs="Arial" w:eastAsia="Arial" w:hAnsi="Arial"/>
                <w:sz w:val="18"/>
                <w:szCs w:val="18"/>
                <w:color w:val="auto"/>
                <w:w w:val="99"/>
              </w:rPr>
              <w:t>Winston Kung</w:t>
            </w:r>
          </w:p>
        </w:tc>
        <w:tc>
          <w:tcPr>
            <w:tcW w:w="562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5620" w:type="dxa"/>
            <w:vAlign w:val="bottom"/>
            <w:gridSpan w:val="3"/>
          </w:tcPr>
          <w:p>
            <w:pPr>
              <w:jc w:val="center"/>
              <w:ind w:right="740"/>
              <w:spacing w:after="0"/>
              <w:rPr>
                <w:sz w:val="20"/>
                <w:szCs w:val="20"/>
                <w:color w:val="auto"/>
              </w:rPr>
            </w:pPr>
            <w:r>
              <w:rPr>
                <w:rFonts w:ascii="Arial" w:cs="Arial" w:eastAsia="Arial" w:hAnsi="Arial"/>
                <w:sz w:val="18"/>
                <w:szCs w:val="18"/>
                <w:color w:val="auto"/>
                <w:w w:val="99"/>
              </w:rPr>
              <w:t>(Principal Financial and Accounting Officer)</w:t>
            </w: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3"/>
        </w:trPr>
        <w:tc>
          <w:tcPr>
            <w:tcW w:w="18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620" w:type="dxa"/>
            <w:vAlign w:val="bottom"/>
            <w:gridSpan w:val="3"/>
          </w:tcPr>
          <w:p>
            <w:pPr>
              <w:jc w:val="center"/>
              <w:ind w:right="760"/>
              <w:spacing w:after="0"/>
              <w:rPr>
                <w:sz w:val="20"/>
                <w:szCs w:val="20"/>
                <w:color w:val="auto"/>
              </w:rPr>
            </w:pPr>
            <w:r>
              <w:rPr>
                <w:rFonts w:ascii="Arial" w:cs="Arial" w:eastAsia="Arial" w:hAnsi="Arial"/>
                <w:sz w:val="18"/>
                <w:szCs w:val="18"/>
                <w:color w:val="auto"/>
              </w:rPr>
              <w:t>Director and Chairman of the Board of Directors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236"/>
        </w:trPr>
        <w:tc>
          <w:tcPr>
            <w:tcW w:w="4300" w:type="dxa"/>
            <w:vAlign w:val="bottom"/>
            <w:gridSpan w:val="3"/>
          </w:tcPr>
          <w:p>
            <w:pPr>
              <w:jc w:val="center"/>
              <w:spacing w:after="0"/>
              <w:rPr>
                <w:sz w:val="20"/>
                <w:szCs w:val="20"/>
                <w:color w:val="auto"/>
              </w:rPr>
            </w:pPr>
            <w:r>
              <w:rPr>
                <w:rFonts w:ascii="Arial" w:cs="Arial" w:eastAsia="Arial" w:hAnsi="Arial"/>
                <w:sz w:val="18"/>
                <w:szCs w:val="18"/>
                <w:color w:val="auto"/>
              </w:rPr>
              <w:t>Richard Heyman, Ph.D.</w:t>
            </w: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8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620" w:type="dxa"/>
            <w:vAlign w:val="bottom"/>
            <w:gridSpan w:val="3"/>
          </w:tcPr>
          <w:p>
            <w:pPr>
              <w:jc w:val="center"/>
              <w:ind w:right="760"/>
              <w:spacing w:after="0"/>
              <w:rPr>
                <w:sz w:val="20"/>
                <w:szCs w:val="20"/>
                <w:color w:val="auto"/>
              </w:rPr>
            </w:pPr>
            <w:r>
              <w:rPr>
                <w:rFonts w:ascii="Arial" w:cs="Arial" w:eastAsia="Arial" w:hAnsi="Arial"/>
                <w:sz w:val="18"/>
                <w:szCs w:val="18"/>
                <w:color w:val="auto"/>
                <w:w w:val="98"/>
              </w:rPr>
              <w:t>Director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236"/>
        </w:trPr>
        <w:tc>
          <w:tcPr>
            <w:tcW w:w="4300" w:type="dxa"/>
            <w:vAlign w:val="bottom"/>
            <w:gridSpan w:val="3"/>
          </w:tcPr>
          <w:p>
            <w:pPr>
              <w:jc w:val="center"/>
              <w:spacing w:after="0"/>
              <w:rPr>
                <w:sz w:val="20"/>
                <w:szCs w:val="20"/>
                <w:color w:val="auto"/>
              </w:rPr>
            </w:pPr>
            <w:r>
              <w:rPr>
                <w:rFonts w:ascii="Arial" w:cs="Arial" w:eastAsia="Arial" w:hAnsi="Arial"/>
                <w:sz w:val="18"/>
                <w:szCs w:val="18"/>
                <w:color w:val="auto"/>
              </w:rPr>
              <w:t>Arnold Levine, Ph.D.</w:t>
            </w: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8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620" w:type="dxa"/>
            <w:vAlign w:val="bottom"/>
            <w:gridSpan w:val="3"/>
          </w:tcPr>
          <w:p>
            <w:pPr>
              <w:jc w:val="center"/>
              <w:ind w:right="760"/>
              <w:spacing w:after="0"/>
              <w:rPr>
                <w:sz w:val="20"/>
                <w:szCs w:val="20"/>
                <w:color w:val="auto"/>
              </w:rPr>
            </w:pPr>
            <w:r>
              <w:rPr>
                <w:rFonts w:ascii="Arial" w:cs="Arial" w:eastAsia="Arial" w:hAnsi="Arial"/>
                <w:sz w:val="18"/>
                <w:szCs w:val="18"/>
                <w:color w:val="auto"/>
                <w:w w:val="98"/>
              </w:rPr>
              <w:t>Director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236"/>
        </w:trPr>
        <w:tc>
          <w:tcPr>
            <w:tcW w:w="4300" w:type="dxa"/>
            <w:vAlign w:val="bottom"/>
            <w:gridSpan w:val="3"/>
          </w:tcPr>
          <w:p>
            <w:pPr>
              <w:jc w:val="center"/>
              <w:spacing w:after="0"/>
              <w:rPr>
                <w:sz w:val="20"/>
                <w:szCs w:val="20"/>
                <w:color w:val="auto"/>
              </w:rPr>
            </w:pPr>
            <w:r>
              <w:rPr>
                <w:rFonts w:ascii="Arial" w:cs="Arial" w:eastAsia="Arial" w:hAnsi="Arial"/>
                <w:sz w:val="18"/>
                <w:szCs w:val="18"/>
                <w:color w:val="auto"/>
                <w:w w:val="99"/>
              </w:rPr>
              <w:t>Arnold Oronsky, Ph.D.</w:t>
            </w: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8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620" w:type="dxa"/>
            <w:vAlign w:val="bottom"/>
            <w:gridSpan w:val="3"/>
          </w:tcPr>
          <w:p>
            <w:pPr>
              <w:jc w:val="center"/>
              <w:ind w:right="760"/>
              <w:spacing w:after="0"/>
              <w:rPr>
                <w:sz w:val="20"/>
                <w:szCs w:val="20"/>
                <w:color w:val="auto"/>
              </w:rPr>
            </w:pPr>
            <w:r>
              <w:rPr>
                <w:rFonts w:ascii="Arial" w:cs="Arial" w:eastAsia="Arial" w:hAnsi="Arial"/>
                <w:sz w:val="18"/>
                <w:szCs w:val="18"/>
                <w:color w:val="auto"/>
                <w:w w:val="98"/>
              </w:rPr>
              <w:t>Director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236"/>
        </w:trPr>
        <w:tc>
          <w:tcPr>
            <w:tcW w:w="4300" w:type="dxa"/>
            <w:vAlign w:val="bottom"/>
            <w:gridSpan w:val="3"/>
          </w:tcPr>
          <w:p>
            <w:pPr>
              <w:jc w:val="center"/>
              <w:spacing w:after="0"/>
              <w:rPr>
                <w:sz w:val="20"/>
                <w:szCs w:val="20"/>
                <w:color w:val="auto"/>
              </w:rPr>
            </w:pPr>
            <w:r>
              <w:rPr>
                <w:rFonts w:ascii="Arial" w:cs="Arial" w:eastAsia="Arial" w:hAnsi="Arial"/>
                <w:sz w:val="18"/>
                <w:szCs w:val="18"/>
                <w:color w:val="auto"/>
                <w:w w:val="99"/>
              </w:rPr>
              <w:t>Thilo Schroeder, Ph.D.</w:t>
            </w: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8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620" w:type="dxa"/>
            <w:vAlign w:val="bottom"/>
            <w:gridSpan w:val="3"/>
          </w:tcPr>
          <w:p>
            <w:pPr>
              <w:jc w:val="center"/>
              <w:ind w:right="760"/>
              <w:spacing w:after="0"/>
              <w:rPr>
                <w:sz w:val="20"/>
                <w:szCs w:val="20"/>
                <w:color w:val="auto"/>
              </w:rPr>
            </w:pPr>
            <w:r>
              <w:rPr>
                <w:rFonts w:ascii="Arial" w:cs="Arial" w:eastAsia="Arial" w:hAnsi="Arial"/>
                <w:sz w:val="18"/>
                <w:szCs w:val="18"/>
                <w:color w:val="auto"/>
                <w:w w:val="98"/>
              </w:rPr>
              <w:t>Director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236"/>
        </w:trPr>
        <w:tc>
          <w:tcPr>
            <w:tcW w:w="4300" w:type="dxa"/>
            <w:vAlign w:val="bottom"/>
            <w:gridSpan w:val="3"/>
          </w:tcPr>
          <w:p>
            <w:pPr>
              <w:jc w:val="center"/>
              <w:spacing w:after="0"/>
              <w:rPr>
                <w:sz w:val="20"/>
                <w:szCs w:val="20"/>
                <w:color w:val="auto"/>
              </w:rPr>
            </w:pPr>
            <w:r>
              <w:rPr>
                <w:rFonts w:ascii="Arial" w:cs="Arial" w:eastAsia="Arial" w:hAnsi="Arial"/>
                <w:sz w:val="18"/>
                <w:szCs w:val="18"/>
                <w:color w:val="auto"/>
              </w:rPr>
              <w:t>Peter Thompson, M.D.</w:t>
            </w: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II-6</w:t>
      </w:r>
    </w:p>
    <w:sectPr>
      <w:pgSz w:w="11900" w:h="16838" w:orient="portrait"/>
      <w:cols w:equalWidth="0" w:num="1">
        <w:col w:w="11060"/>
      </w:cols>
      <w:pgMar w:left="320" w:top="45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1)"/>
      <w:numFmt w:val="decimal"/>
      <w:start w:val="1"/>
    </w:lvl>
  </w:abstractNum>
  <w:abstractNum w:abstractNumId="1">
    <w:nsid w:val="77AE35EB"/>
    <w:multiLevelType w:val="hybridMultilevel"/>
    <w:lvl w:ilvl="0">
      <w:lvlJc w:val="left"/>
      <w:lvlText w:val="(%1)"/>
      <w:numFmt w:val="decimal"/>
      <w:start w:val="1"/>
    </w:lvl>
  </w:abstractNum>
  <w:abstractNum w:abstractNumId="2">
    <w:nsid w:val="579BE4F1"/>
    <w:multiLevelType w:val="hybridMultilevel"/>
    <w:lvl w:ilvl="0">
      <w:lvlJc w:val="left"/>
      <w:lvlText w:val="(%1)"/>
      <w:numFmt w:val="decimal"/>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1)"/>
      <w:numFmt w:val="decimal"/>
      <w:start w:val="1"/>
    </w:lvl>
  </w:abstractNum>
  <w:abstractNum w:abstractNumId="12">
    <w:nsid w:val="100F8FCA"/>
    <w:multiLevelType w:val="hybridMultilevel"/>
    <w:lvl w:ilvl="0">
      <w:lvlJc w:val="left"/>
      <w:lvlText w:val="(%1)"/>
      <w:numFmt w:val="decimal"/>
      <w:start w:val="1"/>
    </w:lvl>
  </w:abstractNum>
  <w:abstractNum w:abstractNumId="13">
    <w:nsid w:val="6590700B"/>
    <w:multiLevelType w:val="hybridMultilevel"/>
    <w:lvl w:ilvl="0">
      <w:lvlJc w:val="left"/>
      <w:lvlText w:val="(%1)"/>
      <w:numFmt w:val="decimal"/>
      <w:start w:val="3"/>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
      <w:numFmt w:val="bullet"/>
      <w:start w:val="1"/>
    </w:lvl>
  </w:abstractNum>
  <w:abstractNum w:abstractNumId="35">
    <w:nsid w:val="68EB2F63"/>
    <w:multiLevelType w:val="hybridMultilevel"/>
    <w:lvl w:ilvl="0">
      <w:lvlJc w:val="left"/>
      <w:lvlText w:val="(%1)"/>
      <w:numFmt w:val="lowerRoman"/>
      <w:start w:val="1"/>
    </w:lvl>
  </w:abstractNum>
  <w:abstractNum w:abstractNumId="36">
    <w:nsid w:val="4962813B"/>
    <w:multiLevelType w:val="hybridMultilevel"/>
    <w:lvl w:ilvl="0">
      <w:lvlJc w:val="left"/>
      <w:lvlText w:val="•"/>
      <w:numFmt w:val="bullet"/>
      <w:start w:val="1"/>
    </w:lvl>
  </w:abstractNum>
  <w:abstractNum w:abstractNumId="37">
    <w:nsid w:val="60B6DF70"/>
    <w:multiLevelType w:val="hybridMultilevel"/>
    <w:lvl w:ilvl="0">
      <w:lvlJc w:val="left"/>
      <w:lvlText w:val="•"/>
      <w:numFmt w:val="bullet"/>
      <w:start w:val="1"/>
    </w:lvl>
  </w:abstractNum>
  <w:abstractNum w:abstractNumId="38">
    <w:nsid w:val="6A5EE64"/>
    <w:multiLevelType w:val="hybridMultilevel"/>
    <w:lvl w:ilvl="0">
      <w:lvlJc w:val="left"/>
      <w:lvlText w:val="•"/>
      <w:numFmt w:val="bullet"/>
      <w:start w:val="1"/>
    </w:lvl>
  </w:abstractNum>
  <w:abstractNum w:abstractNumId="39">
    <w:nsid w:val="14330624"/>
    <w:multiLevelType w:val="hybridMultilevel"/>
    <w:lvl w:ilvl="0">
      <w:lvlJc w:val="left"/>
      <w:lvlText w:val="•"/>
      <w:numFmt w:val="bullet"/>
      <w:start w:val="1"/>
    </w:lvl>
  </w:abstractNum>
  <w:abstractNum w:abstractNumId="40">
    <w:nsid w:val="7FFFCA11"/>
    <w:multiLevelType w:val="hybridMultilevel"/>
    <w:lvl w:ilvl="0">
      <w:lvlJc w:val="left"/>
      <w:lvlText w:val="•"/>
      <w:numFmt w:val="bullet"/>
      <w:start w:val="1"/>
    </w:lvl>
  </w:abstractNum>
  <w:abstractNum w:abstractNumId="41">
    <w:nsid w:val="1A27709E"/>
    <w:multiLevelType w:val="hybridMultilevel"/>
    <w:lvl w:ilvl="0">
      <w:lvlJc w:val="left"/>
      <w:lvlText w:val="•"/>
      <w:numFmt w:val="bullet"/>
      <w:start w:val="1"/>
    </w:lvl>
  </w:abstractNum>
  <w:abstractNum w:abstractNumId="42">
    <w:nsid w:val="71EA1109"/>
    <w:multiLevelType w:val="hybridMultilevel"/>
    <w:lvl w:ilvl="0">
      <w:lvlJc w:val="left"/>
      <w:lvlText w:val="•"/>
      <w:numFmt w:val="bullet"/>
      <w:start w:val="1"/>
    </w:lvl>
  </w:abstractNum>
  <w:abstractNum w:abstractNumId="43">
    <w:nsid w:val="100F59DC"/>
    <w:multiLevelType w:val="hybridMultilevel"/>
    <w:lvl w:ilvl="0">
      <w:lvlJc w:val="left"/>
      <w:lvlText w:val="•"/>
      <w:numFmt w:val="bullet"/>
      <w:start w:val="1"/>
    </w:lvl>
  </w:abstractNum>
  <w:abstractNum w:abstractNumId="44">
    <w:nsid w:val="7FB7E0AA"/>
    <w:multiLevelType w:val="hybridMultilevel"/>
    <w:lvl w:ilvl="0">
      <w:lvlJc w:val="left"/>
      <w:lvlText w:val="•"/>
      <w:numFmt w:val="bullet"/>
      <w:start w:val="1"/>
    </w:lvl>
  </w:abstractNum>
  <w:abstractNum w:abstractNumId="45">
    <w:nsid w:val="6EB5BD4"/>
    <w:multiLevelType w:val="hybridMultilevel"/>
    <w:lvl w:ilvl="0">
      <w:lvlJc w:val="left"/>
      <w:lvlText w:val="•"/>
      <w:numFmt w:val="bullet"/>
      <w:start w:val="1"/>
    </w:lvl>
  </w:abstractNum>
  <w:abstractNum w:abstractNumId="46">
    <w:nsid w:val="6F6DD9AC"/>
    <w:multiLevelType w:val="hybridMultilevel"/>
    <w:lvl w:ilvl="0">
      <w:lvlJc w:val="left"/>
      <w:lvlText w:val="•"/>
      <w:numFmt w:val="bullet"/>
      <w:start w:val="1"/>
    </w:lvl>
  </w:abstractNum>
  <w:abstractNum w:abstractNumId="47">
    <w:nsid w:val="94211F2"/>
    <w:multiLevelType w:val="hybridMultilevel"/>
    <w:lvl w:ilvl="0">
      <w:lvlJc w:val="left"/>
      <w:lvlText w:val="•"/>
      <w:numFmt w:val="bullet"/>
      <w:start w:val="1"/>
    </w:lvl>
  </w:abstractNum>
  <w:abstractNum w:abstractNumId="48">
    <w:nsid w:val="885E1B"/>
    <w:multiLevelType w:val="hybridMultilevel"/>
    <w:lvl w:ilvl="0">
      <w:lvlJc w:val="left"/>
      <w:lvlText w:val="•"/>
      <w:numFmt w:val="bullet"/>
      <w:start w:val="1"/>
    </w:lvl>
  </w:abstractNum>
  <w:abstractNum w:abstractNumId="49">
    <w:nsid w:val="76272110"/>
    <w:multiLevelType w:val="hybridMultilevel"/>
    <w:lvl w:ilvl="0">
      <w:lvlJc w:val="left"/>
      <w:lvlText w:val="•"/>
      <w:numFmt w:val="bullet"/>
      <w:start w:val="1"/>
    </w:lvl>
  </w:abstractNum>
  <w:abstractNum w:abstractNumId="50">
    <w:nsid w:val="4C04A8AF"/>
    <w:multiLevelType w:val="hybridMultilevel"/>
    <w:lvl w:ilvl="0">
      <w:lvlJc w:val="left"/>
      <w:lvlText w:val="•"/>
      <w:numFmt w:val="bullet"/>
      <w:start w:val="1"/>
    </w:lvl>
  </w:abstractNum>
  <w:abstractNum w:abstractNumId="51">
    <w:nsid w:val="1716703B"/>
    <w:multiLevelType w:val="hybridMultilevel"/>
    <w:lvl w:ilvl="0">
      <w:lvlJc w:val="left"/>
      <w:lvlText w:val="•"/>
      <w:numFmt w:val="bullet"/>
      <w:start w:val="1"/>
    </w:lvl>
  </w:abstractNum>
  <w:abstractNum w:abstractNumId="52">
    <w:nsid w:val="14E17E33"/>
    <w:multiLevelType w:val="hybridMultilevel"/>
    <w:lvl w:ilvl="0">
      <w:lvlJc w:val="left"/>
      <w:lvlText w:val="•"/>
      <w:numFmt w:val="bullet"/>
      <w:start w:val="1"/>
    </w:lvl>
  </w:abstractNum>
  <w:abstractNum w:abstractNumId="53">
    <w:nsid w:val="3222E7CD"/>
    <w:multiLevelType w:val="hybridMultilevel"/>
    <w:lvl w:ilvl="0">
      <w:lvlJc w:val="left"/>
      <w:lvlText w:val="•"/>
      <w:numFmt w:val="bullet"/>
      <w:start w:val="1"/>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
      <w:numFmt w:val="bullet"/>
      <w:start w:val="1"/>
    </w:lvl>
  </w:abstractNum>
  <w:abstractNum w:abstractNumId="58">
    <w:nsid w:val="4A2AC315"/>
    <w:multiLevelType w:val="hybridMultilevel"/>
    <w:lvl w:ilvl="0">
      <w:lvlJc w:val="left"/>
      <w:lvlText w:val="•"/>
      <w:numFmt w:val="bullet"/>
      <w:start w:val="1"/>
    </w:lvl>
  </w:abstractNum>
  <w:abstractNum w:abstractNumId="59">
    <w:nsid w:val="39EE015C"/>
    <w:multiLevelType w:val="hybridMultilevel"/>
    <w:lvl w:ilvl="0">
      <w:lvlJc w:val="left"/>
      <w:lvlText w:val="•"/>
      <w:numFmt w:val="bullet"/>
      <w:start w:val="1"/>
    </w:lvl>
  </w:abstractNum>
  <w:abstractNum w:abstractNumId="60">
    <w:nsid w:val="57FC4FBB"/>
    <w:multiLevelType w:val="hybridMultilevel"/>
    <w:lvl w:ilvl="0">
      <w:lvlJc w:val="left"/>
      <w:lvlText w:val="•"/>
      <w:numFmt w:val="bullet"/>
      <w:start w:val="1"/>
    </w:lvl>
  </w:abstractNum>
  <w:abstractNum w:abstractNumId="61">
    <w:nsid w:val="CC1016F"/>
    <w:multiLevelType w:val="hybridMultilevel"/>
    <w:lvl w:ilvl="0">
      <w:lvlJc w:val="left"/>
      <w:lvlText w:val="•"/>
      <w:numFmt w:val="bullet"/>
      <w:start w:val="1"/>
    </w:lvl>
  </w:abstractNum>
  <w:abstractNum w:abstractNumId="62">
    <w:nsid w:val="43F18422"/>
    <w:multiLevelType w:val="hybridMultilevel"/>
    <w:lvl w:ilvl="0">
      <w:lvlJc w:val="left"/>
      <w:lvlText w:val="•"/>
      <w:numFmt w:val="bullet"/>
      <w:start w:val="1"/>
    </w:lvl>
  </w:abstractNum>
  <w:abstractNum w:abstractNumId="63">
    <w:nsid w:val="60EF0119"/>
    <w:multiLevelType w:val="hybridMultilevel"/>
    <w:lvl w:ilvl="0">
      <w:lvlJc w:val="left"/>
      <w:lvlText w:val="(%1)"/>
      <w:numFmt w:val="decimal"/>
      <w:start w:val="1"/>
    </w:lvl>
  </w:abstractNum>
  <w:abstractNum w:abstractNumId="64">
    <w:nsid w:val="26F324BA"/>
    <w:multiLevelType w:val="hybridMultilevel"/>
    <w:lvl w:ilvl="0">
      <w:lvlJc w:val="left"/>
      <w:lvlText w:val="(%1)"/>
      <w:numFmt w:val="decimal"/>
      <w:start w:val="1"/>
    </w:lvl>
  </w:abstractNum>
  <w:abstractNum w:abstractNumId="65">
    <w:nsid w:val="7F01579B"/>
    <w:multiLevelType w:val="hybridMultilevel"/>
    <w:lvl w:ilvl="0">
      <w:lvlJc w:val="left"/>
      <w:lvlText w:val="•"/>
      <w:numFmt w:val="bullet"/>
      <w:start w:val="1"/>
    </w:lvl>
  </w:abstractNum>
  <w:abstractNum w:abstractNumId="66">
    <w:nsid w:val="49DA307D"/>
    <w:multiLevelType w:val="hybridMultilevel"/>
    <w:lvl w:ilvl="0">
      <w:lvlJc w:val="left"/>
      <w:lvlText w:val="•"/>
      <w:numFmt w:val="bullet"/>
      <w:start w:val="1"/>
    </w:lvl>
  </w:abstractNum>
  <w:abstractNum w:abstractNumId="67">
    <w:nsid w:val="7055A5F5"/>
    <w:multiLevelType w:val="hybridMultilevel"/>
    <w:lvl w:ilvl="0">
      <w:lvlJc w:val="left"/>
      <w:lvlText w:val="•"/>
      <w:numFmt w:val="bullet"/>
      <w:start w:val="1"/>
    </w:lvl>
  </w:abstractNum>
  <w:abstractNum w:abstractNumId="68">
    <w:nsid w:val="5FB8370B"/>
    <w:multiLevelType w:val="hybridMultilevel"/>
    <w:lvl w:ilvl="0">
      <w:lvlJc w:val="left"/>
      <w:lvlText w:val="•"/>
      <w:numFmt w:val="bullet"/>
      <w:start w:val="1"/>
    </w:lvl>
  </w:abstractNum>
  <w:abstractNum w:abstractNumId="69">
    <w:nsid w:val="50801EE1"/>
    <w:multiLevelType w:val="hybridMultilevel"/>
    <w:lvl w:ilvl="0">
      <w:lvlJc w:val="left"/>
      <w:lvlText w:val="•"/>
      <w:numFmt w:val="bullet"/>
      <w:start w:val="1"/>
    </w:lvl>
  </w:abstractNum>
  <w:abstractNum w:abstractNumId="70">
    <w:nsid w:val="488AC1A"/>
    <w:multiLevelType w:val="hybridMultilevel"/>
    <w:lvl w:ilvl="0">
      <w:lvlJc w:val="left"/>
      <w:lvlText w:val="$"/>
      <w:numFmt w:val="bullet"/>
      <w:start w:val="1"/>
    </w:lvl>
  </w:abstractNum>
  <w:abstractNum w:abstractNumId="71">
    <w:nsid w:val="5FB8011C"/>
    <w:multiLevelType w:val="hybridMultilevel"/>
    <w:lvl w:ilvl="0">
      <w:lvlJc w:val="left"/>
      <w:lvlText w:val="•"/>
      <w:numFmt w:val="bullet"/>
      <w:start w:val="1"/>
    </w:lvl>
  </w:abstractNum>
  <w:abstractNum w:abstractNumId="72">
    <w:nsid w:val="6AA78F7F"/>
    <w:multiLevelType w:val="hybridMultilevel"/>
    <w:lvl w:ilvl="0">
      <w:lvlJc w:val="left"/>
      <w:lvlText w:val="•"/>
      <w:numFmt w:val="bullet"/>
      <w:start w:val="1"/>
    </w:lvl>
  </w:abstractNum>
  <w:abstractNum w:abstractNumId="73">
    <w:nsid w:val="7672BD23"/>
    <w:multiLevelType w:val="hybridMultilevel"/>
    <w:lvl w:ilvl="0">
      <w:lvlJc w:val="left"/>
      <w:lvlText w:val="(%1)"/>
      <w:numFmt w:val="decimal"/>
      <w:start w:val="1"/>
    </w:lvl>
  </w:abstractNum>
  <w:abstractNum w:abstractNumId="74">
    <w:nsid w:val="6FC75AF8"/>
    <w:multiLevelType w:val="hybridMultilevel"/>
    <w:lvl w:ilvl="0">
      <w:lvlJc w:val="left"/>
      <w:lvlText w:val="•"/>
      <w:numFmt w:val="bullet"/>
      <w:start w:val="1"/>
    </w:lvl>
  </w:abstractNum>
  <w:abstractNum w:abstractNumId="75">
    <w:nsid w:val="6A5F7029"/>
    <w:multiLevelType w:val="hybridMultilevel"/>
    <w:lvl w:ilvl="0">
      <w:lvlJc w:val="left"/>
      <w:lvlText w:val="•"/>
      <w:numFmt w:val="bullet"/>
      <w:start w:val="1"/>
    </w:lvl>
  </w:abstractNum>
  <w:abstractNum w:abstractNumId="76">
    <w:nsid w:val="7D5E18F8"/>
    <w:multiLevelType w:val="hybridMultilevel"/>
    <w:lvl w:ilvl="0">
      <w:lvlJc w:val="left"/>
      <w:lvlText w:val="•"/>
      <w:numFmt w:val="bullet"/>
      <w:start w:val="1"/>
    </w:lvl>
  </w:abstractNum>
  <w:abstractNum w:abstractNumId="77">
    <w:nsid w:val="5F3534A4"/>
    <w:multiLevelType w:val="hybridMultilevel"/>
    <w:lvl w:ilvl="0">
      <w:lvlJc w:val="left"/>
      <w:lvlText w:val="•"/>
      <w:numFmt w:val="bullet"/>
      <w:start w:val="1"/>
    </w:lvl>
  </w:abstractNum>
  <w:abstractNum w:abstractNumId="78">
    <w:nsid w:val="73A1821B"/>
    <w:multiLevelType w:val="hybridMultilevel"/>
    <w:lvl w:ilvl="0">
      <w:lvlJc w:val="left"/>
      <w:lvlText w:val="•"/>
      <w:numFmt w:val="bullet"/>
      <w:start w:val="1"/>
    </w:lvl>
  </w:abstractNum>
  <w:abstractNum w:abstractNumId="79">
    <w:nsid w:val="7DE67713"/>
    <w:multiLevelType w:val="hybridMultilevel"/>
    <w:lvl w:ilvl="0">
      <w:lvlJc w:val="left"/>
      <w:lvlText w:val="•"/>
      <w:numFmt w:val="bullet"/>
      <w:start w:val="1"/>
    </w:lvl>
  </w:abstractNum>
  <w:abstractNum w:abstractNumId="80">
    <w:nsid w:val="555C55B5"/>
    <w:multiLevelType w:val="hybridMultilevel"/>
    <w:lvl w:ilvl="0">
      <w:lvlJc w:val="left"/>
      <w:lvlText w:val="(%1)"/>
      <w:numFmt w:val="decimal"/>
      <w:start w:val="1"/>
    </w:lvl>
  </w:abstractNum>
  <w:abstractNum w:abstractNumId="81">
    <w:nsid w:val="3FA62ACA"/>
    <w:multiLevelType w:val="hybridMultilevel"/>
    <w:lvl w:ilvl="0">
      <w:lvlJc w:val="left"/>
      <w:lvlText w:val="•"/>
      <w:numFmt w:val="bullet"/>
      <w:start w:val="1"/>
    </w:lvl>
  </w:abstractNum>
  <w:abstractNum w:abstractNumId="82">
    <w:nsid w:val="14FCE74E"/>
    <w:multiLevelType w:val="hybridMultilevel"/>
    <w:lvl w:ilvl="0">
      <w:lvlJc w:val="left"/>
      <w:lvlText w:val="•"/>
      <w:numFmt w:val="bullet"/>
      <w:start w:val="1"/>
    </w:lvl>
  </w:abstractNum>
  <w:abstractNum w:abstractNumId="83">
    <w:nsid w:val="6A3DD3E8"/>
    <w:multiLevelType w:val="hybridMultilevel"/>
    <w:lvl w:ilvl="0">
      <w:lvlJc w:val="left"/>
      <w:lvlText w:val="•"/>
      <w:numFmt w:val="bullet"/>
      <w:start w:val="1"/>
    </w:lvl>
  </w:abstractNum>
  <w:abstractNum w:abstractNumId="84">
    <w:nsid w:val="71C91298"/>
    <w:multiLevelType w:val="hybridMultilevel"/>
    <w:lvl w:ilvl="0">
      <w:lvlJc w:val="left"/>
      <w:lvlText w:val="•"/>
      <w:numFmt w:val="bullet"/>
      <w:start w:val="1"/>
    </w:lvl>
  </w:abstractNum>
  <w:abstractNum w:abstractNumId="85">
    <w:nsid w:val="9DAF632"/>
    <w:multiLevelType w:val="hybridMultilevel"/>
    <w:lvl w:ilvl="0">
      <w:lvlJc w:val="left"/>
      <w:lvlText w:val="(%1)"/>
      <w:numFmt w:val="decimal"/>
      <w:start w:val="1"/>
    </w:lvl>
  </w:abstractNum>
  <w:abstractNum w:abstractNumId="86">
    <w:nsid w:val="53299938"/>
    <w:multiLevelType w:val="hybridMultilevel"/>
    <w:lvl w:ilvl="0">
      <w:lvlJc w:val="left"/>
      <w:lvlText w:val="•"/>
      <w:numFmt w:val="bullet"/>
      <w:start w:val="1"/>
    </w:lvl>
  </w:abstractNum>
  <w:abstractNum w:abstractNumId="87">
    <w:nsid w:val="1FBFE8E0"/>
    <w:multiLevelType w:val="hybridMultilevel"/>
    <w:lvl w:ilvl="0">
      <w:lvlJc w:val="left"/>
      <w:lvlText w:val="•"/>
      <w:numFmt w:val="bullet"/>
      <w:start w:val="1"/>
    </w:lvl>
  </w:abstractNum>
  <w:abstractNum w:abstractNumId="88">
    <w:nsid w:val="5092CA79"/>
    <w:multiLevelType w:val="hybridMultilevel"/>
    <w:lvl w:ilvl="0">
      <w:lvlJc w:val="left"/>
      <w:lvlText w:val="•"/>
      <w:numFmt w:val="bullet"/>
      <w:start w:val="1"/>
    </w:lvl>
  </w:abstractNum>
  <w:abstractNum w:abstractNumId="89">
    <w:nsid w:val="1D545C4D"/>
    <w:multiLevelType w:val="hybridMultilevel"/>
    <w:lvl w:ilvl="0">
      <w:lvlJc w:val="left"/>
      <w:lvlText w:val="•"/>
      <w:numFmt w:val="bullet"/>
      <w:start w:val="1"/>
    </w:lvl>
  </w:abstractNum>
  <w:abstractNum w:abstractNumId="90">
    <w:nsid w:val="59ADEA3D"/>
    <w:multiLevelType w:val="hybridMultilevel"/>
    <w:lvl w:ilvl="0">
      <w:lvlJc w:val="left"/>
      <w:lvlText w:val="(%1)"/>
      <w:numFmt w:val="decimal"/>
      <w:start w:val="1"/>
    </w:lvl>
  </w:abstractNum>
  <w:abstractNum w:abstractNumId="91">
    <w:nsid w:val="288F1A34"/>
    <w:multiLevelType w:val="hybridMultilevel"/>
    <w:lvl w:ilvl="0">
      <w:lvlJc w:val="left"/>
      <w:lvlText w:val="•"/>
      <w:numFmt w:val="bullet"/>
      <w:start w:val="1"/>
    </w:lvl>
  </w:abstractNum>
  <w:abstractNum w:abstractNumId="92">
    <w:nsid w:val="2A155DBC"/>
    <w:multiLevelType w:val="hybridMultilevel"/>
    <w:lvl w:ilvl="0">
      <w:lvlJc w:val="left"/>
      <w:lvlText w:val="(%1)"/>
      <w:numFmt w:val="decimal"/>
      <w:start w:val="1"/>
    </w:lvl>
  </w:abstractNum>
  <w:abstractNum w:abstractNumId="93">
    <w:nsid w:val="1D9F6E5F"/>
    <w:multiLevelType w:val="hybridMultilevel"/>
    <w:lvl w:ilvl="0">
      <w:lvlJc w:val="left"/>
      <w:lvlText w:val="(%1)"/>
      <w:numFmt w:val="decimal"/>
      <w:start w:val="1"/>
    </w:lvl>
  </w:abstractNum>
  <w:abstractNum w:abstractNumId="94">
    <w:nsid w:val="97E1B4E"/>
    <w:multiLevelType w:val="hybridMultilevel"/>
    <w:lvl w:ilvl="0">
      <w:lvlJc w:val="left"/>
      <w:lvlText w:val="•"/>
      <w:numFmt w:val="bullet"/>
      <w:start w:val="1"/>
    </w:lvl>
  </w:abstractNum>
  <w:abstractNum w:abstractNumId="95">
    <w:nsid w:val="51088277"/>
    <w:multiLevelType w:val="hybridMultilevel"/>
    <w:lvl w:ilvl="0">
      <w:lvlJc w:val="left"/>
      <w:lvlText w:val="•"/>
      <w:numFmt w:val="bullet"/>
      <w:start w:val="1"/>
    </w:lvl>
  </w:abstractNum>
  <w:abstractNum w:abstractNumId="96">
    <w:nsid w:val="1CA0C5FA"/>
    <w:multiLevelType w:val="hybridMultilevel"/>
    <w:lvl w:ilvl="0">
      <w:lvlJc w:val="left"/>
      <w:lvlText w:val="•"/>
      <w:numFmt w:val="bullet"/>
      <w:start w:val="1"/>
    </w:lvl>
  </w:abstractNum>
  <w:abstractNum w:abstractNumId="97">
    <w:nsid w:val="53584BCB"/>
    <w:multiLevelType w:val="hybridMultilevel"/>
    <w:lvl w:ilvl="0">
      <w:lvlJc w:val="left"/>
      <w:lvlText w:val="•"/>
      <w:numFmt w:val="bullet"/>
      <w:start w:val="1"/>
    </w:lvl>
  </w:abstractNum>
  <w:abstractNum w:abstractNumId="98">
    <w:nsid w:val="415E286C"/>
    <w:multiLevelType w:val="hybridMultilevel"/>
    <w:lvl w:ilvl="0">
      <w:lvlJc w:val="left"/>
      <w:lvlText w:val="(%1)"/>
      <w:numFmt w:val="lowerRoman"/>
      <w:start w:val="1"/>
    </w:lvl>
  </w:abstractNum>
  <w:abstractNum w:abstractNumId="99">
    <w:nsid w:val="7C58FD05"/>
    <w:multiLevelType w:val="hybridMultilevel"/>
    <w:lvl w:ilvl="0">
      <w:lvlJc w:val="left"/>
      <w:lvlText w:val="•"/>
      <w:numFmt w:val="bullet"/>
      <w:start w:val="1"/>
    </w:lvl>
  </w:abstractNum>
  <w:abstractNum w:abstractNumId="100">
    <w:nsid w:val="23D86AAC"/>
    <w:multiLevelType w:val="hybridMultilevel"/>
    <w:lvl w:ilvl="0">
      <w:lvlJc w:val="left"/>
      <w:lvlText w:val="•"/>
      <w:numFmt w:val="bullet"/>
      <w:start w:val="1"/>
    </w:lvl>
  </w:abstractNum>
  <w:abstractNum w:abstractNumId="101">
    <w:nsid w:val="45E6D486"/>
    <w:multiLevelType w:val="hybridMultilevel"/>
    <w:lvl w:ilvl="0">
      <w:lvlJc w:val="left"/>
      <w:lvlText w:val="•"/>
      <w:numFmt w:val="bullet"/>
      <w:start w:val="1"/>
    </w:lvl>
  </w:abstractNum>
  <w:abstractNum w:abstractNumId="102">
    <w:nsid w:val="5C10FE21"/>
    <w:multiLevelType w:val="hybridMultilevel"/>
    <w:lvl w:ilvl="0">
      <w:lvlJc w:val="left"/>
      <w:lvlText w:val="*"/>
      <w:numFmt w:val="bullet"/>
      <w:start w:val="1"/>
    </w:lvl>
  </w:abstractNum>
  <w:abstractNum w:abstractNumId="103">
    <w:nsid w:val="E7FFA2B"/>
    <w:multiLevelType w:val="hybridMultilevel"/>
    <w:lvl w:ilvl="0">
      <w:lvlJc w:val="left"/>
      <w:lvlText w:val="(%1)"/>
      <w:numFmt w:val="decimal"/>
      <w:start w:val="1"/>
    </w:lvl>
  </w:abstractNum>
  <w:abstractNum w:abstractNumId="104">
    <w:nsid w:val="3C5991AA"/>
    <w:multiLevelType w:val="hybridMultilevel"/>
    <w:lvl w:ilvl="0">
      <w:lvlJc w:val="left"/>
      <w:lvlText w:val="(%1)"/>
      <w:numFmt w:val="decimal"/>
      <w:start w:val="5"/>
    </w:lvl>
  </w:abstractNum>
  <w:abstractNum w:abstractNumId="105">
    <w:nsid w:val="4BD8591A"/>
    <w:multiLevelType w:val="hybridMultilevel"/>
    <w:lvl w:ilvl="0">
      <w:lvlJc w:val="left"/>
      <w:lvlText w:val="(%1)"/>
      <w:numFmt w:val="lowerRoman"/>
      <w:start w:val="2"/>
    </w:lvl>
  </w:abstractNum>
  <w:abstractNum w:abstractNumId="106">
    <w:nsid w:val="78DF6A55"/>
    <w:multiLevelType w:val="hybridMultilevel"/>
    <w:lvl w:ilvl="0">
      <w:lvlJc w:val="left"/>
      <w:lvlText w:val="•"/>
      <w:numFmt w:val="bullet"/>
      <w:start w:val="1"/>
    </w:lvl>
  </w:abstractNum>
  <w:abstractNum w:abstractNumId="107">
    <w:nsid w:val="39B7AAA2"/>
    <w:multiLevelType w:val="hybridMultilevel"/>
    <w:lvl w:ilvl="0">
      <w:lvlJc w:val="left"/>
      <w:lvlText w:val="•"/>
      <w:numFmt w:val="bullet"/>
      <w:start w:val="1"/>
    </w:lvl>
  </w:abstractNum>
  <w:abstractNum w:abstractNumId="108">
    <w:nsid w:val="2B0D8DBE"/>
    <w:multiLevelType w:val="hybridMultilevel"/>
    <w:lvl w:ilvl="0">
      <w:lvlJc w:val="left"/>
      <w:lvlText w:val="•"/>
      <w:numFmt w:val="bullet"/>
      <w:start w:val="1"/>
    </w:lvl>
  </w:abstractNum>
  <w:abstractNum w:abstractNumId="109">
    <w:nsid w:val="6C80EC70"/>
    <w:multiLevelType w:val="hybridMultilevel"/>
    <w:lvl w:ilvl="0">
      <w:lvlJc w:val="left"/>
      <w:lvlText w:val="•"/>
      <w:numFmt w:val="bullet"/>
      <w:start w:val="1"/>
    </w:lvl>
  </w:abstractNum>
  <w:abstractNum w:abstractNumId="110">
    <w:nsid w:val="379E21B5"/>
    <w:multiLevelType w:val="hybridMultilevel"/>
    <w:lvl w:ilvl="0">
      <w:lvlJc w:val="left"/>
      <w:lvlText w:val="•"/>
      <w:numFmt w:val="bullet"/>
      <w:start w:val="1"/>
    </w:lvl>
  </w:abstractNum>
  <w:abstractNum w:abstractNumId="111">
    <w:nsid w:val="69E373"/>
    <w:multiLevelType w:val="hybridMultilevel"/>
    <w:lvl w:ilvl="0">
      <w:lvlJc w:val="left"/>
      <w:lvlText w:val="•"/>
      <w:numFmt w:val="bullet"/>
      <w:start w:val="1"/>
    </w:lvl>
  </w:abstractNum>
  <w:abstractNum w:abstractNumId="112">
    <w:nsid w:val="2C27173B"/>
    <w:multiLevelType w:val="hybridMultilevel"/>
    <w:lvl w:ilvl="0">
      <w:lvlJc w:val="left"/>
      <w:lvlText w:val="(%1)"/>
      <w:numFmt w:val="lowerRoman"/>
      <w:start w:val="2"/>
    </w:lvl>
  </w:abstractNum>
  <w:abstractNum w:abstractNumId="113">
    <w:nsid w:val="4C9B0904"/>
    <w:multiLevelType w:val="hybridMultilevel"/>
    <w:lvl w:ilvl="0">
      <w:lvlJc w:val="left"/>
      <w:lvlText w:val="%1."/>
      <w:numFmt w:val="decimal"/>
      <w:start w:val="1"/>
    </w:lvl>
  </w:abstractNum>
  <w:abstractNum w:abstractNumId="114">
    <w:nsid w:val="6AA7B75C"/>
    <w:multiLevelType w:val="hybridMultilevel"/>
    <w:lvl w:ilvl="0">
      <w:lvlJc w:val="left"/>
      <w:lvlText w:val="%1."/>
      <w:numFmt w:val="decimal"/>
      <w:start w:val="2"/>
    </w:lvl>
  </w:abstractNum>
  <w:abstractNum w:abstractNumId="115">
    <w:nsid w:val="1DF029D3"/>
    <w:multiLevelType w:val="hybridMultilevel"/>
    <w:lvl w:ilvl="0">
      <w:lvlJc w:val="left"/>
      <w:lvlText w:val="•"/>
      <w:numFmt w:val="bullet"/>
      <w:start w:val="1"/>
    </w:lvl>
  </w:abstractNum>
  <w:abstractNum w:abstractNumId="116">
    <w:nsid w:val="5675FF36"/>
    <w:multiLevelType w:val="hybridMultilevel"/>
    <w:lvl w:ilvl="0">
      <w:lvlJc w:val="left"/>
      <w:lvlText w:val="(%1)"/>
      <w:numFmt w:val="lowerRoman"/>
      <w:start w:val="2"/>
    </w:lvl>
  </w:abstractNum>
  <w:abstractNum w:abstractNumId="117">
    <w:nsid w:val="3DD15094"/>
    <w:multiLevelType w:val="hybridMultilevel"/>
    <w:lvl w:ilvl="0">
      <w:lvlJc w:val="left"/>
      <w:lvlText w:val="*"/>
      <w:numFmt w:val="bullet"/>
      <w:start w:val="1"/>
    </w:lvl>
  </w:abstractNum>
  <w:abstractNum w:abstractNumId="118">
    <w:nsid w:val="3DB012B3"/>
    <w:multiLevelType w:val="hybridMultilevel"/>
    <w:lvl w:ilvl="0">
      <w:lvlJc w:val="left"/>
      <w:lvlText w:val="(%1)"/>
      <w:numFmt w:val="lowerRoman"/>
      <w:start w:val="1"/>
    </w:lvl>
  </w:abstractNum>
  <w:abstractNum w:abstractNumId="119">
    <w:nsid w:val="2708C9AF"/>
    <w:multiLevelType w:val="hybridMultilevel"/>
    <w:lvl w:ilvl="0">
      <w:lvlJc w:val="left"/>
      <w:lvlText w:val="(%1)"/>
      <w:numFmt w:val="lowerLetter"/>
      <w:start w:val="1"/>
    </w:lvl>
  </w:abstractNum>
  <w:abstractNum w:abstractNumId="120">
    <w:nsid w:val="5B25ACE2"/>
    <w:multiLevelType w:val="hybridMultilevel"/>
    <w:lvl w:ilvl="0">
      <w:lvlJc w:val="left"/>
      <w:lvlText w:val="(%1)"/>
      <w:numFmt w:val="lowerLetter"/>
      <w:start w:val="3"/>
    </w:lvl>
  </w:abstractNum>
  <w:abstractNum w:abstractNumId="121">
    <w:nsid w:val="175DFCF0"/>
    <w:multiLevelType w:val="hybridMultilevel"/>
    <w:lvl w:ilvl="0">
      <w:lvlJc w:val="left"/>
      <w:lvlText w:val="(%1)"/>
      <w:numFmt w:val="decimal"/>
      <w:start w:val="1"/>
    </w:lvl>
  </w:abstractNum>
  <w:abstractNum w:abstractNumId="122">
    <w:nsid w:val="4F97E3E4"/>
    <w:multiLevelType w:val="hybridMultilevel"/>
    <w:lvl w:ilvl="0">
      <w:lvlJc w:val="left"/>
      <w:lvlText w:val="*"/>
      <w:numFmt w:val="bullet"/>
      <w:start w:val="1"/>
    </w:lvl>
  </w:abstractNum>
  <w:abstractNum w:abstractNumId="123">
    <w:nsid w:val="53B0A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2020-09-08T23:20:35Z</dcterms:created>
  <dcterms:modified xsi:type="dcterms:W3CDTF">2020-09-08T23:20:35Z</dcterms:modified>
</cp:coreProperties>
</file>