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mc:AlternateContent>
          <mc:Choice Requires="wps">
            <w:drawing>
              <wp:anchor simplePos="0" relativeHeight="251657728" behindDoc="1" locked="0" layoutInCell="0" allowOverlap="1">
                <wp:simplePos x="0" y="0"/>
                <wp:positionH relativeFrom="page">
                  <wp:posOffset>438150</wp:posOffset>
                </wp:positionH>
                <wp:positionV relativeFrom="page">
                  <wp:posOffset>461645</wp:posOffset>
                </wp:positionV>
                <wp:extent cx="68961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36.35pt" to="577.5pt,36.35pt" o:allowincell="f" strokecolor="#000000" strokeweight="0.4809pt">
                <w10:wrap anchorx="page" anchory="page"/>
              </v:line>
            </w:pict>
          </mc:Fallback>
        </mc:AlternateContent>
        <mc:AlternateContent>
          <mc:Choice Requires="wps">
            <w:drawing>
              <wp:anchor simplePos="0" relativeHeight="251657728" behindDoc="1" locked="0" layoutInCell="0" allowOverlap="1">
                <wp:simplePos x="0" y="0"/>
                <wp:positionH relativeFrom="page">
                  <wp:posOffset>438150</wp:posOffset>
                </wp:positionH>
                <wp:positionV relativeFrom="page">
                  <wp:posOffset>473710</wp:posOffset>
                </wp:positionV>
                <wp:extent cx="68961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37.3pt" to="577.5pt,37.3pt" o:allowincell="f" strokecolor="#000000" strokeweight="0.48pt">
                <w10:wrap anchorx="page" anchory="page"/>
              </v:line>
            </w:pict>
          </mc:Fallback>
        </mc:AlternateContent>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38735</wp:posOffset>
                </wp:positionV>
                <wp:extent cx="14097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3.05pt" to="325.5pt,3.05pt" o:allowincell="f" strokecolor="#000000" strokeweight="0.4799pt"/>
            </w:pict>
          </mc:Fallback>
        </mc:AlternateConten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
          <w:szCs w:val="4"/>
          <w:color w:val="auto"/>
        </w:rPr>
        <w:t>!</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-91440</wp:posOffset>
                </wp:positionV>
                <wp:extent cx="14097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7.1999pt" to="325.5pt,-7.1999pt" o:allowincell="f" strokecolor="#000000" strokeweight="0.4809pt"/>
            </w:pict>
          </mc:Fallback>
        </mc:AlternateContent>
      </w:r>
    </w:p>
    <w:p>
      <w:pPr>
        <w:ind w:left="440" w:hanging="440"/>
        <w:spacing w:after="0"/>
        <w:tabs>
          <w:tab w:leader="none" w:pos="440" w:val="left"/>
        </w:tabs>
        <w:numPr>
          <w:ilvl w:val="0"/>
          <w:numId w:val="1"/>
        </w:numPr>
        <w:rPr>
          <w:rFonts w:ascii="Segoe UI" w:cs="Segoe UI" w:eastAsia="Segoe UI" w:hAnsi="Segoe UI"/>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3" w:lineRule="exact"/>
        <w:rPr>
          <w:rFonts w:ascii="Segoe UI" w:cs="Segoe UI" w:eastAsia="Segoe UI" w:hAnsi="Segoe UI"/>
          <w:sz w:val="18"/>
          <w:szCs w:val="18"/>
          <w:color w:val="auto"/>
        </w:rPr>
      </w:pPr>
    </w:p>
    <w:p>
      <w:pPr>
        <w:ind w:left="3520"/>
        <w:spacing w:after="0"/>
        <w:rPr>
          <w:rFonts w:ascii="Segoe UI" w:cs="Segoe UI" w:eastAsia="Segoe UI" w:hAnsi="Segoe UI"/>
          <w:sz w:val="18"/>
          <w:szCs w:val="18"/>
          <w:color w:val="auto"/>
        </w:rPr>
      </w:pPr>
      <w:r>
        <w:rPr>
          <w:rFonts w:ascii="Times New Roman" w:cs="Times New Roman" w:eastAsia="Times New Roman" w:hAnsi="Times New Roman"/>
          <w:sz w:val="20"/>
          <w:szCs w:val="20"/>
          <w:b w:val="1"/>
          <w:bCs w:val="1"/>
          <w:color w:val="auto"/>
        </w:rPr>
        <w:t>For the fiscal year ended December 31, 2025</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440" w:hanging="440"/>
        <w:spacing w:after="0" w:line="218" w:lineRule="auto"/>
        <w:tabs>
          <w:tab w:leader="none" w:pos="440" w:val="left"/>
        </w:tabs>
        <w:numPr>
          <w:ilvl w:val="0"/>
          <w:numId w:val="2"/>
        </w:numPr>
        <w:rPr>
          <w:rFonts w:ascii="Segoe UI" w:cs="Segoe UI" w:eastAsia="Segoe UI" w:hAnsi="Segoe UI"/>
          <w:sz w:val="4"/>
          <w:szCs w:val="4"/>
          <w:b w:val="1"/>
          <w:bCs w:val="1"/>
          <w:color w:val="auto"/>
        </w:rPr>
      </w:pPr>
      <w:r>
        <w:rPr>
          <w:rFonts w:ascii="Times New Roman" w:cs="Times New Roman" w:eastAsia="Times New Roman" w:hAnsi="Times New Roman"/>
          <w:sz w:val="4"/>
          <w:szCs w:val="4"/>
          <w:b w:val="1"/>
          <w:bCs w:val="1"/>
          <w:color w:val="auto"/>
        </w:rPr>
        <w:t>TRANSITION REPORT PURSUANT TO SECTION 13 OR 15(d) OF THE SECURITIES EXCHANGE ACT OF 1934 FOR THE</w:t>
      </w:r>
    </w:p>
    <w:p>
      <w:pPr>
        <w:spacing w:after="0" w:line="187" w:lineRule="exact"/>
        <w:rPr>
          <w:sz w:val="24"/>
          <w:szCs w:val="24"/>
          <w:color w:val="auto"/>
        </w:rPr>
      </w:pPr>
    </w:p>
    <w:p>
      <w:pPr>
        <w:ind w:left="440"/>
        <w:spacing w:after="0"/>
        <w:tabs>
          <w:tab w:leader="none" w:pos="388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001-39539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PMV PHARMACEUTICALS, INC.</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-267335</wp:posOffset>
                </wp:positionV>
                <wp:extent cx="14097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21.0499pt" to="325.5pt,-21.0499pt" o:allowincell="f" strokecolor="#000000" strokeweight="0.4799pt"/>
            </w:pict>
          </mc:Fallback>
        </mc:AlternateConten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38735</wp:posOffset>
                </wp:positionV>
                <wp:extent cx="14097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3.05pt" to="325.5pt,3.05pt" o:allowincell="f" strokecolor="#000000" strokeweight="0.48pt"/>
            </w:pict>
          </mc:Fallback>
        </mc:AlternateContent>
      </w:r>
    </w:p>
    <w:p>
      <w:pPr>
        <w:spacing w:after="0" w:line="70" w:lineRule="exact"/>
        <w:rPr>
          <w:sz w:val="24"/>
          <w:szCs w:val="24"/>
          <w:color w:val="auto"/>
        </w:rPr>
      </w:pPr>
    </w:p>
    <w:tbl>
      <w:tblPr>
        <w:tblLayout w:type="fixed"/>
        <w:tblInd w:w="1140" w:type="dxa"/>
        <w:tblCellMar>
          <w:top w:w="0" w:type="dxa"/>
          <w:left w:w="0" w:type="dxa"/>
          <w:bottom w:w="0" w:type="dxa"/>
          <w:right w:w="0" w:type="dxa"/>
        </w:tblCellMar>
      </w:tblPr>
      <w:tr>
        <w:trPr>
          <w:trHeight w:val="237"/>
        </w:trPr>
        <w:tc>
          <w:tcPr>
            <w:tcW w:w="4760" w:type="dxa"/>
            <w:vAlign w:val="bottom"/>
          </w:tcPr>
          <w:p>
            <w:pPr>
              <w:jc w:val="center"/>
              <w:ind w:right="1575"/>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46-3218129</w:t>
            </w:r>
          </w:p>
        </w:tc>
      </w:tr>
      <w:tr>
        <w:trPr>
          <w:trHeight w:val="161"/>
        </w:trPr>
        <w:tc>
          <w:tcPr>
            <w:tcW w:w="4760" w:type="dxa"/>
            <w:vAlign w:val="bottom"/>
          </w:tcPr>
          <w:p>
            <w:pPr>
              <w:jc w:val="center"/>
              <w:ind w:right="1575"/>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2740" w:type="dxa"/>
            <w:vAlign w:val="bottom"/>
          </w:tcPr>
          <w:p>
            <w:pPr>
              <w:jc w:val="center"/>
              <w:ind w:left="155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3"/>
        </w:trPr>
        <w:tc>
          <w:tcPr>
            <w:tcW w:w="4760" w:type="dxa"/>
            <w:vAlign w:val="bottom"/>
          </w:tcPr>
          <w:p>
            <w:pPr>
              <w:jc w:val="center"/>
              <w:ind w:right="1575"/>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740" w:type="dxa"/>
            <w:vAlign w:val="bottom"/>
          </w:tcPr>
          <w:p>
            <w:pPr>
              <w:jc w:val="center"/>
              <w:ind w:left="155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6"/>
        </w:trPr>
        <w:tc>
          <w:tcPr>
            <w:tcW w:w="4760" w:type="dxa"/>
            <w:vAlign w:val="bottom"/>
          </w:tcPr>
          <w:p>
            <w:pPr>
              <w:jc w:val="center"/>
              <w:ind w:right="1555"/>
              <w:spacing w:after="0"/>
              <w:rPr>
                <w:sz w:val="20"/>
                <w:szCs w:val="20"/>
                <w:color w:val="auto"/>
              </w:rPr>
            </w:pPr>
            <w:r>
              <w:rPr>
                <w:rFonts w:ascii="Times New Roman" w:cs="Times New Roman" w:eastAsia="Times New Roman" w:hAnsi="Times New Roman"/>
                <w:sz w:val="20"/>
                <w:szCs w:val="20"/>
                <w:b w:val="1"/>
                <w:bCs w:val="1"/>
                <w:color w:val="auto"/>
                <w:w w:val="99"/>
              </w:rPr>
              <w:t>400 Alexander Park Drive, Suite 301</w:t>
            </w:r>
          </w:p>
        </w:tc>
        <w:tc>
          <w:tcPr>
            <w:tcW w:w="2740" w:type="dxa"/>
            <w:vAlign w:val="bottom"/>
          </w:tcPr>
          <w:p>
            <w:pPr>
              <w:spacing w:after="0"/>
              <w:rPr>
                <w:sz w:val="24"/>
                <w:szCs w:val="24"/>
                <w:color w:val="auto"/>
              </w:rPr>
            </w:pPr>
          </w:p>
        </w:tc>
      </w:tr>
      <w:tr>
        <w:trPr>
          <w:trHeight w:val="237"/>
        </w:trPr>
        <w:tc>
          <w:tcPr>
            <w:tcW w:w="4760" w:type="dxa"/>
            <w:vAlign w:val="bottom"/>
          </w:tcPr>
          <w:p>
            <w:pPr>
              <w:jc w:val="center"/>
              <w:ind w:right="1575"/>
              <w:spacing w:after="0"/>
              <w:rPr>
                <w:sz w:val="20"/>
                <w:szCs w:val="20"/>
                <w:color w:val="auto"/>
              </w:rPr>
            </w:pPr>
            <w:r>
              <w:rPr>
                <w:rFonts w:ascii="Times New Roman" w:cs="Times New Roman" w:eastAsia="Times New Roman" w:hAnsi="Times New Roman"/>
                <w:sz w:val="20"/>
                <w:szCs w:val="20"/>
                <w:b w:val="1"/>
                <w:bCs w:val="1"/>
                <w:color w:val="auto"/>
              </w:rPr>
              <w:t>Princeton, NJ</w:t>
            </w:r>
          </w:p>
        </w:tc>
        <w:tc>
          <w:tcPr>
            <w:tcW w:w="2740" w:type="dxa"/>
            <w:vAlign w:val="bottom"/>
          </w:tcPr>
          <w:p>
            <w:pPr>
              <w:jc w:val="right"/>
              <w:ind w:right="218"/>
              <w:spacing w:after="0"/>
              <w:rPr>
                <w:sz w:val="20"/>
                <w:szCs w:val="20"/>
                <w:color w:val="auto"/>
              </w:rPr>
            </w:pPr>
            <w:r>
              <w:rPr>
                <w:rFonts w:ascii="Times New Roman" w:cs="Times New Roman" w:eastAsia="Times New Roman" w:hAnsi="Times New Roman"/>
                <w:sz w:val="20"/>
                <w:szCs w:val="20"/>
                <w:b w:val="1"/>
                <w:bCs w:val="1"/>
                <w:color w:val="auto"/>
              </w:rPr>
              <w:t>08540</w:t>
            </w:r>
          </w:p>
        </w:tc>
      </w:tr>
      <w:tr>
        <w:trPr>
          <w:trHeight w:val="193"/>
        </w:trPr>
        <w:tc>
          <w:tcPr>
            <w:tcW w:w="4760" w:type="dxa"/>
            <w:vAlign w:val="bottom"/>
          </w:tcPr>
          <w:p>
            <w:pPr>
              <w:jc w:val="center"/>
              <w:ind w:right="155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jc w:val="center"/>
              <w:ind w:left="155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7"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(609) 642-6670</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-113030</wp:posOffset>
                </wp:positionV>
                <wp:extent cx="14097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8.8999pt" to="325.5pt,-8.8999pt" o:allowincell="f" strokecolor="#000000" strokeweight="0.48pt"/>
            </w:pict>
          </mc:Fallback>
        </mc:AlternateConten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00" w:type="dxa"/>
            <w:vAlign w:val="bottom"/>
          </w:tcPr>
          <w:p>
            <w:pPr>
              <w:spacing w:after="0"/>
              <w:rPr>
                <w:sz w:val="16"/>
                <w:szCs w:val="16"/>
                <w:color w:val="auto"/>
              </w:rPr>
            </w:pPr>
          </w:p>
        </w:tc>
        <w:tc>
          <w:tcPr>
            <w:tcW w:w="4220" w:type="dxa"/>
            <w:vAlign w:val="bottom"/>
          </w:tcPr>
          <w:p>
            <w:pPr>
              <w:spacing w:after="0"/>
              <w:rPr>
                <w:sz w:val="16"/>
                <w:szCs w:val="16"/>
                <w:color w:val="auto"/>
              </w:rPr>
            </w:pPr>
          </w:p>
        </w:tc>
      </w:tr>
      <w:tr>
        <w:trPr>
          <w:trHeight w:val="204"/>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00" w:type="dxa"/>
            <w:vAlign w:val="bottom"/>
          </w:tcPr>
          <w:p>
            <w:pPr>
              <w:spacing w:after="0"/>
              <w:rPr>
                <w:sz w:val="17"/>
                <w:szCs w:val="17"/>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2"/>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$0.00001</w:t>
            </w: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PMVP</w:t>
            </w:r>
          </w:p>
        </w:tc>
        <w:tc>
          <w:tcPr>
            <w:tcW w:w="10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p>
      <w:pPr>
        <w:spacing w:after="0" w:line="33" w:lineRule="exact"/>
        <w:rPr>
          <w:sz w:val="24"/>
          <w:szCs w:val="24"/>
          <w:color w:val="auto"/>
        </w:rPr>
      </w:pPr>
    </w:p>
    <w:p>
      <w:pPr>
        <w:ind w:right="2800"/>
        <w:spacing w:after="0" w:line="292" w:lineRule="auto"/>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Segoe UI" w:cs="Segoe UI" w:eastAsia="Segoe UI" w:hAnsi="Segoe UI"/>
          <w:sz w:val="15"/>
          <w:szCs w:val="15"/>
          <w:color w:val="auto"/>
        </w:rPr>
        <w:t>տ</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ց</w:t>
      </w:r>
      <w:r>
        <w:rPr>
          <w:rFonts w:ascii="Times New Roman" w:cs="Times New Roman" w:eastAsia="Times New Roman" w:hAnsi="Times New Roman"/>
          <w:sz w:val="15"/>
          <w:szCs w:val="15"/>
          <w:color w:val="auto"/>
        </w:rPr>
        <w:t xml:space="preserve"> Indicate by check mark if the Registrant is not required to file reports pursuant to Section 13 or 15(d) of the Act. YES </w:t>
      </w:r>
      <w:r>
        <w:rPr>
          <w:rFonts w:ascii="Segoe UI" w:cs="Segoe UI" w:eastAsia="Segoe UI" w:hAnsi="Segoe UI"/>
          <w:sz w:val="15"/>
          <w:szCs w:val="15"/>
          <w:color w:val="auto"/>
        </w:rPr>
        <w:t>տ</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ց</w:t>
      </w:r>
    </w:p>
    <w:p>
      <w:pPr>
        <w:ind w:right="80"/>
        <w:spacing w:after="0" w:line="255"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5"/>
          <w:szCs w:val="15"/>
          <w:color w:val="auto"/>
        </w:rPr>
        <w:t>ց</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տ</w:t>
      </w:r>
      <w:r>
        <w:rPr>
          <w:rFonts w:ascii="Times New Roman" w:cs="Times New Roman" w:eastAsia="Times New Roman" w:hAnsi="Times New Roman"/>
          <w:sz w:val="15"/>
          <w:szCs w:val="15"/>
          <w:color w:val="auto"/>
        </w:rPr>
        <w:t xml:space="preserve"> 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5"/>
          <w:szCs w:val="15"/>
          <w:color w:val="auto"/>
        </w:rPr>
        <w:t>ց</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տ</w:t>
      </w:r>
    </w:p>
    <w:p>
      <w:pPr>
        <w:spacing w:after="0" w:line="23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w:t>
      </w: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60" w:type="dxa"/>
            <w:vAlign w:val="bottom"/>
          </w:tcPr>
          <w:p>
            <w:pPr>
              <w:ind w:left="100"/>
              <w:spacing w:after="0"/>
              <w:rPr>
                <w:sz w:val="20"/>
                <w:szCs w:val="20"/>
                <w:color w:val="auto"/>
              </w:rPr>
            </w:pPr>
            <w:r>
              <w:rPr>
                <w:rFonts w:ascii="Segoe UI" w:cs="Segoe UI" w:eastAsia="Segoe UI" w:hAnsi="Segoe UI"/>
                <w:sz w:val="16"/>
                <w:szCs w:val="16"/>
                <w:color w:val="auto"/>
              </w:rPr>
              <w:t>տ</w:t>
            </w:r>
          </w:p>
        </w:tc>
        <w:tc>
          <w:tcPr>
            <w:tcW w:w="514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rPr>
                <w:sz w:val="20"/>
                <w:szCs w:val="20"/>
                <w:color w:val="auto"/>
              </w:rPr>
            </w:pPr>
            <w:r>
              <w:rPr>
                <w:rFonts w:ascii="Segoe UI" w:cs="Segoe UI" w:eastAsia="Segoe UI" w:hAnsi="Segoe UI"/>
                <w:sz w:val="16"/>
                <w:szCs w:val="16"/>
                <w:color w:val="auto"/>
                <w:w w:val="89"/>
              </w:rPr>
              <w:t>տ</w:t>
            </w:r>
          </w:p>
        </w:tc>
      </w:tr>
      <w:tr>
        <w:trPr>
          <w:trHeight w:val="259"/>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60" w:type="dxa"/>
            <w:vAlign w:val="bottom"/>
          </w:tcPr>
          <w:p>
            <w:pPr>
              <w:ind w:left="100"/>
              <w:spacing w:after="0"/>
              <w:rPr>
                <w:sz w:val="20"/>
                <w:szCs w:val="20"/>
                <w:color w:val="auto"/>
              </w:rPr>
            </w:pPr>
            <w:r>
              <w:rPr>
                <w:rFonts w:ascii="Segoe UI" w:cs="Segoe UI" w:eastAsia="Segoe UI" w:hAnsi="Segoe UI"/>
                <w:sz w:val="16"/>
                <w:szCs w:val="16"/>
                <w:color w:val="auto"/>
              </w:rPr>
              <w:t>ց</w:t>
            </w:r>
          </w:p>
        </w:tc>
        <w:tc>
          <w:tcPr>
            <w:tcW w:w="514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rPr>
                <w:sz w:val="20"/>
                <w:szCs w:val="20"/>
                <w:color w:val="auto"/>
              </w:rPr>
            </w:pPr>
            <w:r>
              <w:rPr>
                <w:rFonts w:ascii="Segoe UI" w:cs="Segoe UI" w:eastAsia="Segoe UI" w:hAnsi="Segoe UI"/>
                <w:sz w:val="16"/>
                <w:szCs w:val="16"/>
                <w:color w:val="auto"/>
              </w:rPr>
              <w:t>ց</w:t>
            </w:r>
          </w:p>
        </w:tc>
      </w:tr>
      <w:tr>
        <w:trPr>
          <w:trHeight w:val="324"/>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60" w:type="dxa"/>
            <w:vAlign w:val="bottom"/>
          </w:tcPr>
          <w:p>
            <w:pPr>
              <w:ind w:left="100"/>
              <w:spacing w:after="0"/>
              <w:rPr>
                <w:sz w:val="20"/>
                <w:szCs w:val="20"/>
                <w:color w:val="auto"/>
              </w:rPr>
            </w:pPr>
            <w:r>
              <w:rPr>
                <w:rFonts w:ascii="Segoe UI" w:cs="Segoe UI" w:eastAsia="Segoe UI" w:hAnsi="Segoe UI"/>
                <w:sz w:val="16"/>
                <w:szCs w:val="16"/>
                <w:color w:val="auto"/>
              </w:rPr>
              <w:t>տ</w:t>
            </w: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ind w:right="360"/>
        <w:spacing w:after="0" w:line="255"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5"/>
          <w:szCs w:val="15"/>
          <w:color w:val="auto"/>
        </w:rPr>
        <w:t>տ</w:t>
      </w:r>
    </w:p>
    <w:p>
      <w:pPr>
        <w:spacing w:after="0" w:line="1" w:lineRule="exact"/>
        <w:rPr>
          <w:sz w:val="24"/>
          <w:szCs w:val="24"/>
          <w:color w:val="auto"/>
        </w:rPr>
      </w:pPr>
    </w:p>
    <w:p>
      <w:pPr>
        <w:ind w:right="580"/>
        <w:spacing w:after="0" w:line="256"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5"/>
          <w:szCs w:val="15"/>
          <w:color w:val="auto"/>
        </w:rPr>
        <w:t>տ</w:t>
      </w:r>
    </w:p>
    <w:p>
      <w:pPr>
        <w:ind w:right="40"/>
        <w:spacing w:after="0" w:line="255"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5"/>
          <w:szCs w:val="15"/>
          <w:color w:val="auto"/>
        </w:rPr>
        <w:t>տ</w:t>
      </w:r>
    </w:p>
    <w:p>
      <w:pPr>
        <w:spacing w:after="0" w:line="1" w:lineRule="exact"/>
        <w:rPr>
          <w:sz w:val="24"/>
          <w:szCs w:val="24"/>
          <w:color w:val="auto"/>
        </w:rPr>
      </w:pPr>
    </w:p>
    <w:p>
      <w:pPr>
        <w:ind w:right="700"/>
        <w:spacing w:after="0" w:line="251"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5"/>
          <w:szCs w:val="15"/>
          <w:color w:val="auto"/>
        </w:rPr>
        <w:t>տ</w:t>
      </w:r>
    </w:p>
    <w:p>
      <w:pPr>
        <w:spacing w:after="0"/>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Segoe UI" w:cs="Segoe UI" w:eastAsia="Segoe UI" w:hAnsi="Segoe UI"/>
          <w:sz w:val="15"/>
          <w:szCs w:val="15"/>
          <w:color w:val="auto"/>
        </w:rPr>
        <w:t>տ</w:t>
      </w:r>
      <w:r>
        <w:rPr>
          <w:rFonts w:ascii="Times New Roman" w:cs="Times New Roman" w:eastAsia="Times New Roman" w:hAnsi="Times New Roman"/>
          <w:sz w:val="15"/>
          <w:szCs w:val="15"/>
          <w:color w:val="auto"/>
        </w:rPr>
        <w:t xml:space="preserve"> NO </w:t>
      </w:r>
      <w:r>
        <w:rPr>
          <w:rFonts w:ascii="Segoe UI" w:cs="Segoe UI" w:eastAsia="Segoe UI" w:hAnsi="Segoe UI"/>
          <w:sz w:val="15"/>
          <w:szCs w:val="15"/>
          <w:color w:val="auto"/>
        </w:rPr>
        <w:t>ց</w:t>
      </w:r>
    </w:p>
    <w:p>
      <w:pPr>
        <w:spacing w:after="0" w:line="39" w:lineRule="exact"/>
        <w:rPr>
          <w:sz w:val="24"/>
          <w:szCs w:val="24"/>
          <w:color w:val="auto"/>
        </w:rPr>
      </w:pPr>
    </w:p>
    <w:p>
      <w:pPr>
        <w:ind w:right="80"/>
        <w:spacing w:after="0" w:line="235"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of the Registrant, based on the closing price of the shares of common stock on The Nasdaq Stock Market on June 30, 2025 (the last business day of the Registrant’s most recently completed second fiscal quarter), was $53,435,814. Shares of the Registrant’s common stock held by each executive officer, director and holder of 10% or more of the outstanding common stock have been excluded because such persons may be deemed affiliates. This calculation does not reflect a determination that certain persons are affiliates of the Registrant for any other purpose.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of Registrant’s common stock outstanding as of March 6, 2026 was 53,329,392.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33" w:lineRule="exact"/>
        <w:rPr>
          <w:sz w:val="24"/>
          <w:szCs w:val="24"/>
          <w:color w:val="auto"/>
        </w:rPr>
      </w:pPr>
    </w:p>
    <w:p>
      <w:pPr>
        <w:ind w:right="120"/>
        <w:spacing w:after="0" w:line="250" w:lineRule="auto"/>
        <w:rPr>
          <w:sz w:val="20"/>
          <w:szCs w:val="20"/>
          <w:color w:val="auto"/>
        </w:rPr>
      </w:pPr>
      <w:r>
        <w:rPr>
          <w:rFonts w:ascii="Times New Roman" w:cs="Times New Roman" w:eastAsia="Times New Roman" w:hAnsi="Times New Roman"/>
          <w:sz w:val="15"/>
          <w:szCs w:val="15"/>
          <w:color w:val="auto"/>
        </w:rPr>
        <w:t>Portions of the Registrant’s definitive Proxy Statement relating to the 2026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2025.</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71755</wp:posOffset>
                </wp:positionV>
                <wp:extent cx="68961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5.65pt" to="541.5pt,5.6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59690</wp:posOffset>
                </wp:positionV>
                <wp:extent cx="68961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4.7pt" to="541.5pt,4.7pt" o:allowincell="f" strokecolor="#000000" strokeweight="0.4809pt"/>
            </w:pict>
          </mc:Fallback>
        </mc:AlternateContent>
      </w:r>
    </w:p>
    <w:p>
      <w:pPr>
        <w:sectPr>
          <w:pgSz w:w="12240" w:h="15840" w:orient="portrait"/>
          <w:cols w:equalWidth="0" w:num="1">
            <w:col w:w="10800"/>
          </w:cols>
          <w:pgMar w:left="720" w:top="774" w:right="720" w:bottom="1440" w:gutter="0" w:footer="0" w:header="0"/>
        </w:sectPr>
      </w:pPr>
    </w:p>
    <w:bookmarkStart w:id="1" w:name="page2"/>
    <w:bookmarkEnd w:id="1"/>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ind w:left="360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9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5522595</wp:posOffset>
                </wp:positionH>
                <wp:positionV relativeFrom="paragraph">
                  <wp:posOffset>13335</wp:posOffset>
                </wp:positionV>
                <wp:extent cx="42100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3047">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85pt,1.05pt" to="468pt,1.05pt" o:allowincell="f" strokecolor="#000000" strokeweight="0.2399pt"/>
            </w:pict>
          </mc:Fallback>
        </mc:AlternateContent>
        <mc:AlternateContent>
          <mc:Choice Requires="wps">
            <w:drawing>
              <wp:anchor simplePos="0" relativeHeight="251657728" behindDoc="1" locked="0" layoutInCell="0" allowOverlap="1">
                <wp:simplePos x="0" y="0"/>
                <wp:positionH relativeFrom="column">
                  <wp:posOffset>5522595</wp:posOffset>
                </wp:positionH>
                <wp:positionV relativeFrom="paragraph">
                  <wp:posOffset>19685</wp:posOffset>
                </wp:positionV>
                <wp:extent cx="42100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85pt,1.55pt" to="468pt,1.55pt" o:allowincell="f" strokecolor="#FFFFFF" strokeweight="0.78pt"/>
            </w:pict>
          </mc:Fallback>
        </mc:AlternateConten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 w:lineRule="exact"/>
        <w:rPr>
          <w:sz w:val="20"/>
          <w:szCs w:val="20"/>
          <w:color w:val="auto"/>
        </w:rPr>
      </w:pPr>
    </w:p>
    <w:p>
      <w:pPr>
        <w:ind w:left="140"/>
        <w:spacing w:after="0"/>
        <w:tabs>
          <w:tab w:leader="none" w:pos="920" w:val="left"/>
          <w:tab w:leader="dot" w:pos="9220" w:val="left"/>
        </w:tabs>
        <w:rPr>
          <w:sz w:val="20"/>
          <w:szCs w:val="20"/>
          <w:color w:val="auto"/>
        </w:rPr>
      </w:pPr>
      <w:r>
        <w:rPr>
          <w:rFonts w:ascii="Times New Roman" w:cs="Times New Roman" w:eastAsia="Times New Roman" w:hAnsi="Times New Roman"/>
          <w:sz w:val="20"/>
          <w:szCs w:val="20"/>
          <w:color w:val="auto"/>
        </w:rPr>
        <w:t>Item 1.</w:t>
        <w:tab/>
        <w:t>Business</w:t>
      </w:r>
      <w:r>
        <w:rPr>
          <w:sz w:val="20"/>
          <w:szCs w:val="20"/>
          <w:color w:val="auto"/>
        </w:rPr>
        <w:tab/>
      </w:r>
      <w:r>
        <w:rPr>
          <w:rFonts w:ascii="Times New Roman" w:cs="Times New Roman" w:eastAsia="Times New Roman" w:hAnsi="Times New Roman"/>
          <w:sz w:val="20"/>
          <w:szCs w:val="20"/>
          <w:color w:val="auto"/>
        </w:rPr>
        <w:t>1</w:t>
      </w:r>
    </w:p>
    <w:p>
      <w:pPr>
        <w:spacing w:after="0" w:line="11" w:lineRule="exact"/>
        <w:rPr>
          <w:sz w:val="20"/>
          <w:szCs w:val="20"/>
          <w:color w:val="auto"/>
        </w:rPr>
      </w:pPr>
    </w:p>
    <w:p>
      <w:pPr>
        <w:ind w:left="140"/>
        <w:spacing w:after="0"/>
        <w:tabs>
          <w:tab w:leader="dot" w:pos="9120" w:val="left"/>
        </w:tabs>
        <w:rPr>
          <w:sz w:val="20"/>
          <w:szCs w:val="20"/>
          <w:color w:val="auto"/>
        </w:rPr>
      </w:pPr>
      <w:r>
        <w:rPr>
          <w:rFonts w:ascii="Times New Roman" w:cs="Times New Roman" w:eastAsia="Times New Roman" w:hAnsi="Times New Roman"/>
          <w:sz w:val="20"/>
          <w:szCs w:val="20"/>
          <w:color w:val="auto"/>
        </w:rPr>
        <w:t>Item 1A. Risk Factors</w:t>
      </w:r>
      <w:r>
        <w:rPr>
          <w:sz w:val="20"/>
          <w:szCs w:val="20"/>
          <w:color w:val="auto"/>
        </w:rPr>
        <w:tab/>
      </w:r>
      <w:r>
        <w:rPr>
          <w:rFonts w:ascii="Times New Roman" w:cs="Times New Roman" w:eastAsia="Times New Roman" w:hAnsi="Times New Roman"/>
          <w:sz w:val="20"/>
          <w:szCs w:val="20"/>
          <w:color w:val="auto"/>
        </w:rPr>
        <w:t>26</w:t>
      </w:r>
    </w:p>
    <w:p>
      <w:pPr>
        <w:spacing w:after="0" w:line="15" w:lineRule="exact"/>
        <w:rPr>
          <w:sz w:val="20"/>
          <w:szCs w:val="20"/>
          <w:color w:val="auto"/>
        </w:rPr>
      </w:pPr>
    </w:p>
    <w:p>
      <w:pPr>
        <w:ind w:left="140"/>
        <w:spacing w:after="0"/>
        <w:tabs>
          <w:tab w:leader="dot" w:pos="9120" w:val="left"/>
        </w:tabs>
        <w:rPr>
          <w:sz w:val="20"/>
          <w:szCs w:val="20"/>
          <w:color w:val="auto"/>
        </w:rPr>
      </w:pPr>
      <w:r>
        <w:rPr>
          <w:rFonts w:ascii="Times New Roman" w:cs="Times New Roman" w:eastAsia="Times New Roman" w:hAnsi="Times New Roman"/>
          <w:sz w:val="20"/>
          <w:szCs w:val="20"/>
          <w:color w:val="auto"/>
        </w:rPr>
        <w:t>Item 1B. Unresolved Staff Comments</w:t>
      </w:r>
      <w:r>
        <w:rPr>
          <w:sz w:val="20"/>
          <w:szCs w:val="20"/>
          <w:color w:val="auto"/>
        </w:rPr>
        <w:tab/>
      </w:r>
      <w:r>
        <w:rPr>
          <w:rFonts w:ascii="Times New Roman" w:cs="Times New Roman" w:eastAsia="Times New Roman" w:hAnsi="Times New Roman"/>
          <w:sz w:val="20"/>
          <w:szCs w:val="20"/>
          <w:color w:val="auto"/>
        </w:rPr>
        <w:t>88</w:t>
      </w:r>
    </w:p>
    <w:p>
      <w:pPr>
        <w:spacing w:after="0" w:line="15" w:lineRule="exact"/>
        <w:rPr>
          <w:sz w:val="20"/>
          <w:szCs w:val="20"/>
          <w:color w:val="auto"/>
        </w:rPr>
      </w:pPr>
    </w:p>
    <w:p>
      <w:pPr>
        <w:ind w:left="140"/>
        <w:spacing w:after="0"/>
        <w:tabs>
          <w:tab w:leader="dot" w:pos="9120" w:val="left"/>
        </w:tabs>
        <w:rPr>
          <w:sz w:val="20"/>
          <w:szCs w:val="20"/>
          <w:color w:val="auto"/>
        </w:rPr>
      </w:pPr>
      <w:r>
        <w:rPr>
          <w:rFonts w:ascii="Times New Roman" w:cs="Times New Roman" w:eastAsia="Times New Roman" w:hAnsi="Times New Roman"/>
          <w:sz w:val="20"/>
          <w:szCs w:val="20"/>
          <w:color w:val="auto"/>
        </w:rPr>
        <w:t>Item 1C. Cybersecurity</w:t>
      </w:r>
      <w:r>
        <w:rPr>
          <w:sz w:val="20"/>
          <w:szCs w:val="20"/>
          <w:color w:val="auto"/>
        </w:rPr>
        <w:tab/>
      </w:r>
      <w:r>
        <w:rPr>
          <w:rFonts w:ascii="Times New Roman" w:cs="Times New Roman" w:eastAsia="Times New Roman" w:hAnsi="Times New Roman"/>
          <w:sz w:val="20"/>
          <w:szCs w:val="20"/>
          <w:color w:val="auto"/>
        </w:rPr>
        <w:t>88</w:t>
      </w:r>
    </w:p>
    <w:p>
      <w:pPr>
        <w:spacing w:after="0" w:line="15"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2.</w:t>
        <w:tab/>
        <w:t>Properties</w:t>
      </w:r>
      <w:r>
        <w:rPr>
          <w:sz w:val="20"/>
          <w:szCs w:val="20"/>
          <w:color w:val="auto"/>
        </w:rPr>
        <w:tab/>
      </w:r>
      <w:r>
        <w:rPr>
          <w:rFonts w:ascii="Times New Roman" w:cs="Times New Roman" w:eastAsia="Times New Roman" w:hAnsi="Times New Roman"/>
          <w:sz w:val="20"/>
          <w:szCs w:val="20"/>
          <w:color w:val="auto"/>
        </w:rPr>
        <w:t>90</w:t>
      </w:r>
    </w:p>
    <w:p>
      <w:pPr>
        <w:spacing w:after="0" w:line="16"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3.</w:t>
        <w:tab/>
        <w:t>Legal Proceedings</w:t>
      </w:r>
      <w:r>
        <w:rPr>
          <w:sz w:val="20"/>
          <w:szCs w:val="20"/>
          <w:color w:val="auto"/>
        </w:rPr>
        <w:tab/>
      </w:r>
      <w:r>
        <w:rPr>
          <w:rFonts w:ascii="Times New Roman" w:cs="Times New Roman" w:eastAsia="Times New Roman" w:hAnsi="Times New Roman"/>
          <w:sz w:val="20"/>
          <w:szCs w:val="20"/>
          <w:color w:val="auto"/>
        </w:rPr>
        <w:t>90</w:t>
      </w:r>
    </w:p>
    <w:p>
      <w:pPr>
        <w:spacing w:after="0" w:line="15"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4.</w:t>
        <w:tab/>
        <w:t>Reserved</w:t>
      </w:r>
      <w:r>
        <w:rPr>
          <w:sz w:val="20"/>
          <w:szCs w:val="20"/>
          <w:color w:val="auto"/>
        </w:rPr>
        <w:tab/>
      </w:r>
      <w:r>
        <w:rPr>
          <w:rFonts w:ascii="Times New Roman" w:cs="Times New Roman" w:eastAsia="Times New Roman" w:hAnsi="Times New Roman"/>
          <w:sz w:val="20"/>
          <w:szCs w:val="20"/>
          <w:color w:val="auto"/>
        </w:rPr>
        <w:t>90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45"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20"/>
          <w:szCs w:val="20"/>
          <w:color w:val="auto"/>
        </w:rPr>
        <w:t>Item 5.</w:t>
        <w:tab/>
        <w:t>Market for Registrant’s Common Equity, Related Stockholder Matters and Issuer Purchases of</w:t>
      </w:r>
    </w:p>
    <w:p>
      <w:pPr>
        <w:spacing w:after="0" w:line="3" w:lineRule="exact"/>
        <w:rPr>
          <w:sz w:val="20"/>
          <w:szCs w:val="20"/>
          <w:color w:val="auto"/>
        </w:rPr>
      </w:pPr>
    </w:p>
    <w:p>
      <w:pPr>
        <w:jc w:val="right"/>
        <w:ind w:right="20"/>
        <w:spacing w:after="0"/>
        <w:tabs>
          <w:tab w:leader="dot" w:pos="180" w:val="left"/>
        </w:tabs>
        <w:rPr>
          <w:sz w:val="20"/>
          <w:szCs w:val="20"/>
          <w:color w:val="auto"/>
        </w:rPr>
      </w:pPr>
      <w:r>
        <w:rPr>
          <w:rFonts w:ascii="Times New Roman" w:cs="Times New Roman" w:eastAsia="Times New Roman" w:hAnsi="Times New Roman"/>
          <w:sz w:val="20"/>
          <w:szCs w:val="20"/>
          <w:color w:val="auto"/>
        </w:rPr>
        <w:t>Equity Securities</w:t>
      </w:r>
      <w:r>
        <w:rPr>
          <w:sz w:val="20"/>
          <w:szCs w:val="20"/>
          <w:color w:val="auto"/>
        </w:rPr>
        <w:tab/>
      </w:r>
      <w:r>
        <w:rPr>
          <w:rFonts w:ascii="Times New Roman" w:cs="Times New Roman" w:eastAsia="Times New Roman" w:hAnsi="Times New Roman"/>
          <w:sz w:val="20"/>
          <w:szCs w:val="20"/>
          <w:color w:val="auto"/>
        </w:rPr>
        <w:t>91</w:t>
      </w:r>
    </w:p>
    <w:p>
      <w:pPr>
        <w:spacing w:after="0" w:line="9"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6.</w:t>
        <w:tab/>
        <w:t>Reserved</w:t>
      </w:r>
      <w:r>
        <w:rPr>
          <w:sz w:val="20"/>
          <w:szCs w:val="20"/>
          <w:color w:val="auto"/>
        </w:rPr>
        <w:tab/>
      </w:r>
      <w:r>
        <w:rPr>
          <w:rFonts w:ascii="Times New Roman" w:cs="Times New Roman" w:eastAsia="Times New Roman" w:hAnsi="Times New Roman"/>
          <w:sz w:val="20"/>
          <w:szCs w:val="20"/>
          <w:color w:val="auto"/>
        </w:rPr>
        <w:t>91</w:t>
      </w:r>
    </w:p>
    <w:p>
      <w:pPr>
        <w:spacing w:after="0" w:line="15" w:lineRule="exact"/>
        <w:rPr>
          <w:sz w:val="20"/>
          <w:szCs w:val="20"/>
          <w:color w:val="auto"/>
        </w:rPr>
      </w:pPr>
    </w:p>
    <w:p>
      <w:pPr>
        <w:ind w:left="140"/>
        <w:spacing w:after="0"/>
        <w:tabs>
          <w:tab w:leader="none" w:pos="920" w:val="left"/>
          <w:tab w:leader="dot" w:pos="9120" w:val="left"/>
        </w:tabs>
        <w:rPr>
          <w:sz w:val="20"/>
          <w:szCs w:val="20"/>
          <w:color w:val="auto"/>
        </w:rPr>
      </w:pPr>
      <w:r>
        <w:rPr>
          <w:rFonts w:ascii="Times New Roman" w:cs="Times New Roman" w:eastAsia="Times New Roman" w:hAnsi="Times New Roman"/>
          <w:sz w:val="20"/>
          <w:szCs w:val="20"/>
          <w:color w:val="auto"/>
        </w:rPr>
        <w:t>Item 7.</w:t>
        <w:tab/>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92</w:t>
      </w:r>
    </w:p>
    <w:p>
      <w:pPr>
        <w:spacing w:after="0" w:line="1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7A. Reserved</w:t>
      </w:r>
      <w:r>
        <w:rPr>
          <w:sz w:val="20"/>
          <w:szCs w:val="20"/>
          <w:color w:val="auto"/>
        </w:rPr>
        <w:tab/>
      </w:r>
      <w:r>
        <w:rPr>
          <w:rFonts w:ascii="Times New Roman" w:cs="Times New Roman" w:eastAsia="Times New Roman" w:hAnsi="Times New Roman"/>
          <w:sz w:val="20"/>
          <w:szCs w:val="20"/>
          <w:color w:val="auto"/>
        </w:rPr>
        <w:t>100</w:t>
      </w:r>
    </w:p>
    <w:p>
      <w:pPr>
        <w:spacing w:after="0" w:line="15" w:lineRule="exact"/>
        <w:rPr>
          <w:sz w:val="20"/>
          <w:szCs w:val="20"/>
          <w:color w:val="auto"/>
        </w:rPr>
      </w:pPr>
    </w:p>
    <w:p>
      <w:pPr>
        <w:ind w:left="140"/>
        <w:spacing w:after="0"/>
        <w:tabs>
          <w:tab w:leader="none" w:pos="920" w:val="left"/>
          <w:tab w:leader="dot" w:pos="9020" w:val="left"/>
        </w:tabs>
        <w:rPr>
          <w:sz w:val="20"/>
          <w:szCs w:val="20"/>
          <w:color w:val="auto"/>
        </w:rPr>
      </w:pPr>
      <w:r>
        <w:rPr>
          <w:rFonts w:ascii="Times New Roman" w:cs="Times New Roman" w:eastAsia="Times New Roman" w:hAnsi="Times New Roman"/>
          <w:sz w:val="20"/>
          <w:szCs w:val="20"/>
          <w:color w:val="auto"/>
        </w:rPr>
        <w:t>Item 8.</w:t>
        <w:tab/>
        <w:t>Consolidated Financial Statements and Supplementary Data</w:t>
      </w:r>
      <w:r>
        <w:rPr>
          <w:sz w:val="20"/>
          <w:szCs w:val="20"/>
          <w:color w:val="auto"/>
        </w:rPr>
        <w:tab/>
      </w:r>
      <w:r>
        <w:rPr>
          <w:rFonts w:ascii="Times New Roman" w:cs="Times New Roman" w:eastAsia="Times New Roman" w:hAnsi="Times New Roman"/>
          <w:sz w:val="20"/>
          <w:szCs w:val="20"/>
          <w:color w:val="auto"/>
        </w:rPr>
        <w:t>101</w:t>
      </w:r>
    </w:p>
    <w:p>
      <w:pPr>
        <w:spacing w:after="0" w:line="16" w:lineRule="exact"/>
        <w:rPr>
          <w:sz w:val="20"/>
          <w:szCs w:val="20"/>
          <w:color w:val="auto"/>
        </w:rPr>
      </w:pPr>
    </w:p>
    <w:p>
      <w:pPr>
        <w:ind w:left="140"/>
        <w:spacing w:after="0"/>
        <w:tabs>
          <w:tab w:leader="none" w:pos="920" w:val="left"/>
          <w:tab w:leader="dot" w:pos="9020" w:val="left"/>
        </w:tabs>
        <w:rPr>
          <w:sz w:val="20"/>
          <w:szCs w:val="20"/>
          <w:color w:val="auto"/>
        </w:rPr>
      </w:pPr>
      <w:r>
        <w:rPr>
          <w:rFonts w:ascii="Times New Roman" w:cs="Times New Roman" w:eastAsia="Times New Roman" w:hAnsi="Times New Roman"/>
          <w:sz w:val="20"/>
          <w:szCs w:val="20"/>
          <w:color w:val="auto"/>
        </w:rPr>
        <w:t>Item 9.</w:t>
        <w:tab/>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125</w:t>
      </w:r>
    </w:p>
    <w:p>
      <w:pPr>
        <w:spacing w:after="0" w:line="1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9A. Controls and Procedures</w:t>
      </w:r>
      <w:r>
        <w:rPr>
          <w:sz w:val="20"/>
          <w:szCs w:val="20"/>
          <w:color w:val="auto"/>
        </w:rPr>
        <w:tab/>
      </w:r>
      <w:r>
        <w:rPr>
          <w:rFonts w:ascii="Times New Roman" w:cs="Times New Roman" w:eastAsia="Times New Roman" w:hAnsi="Times New Roman"/>
          <w:sz w:val="20"/>
          <w:szCs w:val="20"/>
          <w:color w:val="auto"/>
        </w:rPr>
        <w:t>125</w:t>
      </w:r>
    </w:p>
    <w:p>
      <w:pPr>
        <w:spacing w:after="0" w:line="1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9B. Other Information</w:t>
      </w:r>
      <w:r>
        <w:rPr>
          <w:sz w:val="20"/>
          <w:szCs w:val="20"/>
          <w:color w:val="auto"/>
        </w:rPr>
        <w:tab/>
      </w:r>
      <w:r>
        <w:rPr>
          <w:rFonts w:ascii="Times New Roman" w:cs="Times New Roman" w:eastAsia="Times New Roman" w:hAnsi="Times New Roman"/>
          <w:sz w:val="20"/>
          <w:szCs w:val="20"/>
          <w:color w:val="auto"/>
        </w:rPr>
        <w:t>125</w:t>
      </w:r>
    </w:p>
    <w:p>
      <w:pPr>
        <w:spacing w:after="0" w:line="1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9C. Disclosure Regarding Foreign Jurisdiction that Prevent Inspections</w:t>
      </w:r>
      <w:r>
        <w:rPr>
          <w:sz w:val="20"/>
          <w:szCs w:val="20"/>
          <w:color w:val="auto"/>
        </w:rPr>
        <w:tab/>
      </w:r>
      <w:r>
        <w:rPr>
          <w:rFonts w:ascii="Times New Roman" w:cs="Times New Roman" w:eastAsia="Times New Roman" w:hAnsi="Times New Roman"/>
          <w:sz w:val="20"/>
          <w:szCs w:val="20"/>
          <w:color w:val="auto"/>
        </w:rPr>
        <w:t>125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4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10.  Directors, Executive Officers and Corporate Governance</w:t>
      </w:r>
      <w:r>
        <w:rPr>
          <w:sz w:val="20"/>
          <w:szCs w:val="20"/>
          <w:color w:val="auto"/>
        </w:rPr>
        <w:tab/>
      </w:r>
      <w:r>
        <w:rPr>
          <w:rFonts w:ascii="Times New Roman" w:cs="Times New Roman" w:eastAsia="Times New Roman" w:hAnsi="Times New Roman"/>
          <w:sz w:val="20"/>
          <w:szCs w:val="20"/>
          <w:color w:val="auto"/>
        </w:rPr>
        <w:t>126</w:t>
      </w:r>
    </w:p>
    <w:p>
      <w:pPr>
        <w:spacing w:after="0" w:line="12"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11.  Executive Compensation</w:t>
      </w:r>
      <w:r>
        <w:rPr>
          <w:sz w:val="20"/>
          <w:szCs w:val="20"/>
          <w:color w:val="auto"/>
        </w:rPr>
        <w:tab/>
      </w:r>
      <w:r>
        <w:rPr>
          <w:rFonts w:ascii="Times New Roman" w:cs="Times New Roman" w:eastAsia="Times New Roman" w:hAnsi="Times New Roman"/>
          <w:sz w:val="20"/>
          <w:szCs w:val="20"/>
          <w:color w:val="auto"/>
        </w:rPr>
        <w:t>126</w:t>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w:t>
      </w:r>
    </w:p>
    <w:p>
      <w:pPr>
        <w:spacing w:after="0" w:line="7" w:lineRule="exact"/>
        <w:rPr>
          <w:sz w:val="20"/>
          <w:szCs w:val="20"/>
          <w:color w:val="auto"/>
        </w:rPr>
      </w:pPr>
    </w:p>
    <w:p>
      <w:pPr>
        <w:jc w:val="right"/>
        <w:ind w:right="20"/>
        <w:spacing w:after="0"/>
        <w:tabs>
          <w:tab w:leader="dot" w:pos="280" w:val="left"/>
        </w:tabs>
        <w:rPr>
          <w:sz w:val="20"/>
          <w:szCs w:val="20"/>
          <w:color w:val="auto"/>
        </w:rPr>
      </w:pPr>
      <w:r>
        <w:rPr>
          <w:rFonts w:ascii="Times New Roman" w:cs="Times New Roman" w:eastAsia="Times New Roman" w:hAnsi="Times New Roman"/>
          <w:sz w:val="20"/>
          <w:szCs w:val="20"/>
          <w:color w:val="auto"/>
        </w:rPr>
        <w:t>Matters</w:t>
      </w:r>
      <w:r>
        <w:rPr>
          <w:sz w:val="20"/>
          <w:szCs w:val="20"/>
          <w:color w:val="auto"/>
        </w:rPr>
        <w:tab/>
      </w:r>
      <w:r>
        <w:rPr>
          <w:rFonts w:ascii="Times New Roman" w:cs="Times New Roman" w:eastAsia="Times New Roman" w:hAnsi="Times New Roman"/>
          <w:sz w:val="20"/>
          <w:szCs w:val="20"/>
          <w:color w:val="auto"/>
        </w:rPr>
        <w:t>126</w:t>
      </w:r>
    </w:p>
    <w:p>
      <w:pPr>
        <w:spacing w:after="0" w:line="9"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126</w:t>
      </w:r>
    </w:p>
    <w:p>
      <w:pPr>
        <w:spacing w:after="0" w:line="1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14.  Principal Accounting Fees and Services</w:t>
      </w:r>
      <w:r>
        <w:rPr>
          <w:sz w:val="20"/>
          <w:szCs w:val="20"/>
          <w:color w:val="auto"/>
        </w:rPr>
        <w:tab/>
      </w:r>
      <w:r>
        <w:rPr>
          <w:rFonts w:ascii="Times New Roman" w:cs="Times New Roman" w:eastAsia="Times New Roman" w:hAnsi="Times New Roman"/>
          <w:sz w:val="20"/>
          <w:szCs w:val="20"/>
          <w:color w:val="auto"/>
        </w:rPr>
        <w:t>126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45" w:lineRule="exact"/>
        <w:rPr>
          <w:sz w:val="20"/>
          <w:szCs w:val="20"/>
          <w:color w:val="auto"/>
        </w:rPr>
      </w:pPr>
    </w:p>
    <w:p>
      <w:pPr>
        <w:ind w:left="140"/>
        <w:spacing w:after="0"/>
        <w:tabs>
          <w:tab w:leader="dot" w:pos="9020" w:val="left"/>
        </w:tabs>
        <w:rPr>
          <w:sz w:val="20"/>
          <w:szCs w:val="20"/>
          <w:color w:val="auto"/>
        </w:rPr>
      </w:pPr>
      <w:r>
        <w:rPr>
          <w:rFonts w:ascii="Times New Roman" w:cs="Times New Roman" w:eastAsia="Times New Roman" w:hAnsi="Times New Roman"/>
          <w:sz w:val="20"/>
          <w:szCs w:val="20"/>
          <w:color w:val="auto"/>
        </w:rPr>
        <w:t>Item 15.  Exhibits, Financial Statement Schedules</w:t>
      </w:r>
      <w:r>
        <w:rPr>
          <w:sz w:val="20"/>
          <w:szCs w:val="20"/>
          <w:color w:val="auto"/>
        </w:rPr>
        <w:tab/>
      </w:r>
      <w:r>
        <w:rPr>
          <w:rFonts w:ascii="Times New Roman" w:cs="Times New Roman" w:eastAsia="Times New Roman" w:hAnsi="Times New Roman"/>
          <w:sz w:val="20"/>
          <w:szCs w:val="20"/>
          <w:color w:val="auto"/>
        </w:rPr>
        <w:t>127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2240" w:h="15840" w:orient="portrait"/>
          <w:cols w:equalWidth="0" w:num="1">
            <w:col w:w="9360"/>
          </w:cols>
          <w:pgMar w:left="1440" w:top="1416" w:right="1440" w:bottom="175"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43"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This Annual Report on Form 10-K, or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Annual Report, including statements regarding our future results of operations and financial position, business strategy, development plans, planned preclinical studies and clinical trials, future results of clinical trials, expected research and development costs, regulatory strategy and approvals, timing and likelihood of success, as well as plans and objectives of management for future operations, are forward-looking statements.</w:t>
      </w:r>
    </w:p>
    <w:p>
      <w:pPr>
        <w:spacing w:after="0" w:line="201" w:lineRule="exact"/>
        <w:rPr>
          <w:sz w:val="20"/>
          <w:szCs w:val="20"/>
          <w:color w:val="auto"/>
        </w:rPr>
      </w:pPr>
    </w:p>
    <w:p>
      <w:pPr>
        <w:ind w:right="40" w:firstLine="619"/>
        <w:spacing w:after="0" w:line="252" w:lineRule="auto"/>
        <w:rPr>
          <w:sz w:val="20"/>
          <w:szCs w:val="20"/>
          <w:color w:val="auto"/>
        </w:rPr>
      </w:pPr>
      <w:r>
        <w:rPr>
          <w:rFonts w:ascii="Times New Roman" w:cs="Times New Roman" w:eastAsia="Times New Roman" w:hAnsi="Times New Roman"/>
          <w:sz w:val="20"/>
          <w:szCs w:val="20"/>
          <w:color w:val="auto"/>
        </w:rPr>
        <w:t>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Annual Report include, but are not limited to, statements about:</w:t>
      </w:r>
    </w:p>
    <w:p>
      <w:pPr>
        <w:spacing w:after="0" w:line="88" w:lineRule="exact"/>
        <w:rPr>
          <w:sz w:val="20"/>
          <w:szCs w:val="20"/>
          <w:color w:val="auto"/>
        </w:rPr>
      </w:pPr>
    </w:p>
    <w:p>
      <w:pPr>
        <w:ind w:left="840" w:hanging="351"/>
        <w:spacing w:after="0"/>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financial performance;</w:t>
      </w:r>
    </w:p>
    <w:p>
      <w:pPr>
        <w:spacing w:after="0" w:line="133" w:lineRule="exact"/>
        <w:rPr>
          <w:rFonts w:ascii="Arial" w:cs="Arial" w:eastAsia="Arial" w:hAnsi="Arial"/>
          <w:sz w:val="20"/>
          <w:szCs w:val="20"/>
          <w:color w:val="auto"/>
        </w:rPr>
      </w:pPr>
    </w:p>
    <w:p>
      <w:pPr>
        <w:ind w:left="840" w:right="680" w:hanging="351"/>
        <w:spacing w:after="0" w:line="277" w:lineRule="auto"/>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sufficiency of our existing cash, cash equivalents, and marketable securities to fund our future operating expenses and capital expenditure requirements;</w:t>
      </w:r>
    </w:p>
    <w:p>
      <w:pPr>
        <w:spacing w:after="0" w:line="62" w:lineRule="exact"/>
        <w:rPr>
          <w:rFonts w:ascii="Arial" w:cs="Arial" w:eastAsia="Arial" w:hAnsi="Arial"/>
          <w:sz w:val="20"/>
          <w:szCs w:val="20"/>
          <w:color w:val="auto"/>
        </w:rPr>
      </w:pPr>
    </w:p>
    <w:p>
      <w:pPr>
        <w:ind w:left="840" w:hanging="351"/>
        <w:spacing w:after="0"/>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need to raise additional funding before we can expect to generate any revenues from product sales;</w:t>
      </w:r>
    </w:p>
    <w:p>
      <w:pPr>
        <w:spacing w:after="0" w:line="133" w:lineRule="exact"/>
        <w:rPr>
          <w:rFonts w:ascii="Arial" w:cs="Arial" w:eastAsia="Arial" w:hAnsi="Arial"/>
          <w:sz w:val="20"/>
          <w:szCs w:val="20"/>
          <w:color w:val="auto"/>
        </w:rPr>
      </w:pPr>
    </w:p>
    <w:p>
      <w:pPr>
        <w:ind w:left="840" w:right="220" w:hanging="351"/>
        <w:spacing w:after="0" w:line="277" w:lineRule="auto"/>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additional funding for our operations, when needed, including funding necessary to complete further development and commercialization of our product candidates, if approved;</w:t>
      </w:r>
    </w:p>
    <w:p>
      <w:pPr>
        <w:spacing w:after="0" w:line="62" w:lineRule="exact"/>
        <w:rPr>
          <w:rFonts w:ascii="Arial" w:cs="Arial" w:eastAsia="Arial" w:hAnsi="Arial"/>
          <w:sz w:val="20"/>
          <w:szCs w:val="20"/>
          <w:color w:val="auto"/>
        </w:rPr>
      </w:pPr>
    </w:p>
    <w:p>
      <w:pPr>
        <w:ind w:left="840" w:right="480" w:hanging="351"/>
        <w:spacing w:after="0" w:line="277" w:lineRule="auto"/>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accuracy of our estimates regarding expenses, future revenue, capital requirements and needs for additional financing;</w:t>
      </w:r>
    </w:p>
    <w:p>
      <w:pPr>
        <w:spacing w:after="0" w:line="62" w:lineRule="exact"/>
        <w:rPr>
          <w:rFonts w:ascii="Arial" w:cs="Arial" w:eastAsia="Arial" w:hAnsi="Arial"/>
          <w:sz w:val="20"/>
          <w:szCs w:val="20"/>
          <w:color w:val="auto"/>
        </w:rPr>
      </w:pPr>
    </w:p>
    <w:p>
      <w:pPr>
        <w:ind w:left="840" w:right="400" w:hanging="351"/>
        <w:spacing w:after="0" w:line="277" w:lineRule="auto"/>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anticipated use of our existing cash, cash equivalents, and marketable securities and any proceeds from the ATM Program (as defined below);</w:t>
      </w:r>
    </w:p>
    <w:p>
      <w:pPr>
        <w:spacing w:after="0" w:line="63" w:lineRule="exact"/>
        <w:rPr>
          <w:rFonts w:ascii="Arial" w:cs="Arial" w:eastAsia="Arial" w:hAnsi="Arial"/>
          <w:sz w:val="20"/>
          <w:szCs w:val="20"/>
          <w:color w:val="auto"/>
        </w:rPr>
      </w:pPr>
    </w:p>
    <w:p>
      <w:pPr>
        <w:ind w:left="840" w:hanging="351"/>
        <w:spacing w:after="0"/>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implementation of our strategic plans for our business and product candidates;</w:t>
      </w:r>
    </w:p>
    <w:p>
      <w:pPr>
        <w:spacing w:after="0" w:line="132" w:lineRule="exact"/>
        <w:rPr>
          <w:rFonts w:ascii="Arial" w:cs="Arial" w:eastAsia="Arial" w:hAnsi="Arial"/>
          <w:sz w:val="20"/>
          <w:szCs w:val="20"/>
          <w:color w:val="auto"/>
        </w:rPr>
      </w:pPr>
    </w:p>
    <w:p>
      <w:pPr>
        <w:ind w:left="840" w:right="920" w:hanging="351"/>
        <w:spacing w:after="0" w:line="277" w:lineRule="auto"/>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size of the market opportunity for our product candidates and our ability to maximize those opportunities;</w:t>
      </w:r>
    </w:p>
    <w:p>
      <w:pPr>
        <w:spacing w:after="0" w:line="63" w:lineRule="exact"/>
        <w:rPr>
          <w:rFonts w:ascii="Arial" w:cs="Arial" w:eastAsia="Arial" w:hAnsi="Arial"/>
          <w:sz w:val="20"/>
          <w:szCs w:val="20"/>
          <w:color w:val="auto"/>
        </w:rPr>
      </w:pPr>
    </w:p>
    <w:p>
      <w:pPr>
        <w:ind w:left="840" w:right="100" w:hanging="351"/>
        <w:spacing w:after="0" w:line="276" w:lineRule="auto"/>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initiation, timing, progress and results of our research and development programs, preclinical studies, clinical trials and investigational new drug applications, or IND, and other regulatory submissions;</w:t>
      </w:r>
    </w:p>
    <w:p>
      <w:pPr>
        <w:spacing w:after="0" w:line="64" w:lineRule="exact"/>
        <w:rPr>
          <w:rFonts w:ascii="Arial" w:cs="Arial" w:eastAsia="Arial" w:hAnsi="Arial"/>
          <w:sz w:val="20"/>
          <w:szCs w:val="20"/>
          <w:color w:val="auto"/>
        </w:rPr>
      </w:pPr>
    </w:p>
    <w:p>
      <w:pPr>
        <w:ind w:left="840" w:hanging="351"/>
        <w:spacing w:after="0"/>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beneficial characteristics, safety, efficacy and therapeutic effects of our product candidates;</w:t>
      </w:r>
    </w:p>
    <w:p>
      <w:pPr>
        <w:spacing w:after="0" w:line="132" w:lineRule="exact"/>
        <w:rPr>
          <w:rFonts w:ascii="Arial" w:cs="Arial" w:eastAsia="Arial" w:hAnsi="Arial"/>
          <w:sz w:val="20"/>
          <w:szCs w:val="20"/>
          <w:color w:val="auto"/>
        </w:rPr>
      </w:pPr>
    </w:p>
    <w:p>
      <w:pPr>
        <w:ind w:left="840" w:right="480" w:hanging="352"/>
        <w:spacing w:after="0" w:line="277" w:lineRule="auto"/>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estimates of the number of patients for each of our programs including patients expected to have certain p53 mutations and the number of patients that will enroll in our clinical trials;</w:t>
      </w:r>
    </w:p>
    <w:p>
      <w:pPr>
        <w:spacing w:after="0" w:line="63" w:lineRule="exact"/>
        <w:rPr>
          <w:rFonts w:ascii="Arial" w:cs="Arial" w:eastAsia="Arial" w:hAnsi="Arial"/>
          <w:sz w:val="20"/>
          <w:szCs w:val="20"/>
          <w:color w:val="auto"/>
        </w:rPr>
      </w:pPr>
    </w:p>
    <w:p>
      <w:pPr>
        <w:ind w:left="840" w:right="360" w:hanging="352"/>
        <w:spacing w:after="0" w:line="276" w:lineRule="auto"/>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our clinical trials to demonstrate safety and efficacy of our product candidates, and other favorable results;</w:t>
      </w:r>
    </w:p>
    <w:p>
      <w:pPr>
        <w:spacing w:after="0" w:line="64" w:lineRule="exact"/>
        <w:rPr>
          <w:rFonts w:ascii="Arial" w:cs="Arial" w:eastAsia="Arial" w:hAnsi="Arial"/>
          <w:sz w:val="20"/>
          <w:szCs w:val="20"/>
          <w:color w:val="auto"/>
        </w:rPr>
      </w:pPr>
    </w:p>
    <w:p>
      <w:pPr>
        <w:ind w:left="840" w:right="120" w:hanging="352"/>
        <w:spacing w:after="0" w:line="277" w:lineRule="auto"/>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relating to the clinical development of our product candidates, including the disease areas to be evaluated;</w:t>
      </w:r>
    </w:p>
    <w:p>
      <w:pPr>
        <w:spacing w:after="0" w:line="62" w:lineRule="exact"/>
        <w:rPr>
          <w:rFonts w:ascii="Arial" w:cs="Arial" w:eastAsia="Arial" w:hAnsi="Arial"/>
          <w:sz w:val="20"/>
          <w:szCs w:val="20"/>
          <w:color w:val="auto"/>
        </w:rPr>
      </w:pPr>
    </w:p>
    <w:p>
      <w:pPr>
        <w:ind w:left="840" w:hanging="352"/>
        <w:spacing w:after="0"/>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progress and focus of our clinical trials, and the reporting of data from those trials;</w:t>
      </w:r>
    </w:p>
    <w:p>
      <w:pPr>
        <w:spacing w:after="0" w:line="133" w:lineRule="exact"/>
        <w:rPr>
          <w:rFonts w:ascii="Arial" w:cs="Arial" w:eastAsia="Arial" w:hAnsi="Arial"/>
          <w:sz w:val="20"/>
          <w:szCs w:val="20"/>
          <w:color w:val="auto"/>
        </w:rPr>
      </w:pPr>
    </w:p>
    <w:p>
      <w:pPr>
        <w:ind w:left="840" w:hanging="352"/>
        <w:spacing w:after="0"/>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regulatory approval of our product candidates;</w:t>
      </w:r>
    </w:p>
    <w:p>
      <w:pPr>
        <w:spacing w:after="0" w:line="132" w:lineRule="exact"/>
        <w:rPr>
          <w:rFonts w:ascii="Arial" w:cs="Arial" w:eastAsia="Arial" w:hAnsi="Arial"/>
          <w:sz w:val="20"/>
          <w:szCs w:val="20"/>
          <w:color w:val="auto"/>
        </w:rPr>
      </w:pPr>
    </w:p>
    <w:p>
      <w:pPr>
        <w:ind w:left="840" w:hanging="352"/>
        <w:spacing w:after="0"/>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relating to commercializing our product candidates, if approved;</w:t>
      </w:r>
    </w:p>
    <w:p>
      <w:pPr>
        <w:spacing w:after="0" w:line="133" w:lineRule="exact"/>
        <w:rPr>
          <w:rFonts w:ascii="Arial" w:cs="Arial" w:eastAsia="Arial" w:hAnsi="Arial"/>
          <w:sz w:val="20"/>
          <w:szCs w:val="20"/>
          <w:color w:val="auto"/>
        </w:rPr>
      </w:pPr>
    </w:p>
    <w:p>
      <w:pPr>
        <w:jc w:val="both"/>
        <w:ind w:left="840" w:right="320" w:hanging="352"/>
        <w:spacing w:after="0" w:line="277" w:lineRule="auto"/>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expected benefits of our existing and any potential future strategic collaborations with third parties and our ability to attract collaborators with development, regulatory and commercialization expertise;</w:t>
      </w:r>
    </w:p>
    <w:p>
      <w:pPr>
        <w:spacing w:after="0" w:line="62" w:lineRule="exact"/>
        <w:rPr>
          <w:rFonts w:ascii="Arial" w:cs="Arial" w:eastAsia="Arial" w:hAnsi="Arial"/>
          <w:sz w:val="20"/>
          <w:szCs w:val="20"/>
          <w:color w:val="auto"/>
        </w:rPr>
      </w:pPr>
    </w:p>
    <w:p>
      <w:pPr>
        <w:ind w:left="840" w:hanging="352"/>
        <w:spacing w:after="0"/>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competing therapies that are or may become available;</w:t>
      </w:r>
    </w:p>
    <w:p>
      <w:pPr>
        <w:spacing w:after="0" w:line="133" w:lineRule="exact"/>
        <w:rPr>
          <w:rFonts w:ascii="Arial" w:cs="Arial" w:eastAsia="Arial" w:hAnsi="Arial"/>
          <w:sz w:val="20"/>
          <w:szCs w:val="20"/>
          <w:color w:val="auto"/>
        </w:rPr>
      </w:pPr>
    </w:p>
    <w:p>
      <w:pPr>
        <w:ind w:left="840" w:right="100" w:hanging="352"/>
        <w:spacing w:after="0" w:line="277" w:lineRule="auto"/>
        <w:tabs>
          <w:tab w:leader="none" w:pos="8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or likelihood of regulatory filings and approvals, including our expectation to seek accelerated reviews or special designations, such as breakthrough therapy and orphan drug designation, for our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9360"/>
          </w:cols>
          <w:pgMar w:left="1440" w:top="1416" w:right="1440" w:bottom="175" w:gutter="0" w:footer="0" w:header="0"/>
        </w:sectPr>
      </w:pPr>
    </w:p>
    <w:bookmarkStart w:id="4" w:name="page5"/>
    <w:bookmarkEnd w:id="4"/>
    <w:p>
      <w:pPr>
        <w:ind w:left="840" w:right="180"/>
        <w:spacing w:after="0" w:line="277" w:lineRule="auto"/>
        <w:rPr>
          <w:sz w:val="20"/>
          <w:szCs w:val="20"/>
          <w:color w:val="auto"/>
        </w:rPr>
      </w:pPr>
      <w:r>
        <w:rPr>
          <w:rFonts w:ascii="Times New Roman" w:cs="Times New Roman" w:eastAsia="Times New Roman" w:hAnsi="Times New Roman"/>
          <w:sz w:val="20"/>
          <w:szCs w:val="20"/>
          <w:color w:val="auto"/>
        </w:rPr>
        <w:t>product candidates, including our intention to seek accelerated approval for rezatapopt, our lead product candidate, for a tumor-agnostic indication;</w:t>
      </w:r>
    </w:p>
    <w:p>
      <w:pPr>
        <w:spacing w:after="0" w:line="63" w:lineRule="exact"/>
        <w:rPr>
          <w:sz w:val="20"/>
          <w:szCs w:val="20"/>
          <w:color w:val="auto"/>
        </w:rPr>
      </w:pPr>
    </w:p>
    <w:p>
      <w:pPr>
        <w:ind w:left="840" w:right="140" w:hanging="351"/>
        <w:spacing w:after="0" w:line="277" w:lineRule="auto"/>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relating to the further development and manufacturing of our product candidates, including for additional indications that we may pursue;</w:t>
      </w:r>
    </w:p>
    <w:p>
      <w:pPr>
        <w:spacing w:after="0" w:line="62" w:lineRule="exact"/>
        <w:rPr>
          <w:rFonts w:ascii="Arial" w:cs="Arial" w:eastAsia="Arial" w:hAnsi="Arial"/>
          <w:sz w:val="20"/>
          <w:szCs w:val="20"/>
          <w:color w:val="auto"/>
        </w:rPr>
      </w:pPr>
    </w:p>
    <w:p>
      <w:pPr>
        <w:ind w:left="840" w:hanging="351"/>
        <w:spacing w:after="0"/>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existing regulations and regulatory developments in the United States and other jurisdictions;</w:t>
      </w:r>
    </w:p>
    <w:p>
      <w:pPr>
        <w:spacing w:after="0" w:line="133" w:lineRule="exact"/>
        <w:rPr>
          <w:rFonts w:ascii="Arial" w:cs="Arial" w:eastAsia="Arial" w:hAnsi="Arial"/>
          <w:sz w:val="20"/>
          <w:szCs w:val="20"/>
          <w:color w:val="auto"/>
        </w:rPr>
      </w:pPr>
    </w:p>
    <w:p>
      <w:pPr>
        <w:ind w:left="840" w:right="480" w:hanging="351"/>
        <w:spacing w:after="0" w:line="276" w:lineRule="auto"/>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and ability to obtain or protect intellectual property rights, including extensions of existing patent terms where available;</w:t>
      </w:r>
    </w:p>
    <w:p>
      <w:pPr>
        <w:spacing w:after="0" w:line="64" w:lineRule="exact"/>
        <w:rPr>
          <w:rFonts w:ascii="Arial" w:cs="Arial" w:eastAsia="Arial" w:hAnsi="Arial"/>
          <w:sz w:val="20"/>
          <w:szCs w:val="20"/>
          <w:color w:val="auto"/>
        </w:rPr>
      </w:pPr>
    </w:p>
    <w:p>
      <w:pPr>
        <w:ind w:left="840" w:hanging="351"/>
        <w:spacing w:after="0"/>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to rely on third parties to conduct and support preclinical and clinical development;</w:t>
      </w:r>
    </w:p>
    <w:p>
      <w:pPr>
        <w:spacing w:after="0" w:line="133" w:lineRule="exact"/>
        <w:rPr>
          <w:rFonts w:ascii="Arial" w:cs="Arial" w:eastAsia="Arial" w:hAnsi="Arial"/>
          <w:sz w:val="20"/>
          <w:szCs w:val="20"/>
          <w:color w:val="auto"/>
        </w:rPr>
      </w:pPr>
    </w:p>
    <w:p>
      <w:pPr>
        <w:ind w:left="840" w:right="660" w:hanging="351"/>
        <w:spacing w:after="0" w:line="276" w:lineRule="auto"/>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retain the continued service of our key personnel and to identify, hire and then retain additional qualified personnel; and</w:t>
      </w:r>
    </w:p>
    <w:p>
      <w:pPr>
        <w:spacing w:after="0" w:line="64" w:lineRule="exact"/>
        <w:rPr>
          <w:rFonts w:ascii="Arial" w:cs="Arial" w:eastAsia="Arial" w:hAnsi="Arial"/>
          <w:sz w:val="20"/>
          <w:szCs w:val="20"/>
          <w:color w:val="auto"/>
        </w:rPr>
      </w:pPr>
    </w:p>
    <w:p>
      <w:pPr>
        <w:ind w:left="840" w:right="20" w:hanging="351"/>
        <w:spacing w:after="0" w:line="247" w:lineRule="auto"/>
        <w:tabs>
          <w:tab w:leader="none" w:pos="8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geopolitical tensions, such as the Ukraine-Russia war and the conflict in the Middle East, the impact of other disruptions resulting from public health epidemics, macroeconomic events such as future changes in trade regulations, tariff structures, global supply chain challenges, elevated inflation and interest rates and monetary policy changes (including the impact of changes to U.S. federal income tax law), instability in the global banking system, or other related disruptions on our business and the execution of our clinical trials.</w:t>
      </w:r>
    </w:p>
    <w:p>
      <w:pPr>
        <w:spacing w:after="0" w:line="199" w:lineRule="exact"/>
        <w:rPr>
          <w:sz w:val="20"/>
          <w:szCs w:val="20"/>
          <w:color w:val="auto"/>
        </w:rPr>
      </w:pPr>
    </w:p>
    <w:p>
      <w:pPr>
        <w:ind w:right="20" w:firstLine="620"/>
        <w:spacing w:after="0" w:line="257" w:lineRule="auto"/>
        <w:rPr>
          <w:sz w:val="20"/>
          <w:szCs w:val="20"/>
          <w:color w:val="auto"/>
        </w:rPr>
      </w:pPr>
      <w:r>
        <w:rPr>
          <w:rFonts w:ascii="Times New Roman" w:cs="Times New Roman" w:eastAsia="Times New Roman" w:hAnsi="Times New Roman"/>
          <w:sz w:val="19"/>
          <w:szCs w:val="19"/>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and are subject to a number of risks, uncertainties and assumptions described in the section titled “Item 1A. Risk Factors” and elsewhere in this Annual Report. Because forward-looking statements are inherently subject to risks and uncertainties, some of which cannot be predicted or quantified, you should not rely on these forward- 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97" w:lineRule="exact"/>
        <w:rPr>
          <w:sz w:val="20"/>
          <w:szCs w:val="20"/>
          <w:color w:val="auto"/>
        </w:rPr>
      </w:pPr>
    </w:p>
    <w:p>
      <w:pPr>
        <w:ind w:right="200" w:firstLine="619"/>
        <w:spacing w:after="0" w:line="247" w:lineRule="auto"/>
        <w:rPr>
          <w:sz w:val="20"/>
          <w:szCs w:val="20"/>
          <w:color w:val="auto"/>
        </w:rPr>
      </w:pPr>
      <w:r>
        <w:rPr>
          <w:rFonts w:ascii="Times New Roman" w:cs="Times New Roman" w:eastAsia="Times New Roman" w:hAnsi="Times New Roman"/>
          <w:sz w:val="20"/>
          <w:szCs w:val="20"/>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iii</w:t>
      </w:r>
    </w:p>
    <w:p>
      <w:pPr>
        <w:sectPr>
          <w:pgSz w:w="12240" w:h="15840" w:orient="portrait"/>
          <w:cols w:equalWidth="0" w:num="1">
            <w:col w:w="9360"/>
          </w:cols>
          <w:pgMar w:left="1440" w:top="1420" w:right="1440" w:bottom="175"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24" w:lineRule="exact"/>
        <w:rPr>
          <w:sz w:val="20"/>
          <w:szCs w:val="20"/>
          <w:color w:val="auto"/>
        </w:rPr>
      </w:pPr>
    </w:p>
    <w:p>
      <w:pPr>
        <w:ind w:right="100" w:firstLine="620"/>
        <w:spacing w:after="0" w:line="244" w:lineRule="auto"/>
        <w:rPr>
          <w:sz w:val="20"/>
          <w:szCs w:val="20"/>
          <w:color w:val="auto"/>
        </w:rPr>
      </w:pPr>
      <w:r>
        <w:rPr>
          <w:rFonts w:ascii="Times New Roman" w:cs="Times New Roman" w:eastAsia="Times New Roman" w:hAnsi="Times New Roman"/>
          <w:sz w:val="20"/>
          <w:szCs w:val="20"/>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206" w:lineRule="exact"/>
        <w:rPr>
          <w:sz w:val="20"/>
          <w:szCs w:val="20"/>
          <w:color w:val="auto"/>
        </w:rPr>
      </w:pPr>
    </w:p>
    <w:p>
      <w:pPr>
        <w:ind w:right="80" w:firstLine="619"/>
        <w:spacing w:after="0" w:line="252" w:lineRule="auto"/>
        <w:rPr>
          <w:sz w:val="20"/>
          <w:szCs w:val="20"/>
          <w:color w:val="auto"/>
        </w:rPr>
      </w:pPr>
      <w:r>
        <w:rPr>
          <w:rFonts w:ascii="Times New Roman" w:cs="Times New Roman" w:eastAsia="Times New Roman" w:hAnsi="Times New Roman"/>
          <w:sz w:val="20"/>
          <w:szCs w:val="20"/>
          <w:color w:val="auto"/>
        </w:rPr>
        <w:t>Our lead product candidate, rezatapopt, is an orally available small molecule designed to potently and selectively correct p53 misfolding caused by a specific p53 mutation, Y220C, while sparing wild-type p53. The p53 Y220C mutation is associated with approximately 1% of all cancers, including endometrial, breast, non-small cell lung cancer, or NSCLC, colorectal, pancreatic and notably, approximately 3% of ovarian cancers.</w:t>
      </w:r>
    </w:p>
    <w:p>
      <w:pPr>
        <w:spacing w:after="0" w:line="193"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0"/>
          <w:szCs w:val="20"/>
          <w:color w:val="auto"/>
        </w:rPr>
        <w:t>Rezatapopt is designed to restore the wild-type conformation by occupying the pocket created by the tyrosine to cysteine mutation in amino acid position 220. We are pursuing a tumor-agnostic development strategy and initiated a Phase 1/2 clinical trial, PYNNACLE, in October 2020. Our strategy is to seek approval under an accelerated pathway, and we believe the Phase 2 portion of the PYNNACLE clinical trial has the potential to serve as a pivotal study. In October 2020, we were granted U.S. Food and Drug Administration, or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American Association for Cancer Research, or AACR, the National Cancer Institute, or NCI, and the</w:t>
      </w:r>
    </w:p>
    <w:p>
      <w:pPr>
        <w:ind w:right="80"/>
        <w:spacing w:after="0" w:line="241" w:lineRule="auto"/>
        <w:rPr>
          <w:sz w:val="20"/>
          <w:szCs w:val="20"/>
          <w:color w:val="auto"/>
        </w:rPr>
      </w:pPr>
      <w:r>
        <w:rPr>
          <w:rFonts w:ascii="Times New Roman" w:cs="Times New Roman" w:eastAsia="Times New Roman" w:hAnsi="Times New Roman"/>
          <w:sz w:val="20"/>
          <w:szCs w:val="20"/>
          <w:color w:val="auto"/>
        </w:rPr>
        <w:t>European Organisation for Research and Treatment of Cancer, or EORTC, International Conference on Molecular Targets and Cancer Therapeutics Annual Meeting. We dosed our first patient in the pivotal Phase 2 monotherapy portion of the PYNNACLE study in the first quarter of 2024.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In March 2026, rezatapopt was granted orphan drug designation (ODD) from the FDA for the treatment of TP53 Y220C positive ovarian cancer, fallopian tube cancer, and primary peritoneal cancer. We plan to submit a New Drug Application, or NDA, for the treatment of patients with platinum-resistant/refractory ovarian cancer harboring a TP53 Y220C mutation to the FDA for rezatapopt in the first quarter of 2027.</w:t>
      </w:r>
    </w:p>
    <w:p>
      <w:pPr>
        <w:spacing w:after="0" w:line="202" w:lineRule="exact"/>
        <w:rPr>
          <w:sz w:val="20"/>
          <w:szCs w:val="20"/>
          <w:color w:val="auto"/>
        </w:rPr>
      </w:pPr>
    </w:p>
    <w:p>
      <w:pPr>
        <w:ind w:right="120" w:firstLine="619"/>
        <w:spacing w:after="0" w:line="244" w:lineRule="auto"/>
        <w:rPr>
          <w:sz w:val="20"/>
          <w:szCs w:val="20"/>
          <w:color w:val="auto"/>
        </w:rPr>
      </w:pPr>
      <w:r>
        <w:rPr>
          <w:rFonts w:ascii="Times New Roman" w:cs="Times New Roman" w:eastAsia="Times New Roman" w:hAnsi="Times New Roman"/>
          <w:sz w:val="20"/>
          <w:szCs w:val="20"/>
          <w:color w:val="auto"/>
        </w:rPr>
        <w:t>A better understanding of mutations that drive cancers has facilitated the development of precise, gene- and protein-specific drugs known as targeted therapies. Targeted therapies have the potential to transform the treatment of some cancers by providing robust clinical benefit to patients. In many cases, clinical responses can be dramatic enough to support expedited regulatory approval of these therapies. Further, recent advancements in next-generation-sequencing, or NGS, have accelerated the development of targeted therapies. A recent study found that 75% of oncologists in the United States employ genomic sequencing. We believe p53 mutations are particularly well-suited for the evolving precision oncology paradigm, as a single mutation can cause p53 malfunction, and p53 is one of the genes commonly sequenced in NGS panels. We believe that our precision oncology platform offers a substantial opportunity to expand the number of patients who will benefit from targeted therapies.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Rezatapopt and Pipeline</w:t>
      </w:r>
    </w:p>
    <w:p>
      <w:pPr>
        <w:spacing w:after="0" w:line="244" w:lineRule="exact"/>
        <w:rPr>
          <w:sz w:val="20"/>
          <w:szCs w:val="20"/>
          <w:color w:val="auto"/>
        </w:rPr>
      </w:pPr>
    </w:p>
    <w:p>
      <w:pPr>
        <w:ind w:right="480" w:firstLine="619"/>
        <w:spacing w:after="0" w:line="278" w:lineRule="auto"/>
        <w:rPr>
          <w:sz w:val="20"/>
          <w:szCs w:val="20"/>
          <w:color w:val="auto"/>
        </w:rPr>
      </w:pPr>
      <w:r>
        <w:rPr>
          <w:rFonts w:ascii="Times New Roman" w:cs="Times New Roman" w:eastAsia="Times New Roman" w:hAnsi="Times New Roman"/>
          <w:sz w:val="20"/>
          <w:szCs w:val="20"/>
          <w:color w:val="auto"/>
        </w:rPr>
        <w:t>We are leveraging our precision oncology platform to develop a pipeline of orally available, potent and highly selective small molecule product candidates that target p53 mutations or other p53-related cancers.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1416" w:right="1440" w:bottom="175" w:gutter="0" w:footer="0" w:header="0"/>
        </w:sectPr>
      </w:pPr>
    </w:p>
    <w:bookmarkStart w:id="7" w:name="page8"/>
    <w:bookmarkEnd w:id="7"/>
    <w:p>
      <w:pPr>
        <w:ind w:left="620"/>
        <w:spacing w:after="0"/>
        <w:rPr>
          <w:sz w:val="20"/>
          <w:szCs w:val="20"/>
          <w:color w:val="auto"/>
        </w:rPr>
      </w:pPr>
      <w:r>
        <w:rPr>
          <w:rFonts w:ascii="Times New Roman" w:cs="Times New Roman" w:eastAsia="Times New Roman" w:hAnsi="Times New Roman"/>
          <w:sz w:val="20"/>
          <w:szCs w:val="20"/>
          <w:color w:val="auto"/>
        </w:rPr>
        <w:t>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377825</wp:posOffset>
            </wp:positionV>
            <wp:extent cx="5295900" cy="2425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extLst>
                    </a:blip>
                    <a:srcRect/>
                    <a:stretch>
                      <a:fillRect/>
                    </a:stretch>
                  </pic:blipFill>
                  <pic:spPr bwMode="auto">
                    <a:xfrm>
                      <a:off x="0" y="0"/>
                      <a:ext cx="529590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00" w:hanging="281"/>
        <w:spacing w:after="0"/>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Discovery, we screen compounds against biological assays to identify lead compounds.</w:t>
      </w:r>
    </w:p>
    <w:p>
      <w:pPr>
        <w:spacing w:after="0" w:line="120" w:lineRule="exact"/>
        <w:rPr>
          <w:rFonts w:ascii="Times New Roman" w:cs="Times New Roman" w:eastAsia="Times New Roman" w:hAnsi="Times New Roman"/>
          <w:sz w:val="20"/>
          <w:szCs w:val="20"/>
          <w:color w:val="auto"/>
        </w:rPr>
      </w:pPr>
    </w:p>
    <w:p>
      <w:pPr>
        <w:ind w:left="900" w:right="240" w:hanging="281"/>
        <w:spacing w:after="0" w:line="278"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Lead Optimization, we modify the lead compound to improve potency, selectivity, pharmacokinetic and toxicity parameters and physical chemical properties important for clinical development.</w:t>
      </w:r>
    </w:p>
    <w:p>
      <w:pPr>
        <w:spacing w:after="0" w:line="46" w:lineRule="exact"/>
        <w:rPr>
          <w:rFonts w:ascii="Times New Roman" w:cs="Times New Roman" w:eastAsia="Times New Roman" w:hAnsi="Times New Roman"/>
          <w:sz w:val="20"/>
          <w:szCs w:val="20"/>
          <w:color w:val="auto"/>
        </w:rPr>
      </w:pPr>
    </w:p>
    <w:p>
      <w:pPr>
        <w:ind w:left="900" w:right="160" w:hanging="280"/>
        <w:spacing w:after="0" w:line="278"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IND-Enabling Studies, we conduct preclinical studies, in accordance with Good Laboratory Practice, or GLP, required for an IND submission to the FDA.</w:t>
      </w:r>
    </w:p>
    <w:p>
      <w:pPr>
        <w:spacing w:after="0" w:line="198" w:lineRule="exact"/>
        <w:rPr>
          <w:sz w:val="20"/>
          <w:szCs w:val="20"/>
          <w:color w:val="auto"/>
        </w:rPr>
      </w:pPr>
    </w:p>
    <w:p>
      <w:pPr>
        <w:ind w:right="100" w:firstLine="619"/>
        <w:spacing w:after="0" w:line="247" w:lineRule="auto"/>
        <w:rPr>
          <w:sz w:val="20"/>
          <w:szCs w:val="20"/>
          <w:color w:val="auto"/>
        </w:rPr>
      </w:pPr>
      <w:r>
        <w:rPr>
          <w:rFonts w:ascii="Times New Roman" w:cs="Times New Roman" w:eastAsia="Times New Roman" w:hAnsi="Times New Roman"/>
          <w:sz w:val="20"/>
          <w:szCs w:val="20"/>
          <w:color w:val="auto"/>
        </w:rPr>
        <w:t>Our lead product candidate, rezatapopt, is designed to be an orally available small molecule that structurally corrects the mutant p53 protein with the Y220C mutation. The p53 Y220C mutation results from tyrosine being substituted by a cysteine at amino acid position 220 and is associated with approximately 1% of all cancers, including endometrial, breast, NSCLC, colorectal, and pancreatic cancers. In addition, the p53 Y220C mutation is found in approximately 3% of ovarian cancer cases. There are currently no products approved by the FDA that selectively target the p53 Y220C mutation.</w:t>
      </w:r>
    </w:p>
    <w:p>
      <w:pPr>
        <w:spacing w:after="0" w:line="20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Rezatapopt is designed to bind to the mutation site and structurally correct the misfolded p53 protein, while sparing wild-type p53. Our approach has yielded a highly selective product candidate, which we believe can maximize the potential therapeutic potency and minimize risk to normal functioning cells. In preclinical studies, rezatapopt has shown selective on-target activity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primarily functions in cells with the p53 Y220C mutation) and exhibited robust anti- tumor activity evidenced by potent tumor growth inhibition, or TGI, and strong tumor regression as a single agent.</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We initiated a Phase 1/2 clinical trial, PYNNACLE, in October 2020 for our lead product</w:t>
      </w:r>
    </w:p>
    <w:p>
      <w:pPr>
        <w:spacing w:after="0" w:line="28"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candidate, rezatapopt. Our strategy is to seek approval under an accelerated pathway, and we believe the Phase 2 portion of the PYNNACLE clinical trial has the potential to serve as a pivotal study. In October 2020, we were granted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Annual Meeting. We dosed our first patient in the pivotal Phase 2 monotherapy portion of the PYNNACLE study in the first quarter of 2024.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In March 2026, rezatapopt was granted ODD from the FDA for the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1420" w:right="1440" w:bottom="175" w:gutter="0" w:footer="0" w:header="0"/>
          <w:type w:val="continuous"/>
        </w:sectPr>
      </w:pPr>
    </w:p>
    <w:bookmarkStart w:id="8" w:name="page9"/>
    <w:bookmarkEnd w:id="8"/>
    <w:p>
      <w:pPr>
        <w:ind w:right="200"/>
        <w:spacing w:after="0" w:line="258" w:lineRule="auto"/>
        <w:rPr>
          <w:sz w:val="20"/>
          <w:szCs w:val="20"/>
          <w:color w:val="auto"/>
        </w:rPr>
      </w:pPr>
      <w:r>
        <w:rPr>
          <w:rFonts w:ascii="Times New Roman" w:cs="Times New Roman" w:eastAsia="Times New Roman" w:hAnsi="Times New Roman"/>
          <w:sz w:val="20"/>
          <w:szCs w:val="20"/>
          <w:color w:val="auto"/>
        </w:rPr>
        <w:t>treatment of TP53 Y220C positive ovarian cancer, fallopian tube cancer, and primary peritoneal cancer. We plan to submit an NDA for the treatment of patients with platinum-resistant/refractory ovarian cancer harboring a TP53 Y220C mutation to the FDA for rezatapopt in the first quarter of 2027.</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43"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Our vision is to become a leading precision oncology company by designing, developing and commercializing novel precision medicines for every patient with a p53-driven tumor. We believe we are well positioned to leverage our deep experience in p53 biology, precision oncology platform and foundational knowledge acquired through our lead program to bring these therapies to patients. The critical components of our strategy include:</w:t>
      </w:r>
    </w:p>
    <w:p>
      <w:pPr>
        <w:spacing w:after="0" w:line="87" w:lineRule="exact"/>
        <w:rPr>
          <w:sz w:val="20"/>
          <w:szCs w:val="20"/>
          <w:color w:val="auto"/>
        </w:rPr>
      </w:pPr>
    </w:p>
    <w:p>
      <w:pPr>
        <w:ind w:left="900" w:hanging="281"/>
        <w:spacing w:after="0" w:line="257" w:lineRule="auto"/>
        <w:tabs>
          <w:tab w:leader="none" w:pos="90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Advancing our lead product candidate, rezatapopt, as a tumor-agnostic, oral small molecule therapy for cancer patients</w:t>
      </w:r>
      <w:r>
        <w:rPr>
          <w:rFonts w:ascii="Times New Roman" w:cs="Times New Roman" w:eastAsia="Times New Roman" w:hAnsi="Times New Roman"/>
          <w:sz w:val="19"/>
          <w:szCs w:val="19"/>
          <w:color w:val="auto"/>
        </w:rPr>
        <w:t>. We have designed rezatapopt to be an orally available, tumor-agnostic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therapeutic and, if approved, we believe it could become the first agent to address the p53 Y220C mutation-defined patient population. In October 2020, we initiated a Phase 1/2 clinical trial for rezatapopt in multiple solid tumors with the p53 Y220C mutation. We are conducting our clinical trials in this genomically-defined patient population and leveraging learnings from recently approved tumor-agnostic drugs to inform the clinical and regulatory pathways for rezatapopt. In October 2023, we presented our Phase 1 clinical data for rezatapopt and observed partial responses across multiple tumor types. The pivotal Phase 2 monotherapy portion of our PYNNACLE trial was initiated in the first quarter of 2024.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We plan to submit an NDA for the treatment of patients with platinum-resistant/refractory ovarian cancer harboring a TP53 Y220C mutation to the FDA for rezatapopt in the first quarter of 2027.</w:t>
      </w:r>
    </w:p>
    <w:p>
      <w:pPr>
        <w:spacing w:after="0" w:line="79" w:lineRule="exact"/>
        <w:rPr>
          <w:rFonts w:ascii="Arial" w:cs="Arial" w:eastAsia="Arial" w:hAnsi="Arial"/>
          <w:sz w:val="19"/>
          <w:szCs w:val="19"/>
          <w:color w:val="auto"/>
        </w:rPr>
      </w:pPr>
    </w:p>
    <w:p>
      <w:pPr>
        <w:ind w:left="900" w:right="20" w:hanging="281"/>
        <w:spacing w:after="0" w:line="257" w:lineRule="auto"/>
        <w:tabs>
          <w:tab w:leader="none" w:pos="90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Leveraging the advantages of precision medicine and our expertise in p53 biology to pursue accelerated approval of our product candidates</w:t>
      </w:r>
      <w:r>
        <w:rPr>
          <w:rFonts w:ascii="Times New Roman" w:cs="Times New Roman" w:eastAsia="Times New Roman" w:hAnsi="Times New Roman"/>
          <w:sz w:val="19"/>
          <w:szCs w:val="19"/>
          <w:color w:val="auto"/>
        </w:rPr>
        <w:t>. For our lead product candidate, rezatapopt, we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actively working with physicians and leading clinical trial institutions to enroll patients with the p53 Y220C mutation identified via NGS in our Phase 2 clinical trial. In order to rapidly confirm mechanistic and clinical proof of concept, we utilize assays to measure target engagement and biomarkers, as well as assess clinical responses in patients. We expect this strategy, which we also plan to replicate for our other future product candidates, will enable a rapid determination of target engagement and has the potential to serve as a predictive marker of efficacy, thereby providing clear decision points for clinical development and efficient advancement of our product candidates towards approval. Based on our encouraging PYNNACLE clinical trial results, we plan to seek breakthrough therapy designation from the FDA for rezatapopt, which, if granted, is intended to expedite clinical development and regulatory review. We intend to maximize the benefit of our product candidates by pursuing a tumor-agnostic approach.</w:t>
      </w:r>
    </w:p>
    <w:p>
      <w:pPr>
        <w:spacing w:after="0" w:line="85" w:lineRule="exact"/>
        <w:rPr>
          <w:rFonts w:ascii="Arial" w:cs="Arial" w:eastAsia="Arial" w:hAnsi="Arial"/>
          <w:sz w:val="19"/>
          <w:szCs w:val="19"/>
          <w:color w:val="auto"/>
        </w:rPr>
      </w:pPr>
    </w:p>
    <w:p>
      <w:pPr>
        <w:ind w:left="900" w:hanging="281"/>
        <w:spacing w:after="0" w:line="243" w:lineRule="auto"/>
        <w:tabs>
          <w:tab w:leader="none" w:pos="9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Identifying and exploring combination therapy approaches for our product candidates</w:t>
      </w:r>
      <w:r>
        <w:rPr>
          <w:rFonts w:ascii="Times New Roman" w:cs="Times New Roman" w:eastAsia="Times New Roman" w:hAnsi="Times New Roman"/>
          <w:sz w:val="20"/>
          <w:szCs w:val="20"/>
          <w:color w:val="auto"/>
        </w:rPr>
        <w:t>. Though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rezatapopt has demonstrated clear and robust tumor regression as a single agent in preclinical animal models and clinical proof of concept, we believe that the mechanism of correcting the structure of mutant p53 can be complementary to other oncology therapies. Leveraging our expertise in p53 biology, chemistry and cancer pharmacology, we plan to identify and explore combination strategies with multiple cancer therapies. For example, chemotherapy and radiation therapy, approaches that result in deoxyribonucleic acid, or DNA, damage and upregulate p53 are natural candidates for combining with our product candidates. In addition, we believe that p53 plays a role in influencing the tumor microenvironment. Therefore, bevacizumab, pan-KRAS inhibitors, PI3K inhibitors and immune checkpoint inhibitors could also be considered as potential combination agents for use with our product candidates. We believe that our unique expertise will enable us to prioritize therapeutic strategies and optimize outcomes for clinical studies.</w:t>
      </w:r>
    </w:p>
    <w:p>
      <w:pPr>
        <w:spacing w:after="0" w:line="99" w:lineRule="exact"/>
        <w:rPr>
          <w:rFonts w:ascii="Arial" w:cs="Arial" w:eastAsia="Arial" w:hAnsi="Arial"/>
          <w:sz w:val="20"/>
          <w:szCs w:val="20"/>
          <w:color w:val="auto"/>
        </w:rPr>
      </w:pPr>
    </w:p>
    <w:p>
      <w:pPr>
        <w:ind w:left="900" w:right="520" w:hanging="281"/>
        <w:spacing w:after="0" w:line="280" w:lineRule="auto"/>
        <w:tabs>
          <w:tab w:leader="none" w:pos="90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 xml:space="preserve">Harnessing the power of our precision oncology platform to discover and develop additional differentiated product candidates. </w:t>
      </w:r>
      <w:r>
        <w:rPr>
          <w:rFonts w:ascii="Times New Roman" w:cs="Times New Roman" w:eastAsia="Times New Roman" w:hAnsi="Times New Roman"/>
          <w:sz w:val="19"/>
          <w:szCs w:val="19"/>
          <w:color w:val="auto"/>
        </w:rPr>
        <w:t>Using our extensive in-house expertise, deep understanding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chemistry and decades of experience researching the p53 protein, we believe that we will be able to</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1420" w:right="1440" w:bottom="175" w:gutter="0" w:footer="0" w:header="0"/>
        </w:sectPr>
      </w:pPr>
    </w:p>
    <w:bookmarkStart w:id="9" w:name="page10"/>
    <w:bookmarkEnd w:id="9"/>
    <w:p>
      <w:pPr>
        <w:ind w:left="900" w:right="360"/>
        <w:spacing w:after="0" w:line="277" w:lineRule="auto"/>
        <w:rPr>
          <w:sz w:val="20"/>
          <w:szCs w:val="20"/>
          <w:color w:val="auto"/>
        </w:rPr>
      </w:pPr>
      <w:r>
        <w:rPr>
          <w:rFonts w:ascii="Times New Roman" w:cs="Times New Roman" w:eastAsia="Times New Roman" w:hAnsi="Times New Roman"/>
          <w:sz w:val="20"/>
          <w:szCs w:val="20"/>
          <w:color w:val="auto"/>
        </w:rPr>
        <w:t>leverage and apply foundational knowledge from the advancement of rezatapopt to the discovery and development of additional product candidates.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Background on Targeted Therapies</w:t>
      </w:r>
    </w:p>
    <w:p>
      <w:pPr>
        <w:spacing w:after="0" w:line="238" w:lineRule="exact"/>
        <w:rPr>
          <w:sz w:val="20"/>
          <w:szCs w:val="20"/>
          <w:color w:val="auto"/>
        </w:rPr>
      </w:pPr>
    </w:p>
    <w:p>
      <w:pPr>
        <w:ind w:right="180" w:firstLine="634"/>
        <w:spacing w:after="0" w:line="242" w:lineRule="auto"/>
        <w:rPr>
          <w:sz w:val="20"/>
          <w:szCs w:val="20"/>
          <w:color w:val="auto"/>
        </w:rPr>
      </w:pPr>
      <w:r>
        <w:rPr>
          <w:rFonts w:ascii="Times New Roman" w:cs="Times New Roman" w:eastAsia="Times New Roman" w:hAnsi="Times New Roman"/>
          <w:sz w:val="20"/>
          <w:szCs w:val="20"/>
          <w:color w:val="auto"/>
        </w:rPr>
        <w:t>Cancer is a genomic disease that results from changes in a person’s DNA that causes cells to grow and divide uncontrollably. Genes are the distinct segments in a cell’s DNA that can encode proteins with structural or functional roles in the body. Alterations in some genes can lead to the expression of mutant proteins with impaired or abnormal functions that can cause cancer. Cancer has historically been both diagnosed and treated based on a tumor’s organ site, such as the breast, lung, ovary, brain, pancreas, skin, bone or blood.</w:t>
      </w:r>
    </w:p>
    <w:p>
      <w:pPr>
        <w:spacing w:after="0" w:line="193" w:lineRule="exact"/>
        <w:rPr>
          <w:sz w:val="20"/>
          <w:szCs w:val="20"/>
          <w:color w:val="auto"/>
        </w:rPr>
      </w:pPr>
    </w:p>
    <w:p>
      <w:pPr>
        <w:ind w:right="20" w:firstLine="620"/>
        <w:spacing w:after="0" w:line="230" w:lineRule="auto"/>
        <w:rPr>
          <w:sz w:val="20"/>
          <w:szCs w:val="20"/>
          <w:color w:val="auto"/>
        </w:rPr>
      </w:pPr>
      <w:r>
        <w:rPr>
          <w:rFonts w:ascii="Times New Roman" w:cs="Times New Roman" w:eastAsia="Times New Roman" w:hAnsi="Times New Roman"/>
          <w:sz w:val="20"/>
          <w:szCs w:val="20"/>
          <w:color w:val="auto"/>
        </w:rPr>
        <w:t>Recent advances in genomic sequencing and a better understanding of the genomic alterations that drive tumor development and growth have facilitated precise, gene and protein -specific drug development, known as targeted therapies. Targeted therapies have the potential to transform the treatment of some cancers by providing robust clinical benefit to patients. In notable cases, the clinical outcomes have been dramatic enough to support expedited regulatory approval of these therapies. For example, Retevmo in RET-altered NSCLC and thyroid cancers (Lilly/Loxo); Ayvakit, in platelet-derived growth factor receptor alpha exon 18 mutated advanced gastrointestinal stromal tumor, or GIST (Blueprint); Rozlytrek, in solid tumors with a neurotrophic tropomyosin receptor kinase, or NTRK, gene fusion (Roche); Vitrakvi, in solid tumors with an NTRK gene fusion (Bayer/Loxo); Zykadia, in anaplastic lymphoma kinase-positive, or ALK+, advanced NSCLC (Novartis); Zelboraf, in advanced melanoma with a BRAF V600E mutation (Roche Genentech); Xalkori, in ALK+ advanced NSCLC (Pfizer); Tagrisso, in epidermal growth factor receptor mutation-positive, or EGFR+, advanced NSCLC (AstraZeneca); Qinlock, in GIST (Ono/Deciphera); Krazati and Lumakras in KRAS G12C mutated NSCLC (BMS/Mirati and Amgen); Augtyro in ROS1 positive NSCLC tumors (BMS/Turning Point); and Bizengri in NSCLC and pancreatic tumors with a NRG1-positive gene fusion (Merus) all received approvals within five years of first dosing in humans. This time period is significantly reduced compared to conventional drug development timelines. Despite this progress, a recent analysis found that only 16% of patients with metastatic cancer have tumors with genomic profiles eligible for treatment with an approved targeted agent, which leaves a large opportunity for precision oncology.</w:t>
      </w:r>
    </w:p>
    <w:p>
      <w:pPr>
        <w:spacing w:after="0" w:line="208" w:lineRule="exact"/>
        <w:rPr>
          <w:sz w:val="20"/>
          <w:szCs w:val="20"/>
          <w:color w:val="auto"/>
        </w:rPr>
      </w:pPr>
    </w:p>
    <w:p>
      <w:pPr>
        <w:ind w:right="40" w:firstLine="619"/>
        <w:spacing w:after="0" w:line="231" w:lineRule="auto"/>
        <w:rPr>
          <w:sz w:val="20"/>
          <w:szCs w:val="20"/>
          <w:color w:val="auto"/>
        </w:rPr>
      </w:pPr>
      <w:r>
        <w:rPr>
          <w:rFonts w:ascii="Times New Roman" w:cs="Times New Roman" w:eastAsia="Times New Roman" w:hAnsi="Times New Roman"/>
          <w:sz w:val="20"/>
          <w:szCs w:val="20"/>
          <w:color w:val="auto"/>
        </w:rPr>
        <w:t>There is an emerging change in the development of targeted therapies, in that cancer is increasingly being targeted through a tumor-agnostic approach with a focus on selectively targeting a genetic or protein mutation, irrespective of tumor type. For example, there are now multiple tumor-agnostic product approvals that are based on a genomic mutation that defines the disease, as opposed to the tumor type. These include the aforementioned Vitrakvi, Rozlytrek and Augtyro approvals in NTRK gene fusion-positive solid tumors, as well as KEYTRUDA and Jemperli, respectively, approval in metastatic microsatellite instability-high or deficient mismatch repair solid tumors. KEYTRUDA is also approved in tumor mutational burden-high-(TMB-H) solid tumors. In addition, the combination of Taflinar and Mekinist was approved for BRAF V600E mutation positive unresectable or metastatic solid tumors (with the exception of colorectal cancer). In addition, Retevmo was approved for RET gene fusion-positive solid tumors and Enhertu was approved for HER2-Positive (IHC 3+) unresectable or metastatic solid tumors. We believe that these approvals represent a fundamental shift in the development of targeted therapies and will increasingly lead to cancer being characterized for treatment in a genomic, rather than in a tumor-specific, manner, based on a biological rationale.</w:t>
      </w:r>
    </w:p>
    <w:p>
      <w:pPr>
        <w:spacing w:after="0" w:line="203" w:lineRule="exact"/>
        <w:rPr>
          <w:sz w:val="20"/>
          <w:szCs w:val="20"/>
          <w:color w:val="auto"/>
        </w:rPr>
      </w:pPr>
    </w:p>
    <w:p>
      <w:pPr>
        <w:ind w:firstLine="619"/>
        <w:spacing w:after="0" w:line="235" w:lineRule="auto"/>
        <w:rPr>
          <w:sz w:val="20"/>
          <w:szCs w:val="20"/>
          <w:color w:val="auto"/>
        </w:rPr>
      </w:pPr>
      <w:r>
        <w:rPr>
          <w:rFonts w:ascii="Times New Roman" w:cs="Times New Roman" w:eastAsia="Times New Roman" w:hAnsi="Times New Roman"/>
          <w:sz w:val="20"/>
          <w:szCs w:val="20"/>
          <w:color w:val="auto"/>
        </w:rPr>
        <w:t>The widespread recognition that cancer is a genomic disease, as much as it is a disease defined by histology or anatomical location, has driven the increased use of genomic sequencing, which is now employed by approximately 75% of oncologists in the United States. As DNA sequencing technology advances, the availability of well-defined genomic sequencing tests increases. With the increasing number of approved targeted therapies, we believe that physicians will seek a better understanding of the underlying genetic and protein abnormalities associated with a specific type of cancer in order to determine the optimal course of treatment. Advances in genomic sequencing are leading to transformations in the discovery and development of new targeted oncology drugs.</w:t>
      </w:r>
    </w:p>
    <w:p>
      <w:pPr>
        <w:spacing w:after="0" w:line="194" w:lineRule="exact"/>
        <w:rPr>
          <w:sz w:val="20"/>
          <w:szCs w:val="20"/>
          <w:color w:val="auto"/>
        </w:rPr>
      </w:pPr>
    </w:p>
    <w:p>
      <w:pPr>
        <w:ind w:firstLine="619"/>
        <w:spacing w:after="0" w:line="237" w:lineRule="auto"/>
        <w:rPr>
          <w:sz w:val="20"/>
          <w:szCs w:val="20"/>
          <w:color w:val="auto"/>
        </w:rPr>
      </w:pPr>
      <w:r>
        <w:rPr>
          <w:rFonts w:ascii="Times New Roman" w:cs="Times New Roman" w:eastAsia="Times New Roman" w:hAnsi="Times New Roman"/>
          <w:sz w:val="20"/>
          <w:szCs w:val="20"/>
          <w:color w:val="auto"/>
        </w:rPr>
        <w:t>We believe p53 mutations are prime targets for precision oncology, as more than 50% of all human cancers contain a p53 mutation. Identifying the specific p53 gene mutation and structurally correcting the corresponding mutant p53 protein can potentially serve as a basis of treatment for these cancers. Diagnostic tests are currently used by physicians in their practice to identify patients with p53 mutations. Given the high prevalence of p53 mutations in cancers, we believe that an effective way to address p53-driven cancers is by targeting individual p53 mutations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1420" w:right="1440" w:bottom="175" w:gutter="0" w:footer="0" w:header="0"/>
        </w:sectPr>
      </w:pPr>
    </w:p>
    <w:bookmarkStart w:id="10" w:name="page11"/>
    <w:bookmarkEnd w:id="10"/>
    <w:p>
      <w:pPr>
        <w:spacing w:after="0" w:line="266" w:lineRule="auto"/>
        <w:rPr>
          <w:sz w:val="20"/>
          <w:szCs w:val="20"/>
          <w:color w:val="auto"/>
        </w:rPr>
      </w:pPr>
      <w:r>
        <w:rPr>
          <w:rFonts w:ascii="Times New Roman" w:cs="Times New Roman" w:eastAsia="Times New Roman" w:hAnsi="Times New Roman"/>
          <w:sz w:val="20"/>
          <w:szCs w:val="20"/>
          <w:color w:val="auto"/>
        </w:rPr>
        <w:t>using a precision oncology approach and significantly expanding the scope of patients who can benefit from targeted therapies.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Our Product Candidate and Development Programs</w:t>
      </w:r>
    </w:p>
    <w:p>
      <w:pPr>
        <w:spacing w:after="0" w:line="243" w:lineRule="exact"/>
        <w:rPr>
          <w:sz w:val="20"/>
          <w:szCs w:val="20"/>
          <w:color w:val="auto"/>
        </w:rPr>
      </w:pPr>
    </w:p>
    <w:p>
      <w:pPr>
        <w:ind w:right="100" w:firstLine="619"/>
        <w:spacing w:after="0" w:line="259" w:lineRule="auto"/>
        <w:rPr>
          <w:sz w:val="20"/>
          <w:szCs w:val="20"/>
          <w:color w:val="auto"/>
        </w:rPr>
      </w:pPr>
      <w:r>
        <w:rPr>
          <w:rFonts w:ascii="Times New Roman" w:cs="Times New Roman" w:eastAsia="Times New Roman" w:hAnsi="Times New Roman"/>
          <w:sz w:val="20"/>
          <w:szCs w:val="20"/>
          <w:color w:val="auto"/>
        </w:rPr>
        <w:t>We are leveraging our precision oncology platform to develop a pipeline of oral small molecule product candidates. We own worldwide commercial rights to all of our programs.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299720</wp:posOffset>
            </wp:positionV>
            <wp:extent cx="5295900" cy="2425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extLst>
                    </a:blip>
                    <a:srcRect/>
                    <a:stretch>
                      <a:fillRect/>
                    </a:stretch>
                  </pic:blipFill>
                  <pic:spPr bwMode="auto">
                    <a:xfrm>
                      <a:off x="0" y="0"/>
                      <a:ext cx="529590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00" w:hanging="281"/>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Discovery, we screen compounds against biological assays to identify lead compounds.</w:t>
      </w:r>
    </w:p>
    <w:p>
      <w:pPr>
        <w:spacing w:after="0" w:line="120" w:lineRule="exact"/>
        <w:rPr>
          <w:rFonts w:ascii="Times New Roman" w:cs="Times New Roman" w:eastAsia="Times New Roman" w:hAnsi="Times New Roman"/>
          <w:sz w:val="20"/>
          <w:szCs w:val="20"/>
          <w:color w:val="auto"/>
        </w:rPr>
      </w:pPr>
    </w:p>
    <w:p>
      <w:pPr>
        <w:ind w:left="900" w:right="240" w:hanging="281"/>
        <w:spacing w:after="0" w:line="278" w:lineRule="auto"/>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Lead Optimization, we modify the lead compound to improve potency, selectivity, pharmacokinetic and toxicity parameters and physical chemical properties important for clinical development.</w:t>
      </w:r>
    </w:p>
    <w:p>
      <w:pPr>
        <w:spacing w:after="0" w:line="46" w:lineRule="exact"/>
        <w:rPr>
          <w:rFonts w:ascii="Times New Roman" w:cs="Times New Roman" w:eastAsia="Times New Roman" w:hAnsi="Times New Roman"/>
          <w:sz w:val="20"/>
          <w:szCs w:val="20"/>
          <w:color w:val="auto"/>
        </w:rPr>
      </w:pPr>
    </w:p>
    <w:p>
      <w:pPr>
        <w:ind w:left="900" w:right="260" w:hanging="280"/>
        <w:spacing w:after="0" w:line="278" w:lineRule="auto"/>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IND-Enabling Studies, we conduct preclinical studies, in accordance with GLP required for an IND submission to the FDA.</w:t>
      </w:r>
    </w:p>
    <w:p>
      <w:pPr>
        <w:spacing w:after="0" w:line="168" w:lineRule="exact"/>
        <w:rPr>
          <w:sz w:val="20"/>
          <w:szCs w:val="20"/>
          <w:color w:val="auto"/>
        </w:rPr>
      </w:pPr>
    </w:p>
    <w:p>
      <w:pPr>
        <w:ind w:firstLine="620"/>
        <w:spacing w:after="0" w:line="243" w:lineRule="auto"/>
        <w:rPr>
          <w:sz w:val="20"/>
          <w:szCs w:val="20"/>
          <w:color w:val="auto"/>
        </w:rPr>
      </w:pPr>
      <w:r>
        <w:rPr>
          <w:rFonts w:ascii="Times New Roman" w:cs="Times New Roman" w:eastAsia="Times New Roman" w:hAnsi="Times New Roman"/>
          <w:sz w:val="20"/>
          <w:szCs w:val="20"/>
          <w:color w:val="auto"/>
        </w:rPr>
        <w:t>We expect to initially seek approval of our product candidates in most instances, including with rezatapopt, at least as a second line therapy or for patients with no satisfactory alternative treatments or where the cancer has progressed following other treatment. Subsequently, depending on the nature of the clinical data and experience with any approved products or product candidates, if any, we may pursue approval as an earlier line therapy and potentially as a first line therapy. Cancer therapies are sometimes characterized as first line, second line or third line, and the FDA customarily approves new therapies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therapies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w:t>
      </w:r>
    </w:p>
    <w:p>
      <w:pPr>
        <w:sectPr>
          <w:pgSz w:w="12240" w:h="15840" w:orient="portrait"/>
          <w:cols w:equalWidth="0" w:num="1">
            <w:col w:w="9360"/>
          </w:cols>
          <w:pgMar w:left="1440" w:top="1411"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1411" w:right="1440" w:bottom="175" w:gutter="0" w:footer="0" w:header="0"/>
          <w:type w:val="continuous"/>
        </w:sectPr>
      </w:pPr>
    </w:p>
    <w:bookmarkStart w:id="11" w:name="page12"/>
    <w:bookmarkEnd w:id="11"/>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Rezatapopt: A Selective Structural Corrector of p53 Y220C Mutations</w:t>
      </w:r>
    </w:p>
    <w:p>
      <w:pPr>
        <w:spacing w:after="0" w:line="119" w:lineRule="exact"/>
        <w:rPr>
          <w:sz w:val="20"/>
          <w:szCs w:val="20"/>
          <w:color w:val="auto"/>
        </w:rPr>
      </w:pPr>
    </w:p>
    <w:p>
      <w:pPr>
        <w:ind w:right="140" w:firstLine="619"/>
        <w:spacing w:after="0" w:line="247" w:lineRule="auto"/>
        <w:rPr>
          <w:sz w:val="20"/>
          <w:szCs w:val="20"/>
          <w:color w:val="auto"/>
        </w:rPr>
      </w:pPr>
      <w:r>
        <w:rPr>
          <w:rFonts w:ascii="Times New Roman" w:cs="Times New Roman" w:eastAsia="Times New Roman" w:hAnsi="Times New Roman"/>
          <w:sz w:val="20"/>
          <w:szCs w:val="20"/>
          <w:color w:val="auto"/>
        </w:rPr>
        <w:t>P53 is the most widely mutated gene in human cancers. The vast majority of these mutations occur as a result of missense mutations that are found in the DNA binding domain. P53 Y220C mutations are found in approximately 1% of all cancers and approximately 3% of ovarian cancers. This particular mutation is expressed in a large variety of solid tumors, including endometrial, breast, NSCLC, colorectal and pancreatic cancers. Our lead product candidate, rezatapopt, is designed to be an orally available small molecule that structurally corrects a p53 protein containing the Y220C mutation and restores wild-type p53 function.</w:t>
      </w:r>
    </w:p>
    <w:p>
      <w:pPr>
        <w:spacing w:after="0" w:line="200" w:lineRule="exact"/>
        <w:rPr>
          <w:sz w:val="20"/>
          <w:szCs w:val="20"/>
          <w:color w:val="auto"/>
        </w:rPr>
      </w:pPr>
    </w:p>
    <w:p>
      <w:pPr>
        <w:ind w:right="40" w:firstLine="620"/>
        <w:spacing w:after="0" w:line="246" w:lineRule="auto"/>
        <w:rPr>
          <w:sz w:val="20"/>
          <w:szCs w:val="20"/>
          <w:color w:val="auto"/>
        </w:rPr>
      </w:pPr>
      <w:r>
        <w:rPr>
          <w:rFonts w:ascii="Times New Roman" w:cs="Times New Roman" w:eastAsia="Times New Roman" w:hAnsi="Times New Roman"/>
          <w:sz w:val="20"/>
          <w:szCs w:val="20"/>
          <w:color w:val="auto"/>
        </w:rPr>
        <w:t>Wild-type p53 in a normal cell is at low to undetectable levels, but an external insult such as UV radiation or exposure to a carcinogen results in activation and upregulation of the protein. In these instances, wild-type p53 pauses the cell-cycle to survey the integrity of the genome, and if the damage to the genome cannot be repaired, wild-type p53 induces a potent program of cell suicide or programed cell death. Given wild-type p53’s profound ability to induce cell death, it is tightly regulated in normal biology by an auto-regulatory loop with MDM2, a downstream induced target of wild-type p53 transcriptional activation. MDM2 production results in degradation of the wild-type p53 protein and re-sets the cell to normal function.</w:t>
      </w:r>
    </w:p>
    <w:p>
      <w:pPr>
        <w:spacing w:after="0" w:line="201" w:lineRule="exact"/>
        <w:rPr>
          <w:sz w:val="20"/>
          <w:szCs w:val="20"/>
          <w:color w:val="auto"/>
        </w:rPr>
      </w:pPr>
    </w:p>
    <w:p>
      <w:pPr>
        <w:ind w:right="20" w:firstLine="620"/>
        <w:spacing w:after="0" w:line="252" w:lineRule="auto"/>
        <w:rPr>
          <w:sz w:val="20"/>
          <w:szCs w:val="20"/>
          <w:color w:val="auto"/>
        </w:rPr>
      </w:pPr>
      <w:r>
        <w:rPr>
          <w:rFonts w:ascii="Times New Roman" w:cs="Times New Roman" w:eastAsia="Times New Roman" w:hAnsi="Times New Roman"/>
          <w:sz w:val="20"/>
          <w:szCs w:val="20"/>
          <w:color w:val="auto"/>
        </w:rPr>
        <w:t>In the case of a mutant p53, there is a loss of p53 wild-type tumor suppression function due to a loss of downstream wild-type p53 transcriptional activation, including MDM2 induction. A consequence of this dysregulation is the inability of the cancer cell to degrade mutant forms of p53, resulting in a profound accumulation of mutant p53 protein in the cancer cell.</w:t>
      </w:r>
    </w:p>
    <w:p>
      <w:pPr>
        <w:spacing w:after="0" w:line="229" w:lineRule="exact"/>
        <w:rPr>
          <w:sz w:val="20"/>
          <w:szCs w:val="20"/>
          <w:color w:val="auto"/>
        </w:rPr>
      </w:pPr>
    </w:p>
    <w:p>
      <w:pPr>
        <w:ind w:right="100" w:firstLine="619"/>
        <w:spacing w:after="0" w:line="249" w:lineRule="auto"/>
        <w:rPr>
          <w:sz w:val="20"/>
          <w:szCs w:val="20"/>
          <w:color w:val="auto"/>
        </w:rPr>
      </w:pPr>
      <w:r>
        <w:rPr>
          <w:rFonts w:ascii="Times New Roman" w:cs="Times New Roman" w:eastAsia="Times New Roman" w:hAnsi="Times New Roman"/>
          <w:sz w:val="20"/>
          <w:szCs w:val="20"/>
          <w:color w:val="auto"/>
        </w:rPr>
        <w:t>While treatment options such as surgery, chemotherapy, radiotherapy and immuno-therapy are available for endometrial, breast, NSCLC, colorectal, pancreatic and ovarian cancer, there are no approved precision oncology therapies for the subset of patients with the p53 Y220C mutation. The availability of an oral small molecule selective for the p53 Y220C mutation may offer a novel precision therapy for this population, which we believe could potentially change the treatment paradigm for such patients.</w:t>
      </w:r>
    </w:p>
    <w:p>
      <w:pPr>
        <w:spacing w:after="0" w:line="3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Clinical Development Plan of Rezatapopt</w:t>
      </w:r>
    </w:p>
    <w:p>
      <w:pPr>
        <w:spacing w:after="0" w:line="120" w:lineRule="exact"/>
        <w:rPr>
          <w:sz w:val="20"/>
          <w:szCs w:val="20"/>
          <w:color w:val="auto"/>
        </w:rPr>
      </w:pPr>
    </w:p>
    <w:p>
      <w:pPr>
        <w:ind w:right="180" w:firstLine="619"/>
        <w:spacing w:after="0" w:line="252" w:lineRule="auto"/>
        <w:rPr>
          <w:sz w:val="20"/>
          <w:szCs w:val="20"/>
          <w:color w:val="auto"/>
        </w:rPr>
      </w:pPr>
      <w:r>
        <w:rPr>
          <w:rFonts w:ascii="Times New Roman" w:cs="Times New Roman" w:eastAsia="Times New Roman" w:hAnsi="Times New Roman"/>
          <w:sz w:val="20"/>
          <w:szCs w:val="20"/>
          <w:color w:val="auto"/>
        </w:rPr>
        <w:t>We initiated a Phase 1/2 clinical trial, PYNNACLE, for rezatapopt in October 2020. In addition, we were granted FDA Fast Track designation of rezatapopt for the treatment of patients with locally advanced or metastatic solid tumors with a p53 Y220C mutation in October 2020. We dosed our first patient in this clinical trial in the fourth quarter of 2020.</w:t>
      </w:r>
    </w:p>
    <w:p>
      <w:pPr>
        <w:spacing w:after="0" w:line="225" w:lineRule="exact"/>
        <w:rPr>
          <w:sz w:val="20"/>
          <w:szCs w:val="20"/>
          <w:color w:val="auto"/>
        </w:rPr>
      </w:pPr>
    </w:p>
    <w:p>
      <w:pPr>
        <w:ind w:right="140" w:firstLine="619"/>
        <w:spacing w:after="0" w:line="234" w:lineRule="exact"/>
        <w:rPr>
          <w:sz w:val="20"/>
          <w:szCs w:val="20"/>
          <w:color w:val="auto"/>
        </w:rPr>
      </w:pPr>
      <w:r>
        <w:rPr>
          <w:rFonts w:ascii="Times New Roman" w:cs="Times New Roman" w:eastAsia="Times New Roman" w:hAnsi="Times New Roman"/>
          <w:sz w:val="20"/>
          <w:szCs w:val="20"/>
          <w:color w:val="auto"/>
        </w:rPr>
        <w:t>In July 2023, we concluded our End of Phase 1 meeting with the FDA with alignment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Meeting. We dosed our first patient in the pivotal Phase 2 monotherapy portion of the PYNNACLE study in the first quarter of 2024. In September 2025, we announced interim data from the Phase 2 pivotal</w:t>
      </w: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portion</w:t>
      </w: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of the PYNNACLE clinical trial, which was updated in October 2025 in a late-breaking oral presentation and poster presentation at the 2025 AACR-NCI-EORTC International Conference on Molecular Targets and Cancer Therapeutics Meeting.</w:t>
      </w:r>
    </w:p>
    <w:p>
      <w:pPr>
        <w:spacing w:after="0" w:line="239"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The updated Phase 2 data, as of a September 4, 2025 data cutoff date, included efficacy population consisting of 103 patients treated with at least one dose of rezatapopt 2000 mg daily, who either had one or more post-baseline tumor assessment or discontinued treatment early. Confirmed responses were observed in patients whose tumors were p53 Y220C mutated and KRAS wild-type in eight tumor types, including ovarian, lung, breast, endometrial, head and neck, colorectal, gallbladder, and ampullary carcinoma. These efficacy evaluable patients had an overall response rate (ORR) of 34% (35/103 patients) per investigator assessment according to Response Evaluation Criteria in Solid Tumors (RECIST) version 1.1, including confirmed and unconfirmed responses, and the ovarian cancer cohort ORR was 46% ORR (22/48 patients, including one confirmed complete response, 18 confirmed partial responses, and three unconfirmed partial responses). Across all cohorts, the median time to response was 1.3 months and median duration of response was 7.6 months. In the ovarian cancer cohort, the median time to response was 1.3 months and median duration of response was 8.0 months.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1420" w:right="1440" w:bottom="175"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914400</wp:posOffset>
            </wp:positionV>
            <wp:extent cx="5943600" cy="3209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943600" cy="3209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0" w:firstLine="619"/>
        <w:spacing w:after="0" w:line="252" w:lineRule="auto"/>
        <w:rPr>
          <w:sz w:val="20"/>
          <w:szCs w:val="20"/>
          <w:color w:val="auto"/>
        </w:rPr>
      </w:pPr>
      <w:r>
        <w:rPr>
          <w:rFonts w:ascii="Times New Roman" w:cs="Times New Roman" w:eastAsia="Times New Roman" w:hAnsi="Times New Roman"/>
          <w:sz w:val="20"/>
          <w:szCs w:val="20"/>
          <w:color w:val="auto"/>
        </w:rPr>
        <w:t>Rezatapopt was observed to be generally well-tolerated (across 112 patients treated with rezatapopt monotherapy as of September 4, 2025). The majority of adverse events were mild or moderate (Grade 1 or 2) in severity with the most frequent adverse events being nausea, vomiting, aspartate transaminase, or AST, alanine transaminase, or ALT, increase, anemia, blood creatinine increase and fatigue.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Pipeline Programs</w:t>
      </w:r>
    </w:p>
    <w:p>
      <w:pPr>
        <w:spacing w:after="0" w:line="244" w:lineRule="exact"/>
        <w:rPr>
          <w:sz w:val="20"/>
          <w:szCs w:val="20"/>
          <w:color w:val="auto"/>
        </w:rPr>
      </w:pPr>
    </w:p>
    <w:p>
      <w:pPr>
        <w:jc w:val="both"/>
        <w:ind w:right="540" w:firstLine="619"/>
        <w:spacing w:after="0" w:line="258" w:lineRule="auto"/>
        <w:rPr>
          <w:sz w:val="20"/>
          <w:szCs w:val="20"/>
          <w:color w:val="auto"/>
        </w:rPr>
      </w:pPr>
      <w:r>
        <w:rPr>
          <w:rFonts w:ascii="Times New Roman" w:cs="Times New Roman" w:eastAsia="Times New Roman" w:hAnsi="Times New Roman"/>
          <w:sz w:val="20"/>
          <w:szCs w:val="20"/>
          <w:color w:val="auto"/>
        </w:rPr>
        <w:t>In addition to our rezatapopt program, we are focused on developing a pipeline of product candidates targeting other p53 mutations or p53-related targets. These programs have been developed using our precision oncology platform and expertise.</w:t>
      </w:r>
    </w:p>
    <w:p>
      <w:pPr>
        <w:spacing w:after="0" w:line="188"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20"/>
          <w:szCs w:val="20"/>
          <w:color w:val="auto"/>
        </w:rPr>
        <w:t>We are able to utilize the same general principles and similar drug discovery methods developed from our rezatapopt, p53 Y220C, program to facilitate the development of additional new product candidates. We study the structural and functional properties of the target. We use assays, screens, preclinical model systems and biomarkers to assess and optimize selective small molecules. By leveraging our team’s depth of expertise around p53, we are positioned to accelerate our efforts to expand the pipeline of therapies that target p53 or other p53-related cancers.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4" w:lineRule="exact"/>
        <w:rPr>
          <w:sz w:val="20"/>
          <w:szCs w:val="20"/>
          <w:color w:val="auto"/>
        </w:rPr>
      </w:pPr>
    </w:p>
    <w:p>
      <w:pPr>
        <w:ind w:right="80" w:firstLine="620"/>
        <w:spacing w:after="0" w:line="246" w:lineRule="auto"/>
        <w:rPr>
          <w:sz w:val="20"/>
          <w:szCs w:val="20"/>
          <w:color w:val="auto"/>
        </w:rPr>
      </w:pPr>
      <w:r>
        <w:rPr>
          <w:rFonts w:ascii="Times New Roman" w:cs="Times New Roman" w:eastAsia="Times New Roman" w:hAnsi="Times New Roman"/>
          <w:sz w:val="20"/>
          <w:szCs w:val="20"/>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90" w:lineRule="exact"/>
        <w:rPr>
          <w:sz w:val="20"/>
          <w:szCs w:val="20"/>
          <w:color w:val="auto"/>
        </w:rPr>
      </w:pPr>
    </w:p>
    <w:p>
      <w:pPr>
        <w:ind w:right="200" w:firstLine="720"/>
        <w:spacing w:after="0" w:line="278" w:lineRule="auto"/>
        <w:rPr>
          <w:sz w:val="20"/>
          <w:szCs w:val="20"/>
          <w:color w:val="auto"/>
        </w:rPr>
      </w:pPr>
      <w:r>
        <w:rPr>
          <w:rFonts w:ascii="Times New Roman" w:cs="Times New Roman" w:eastAsia="Times New Roman" w:hAnsi="Times New Roman"/>
          <w:sz w:val="20"/>
          <w:szCs w:val="20"/>
          <w:color w:val="auto"/>
        </w:rPr>
        <w:t>We are a precision oncology company pioneering the discovery and development of small molecule therapies targeting p53 mutations and other p53-related cancers. We are aware of other product candidates that are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1440" w:right="1440" w:bottom="175" w:gutter="0" w:footer="0" w:header="0"/>
        </w:sectPr>
      </w:pPr>
    </w:p>
    <w:bookmarkStart w:id="13" w:name="page14"/>
    <w:bookmarkEnd w:id="13"/>
    <w:p>
      <w:pPr>
        <w:ind w:right="220"/>
        <w:spacing w:after="0" w:line="252" w:lineRule="auto"/>
        <w:rPr>
          <w:sz w:val="20"/>
          <w:szCs w:val="20"/>
          <w:color w:val="auto"/>
        </w:rPr>
      </w:pPr>
      <w:r>
        <w:rPr>
          <w:rFonts w:ascii="Times New Roman" w:cs="Times New Roman" w:eastAsia="Times New Roman" w:hAnsi="Times New Roman"/>
          <w:sz w:val="20"/>
          <w:szCs w:val="20"/>
          <w:color w:val="auto"/>
        </w:rPr>
        <w:t>in clinical development as potential treatments of various cancers through the modulation of p53. We are aware of molecules in development that also are being explored for p53 upregulation/activation in various stages of preclinical or clinical development being tested by Jacobio Pharmaceuticals, Changchun GeneScience, Frontier Medicines and Nutshell Therapeutics, among others.</w:t>
      </w:r>
    </w:p>
    <w:p>
      <w:pPr>
        <w:spacing w:after="0" w:line="193"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0"/>
          <w:szCs w:val="20"/>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genomically- defined cancers. If rezatapopt or our future product candidates do not offer sustainable advantages over competing products, we may otherwise not be able to successfully compete against current and future competitors.</w:t>
      </w:r>
    </w:p>
    <w:p>
      <w:pPr>
        <w:spacing w:after="0" w:line="198"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97"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20"/>
          <w:szCs w:val="20"/>
          <w:color w:val="auto"/>
        </w:rPr>
        <w:t>In addition, we will likely need to develop our product candidates in collaboration with companion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97"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4" w:lineRule="exact"/>
        <w:rPr>
          <w:sz w:val="20"/>
          <w:szCs w:val="20"/>
          <w:color w:val="auto"/>
        </w:rPr>
      </w:pPr>
    </w:p>
    <w:p>
      <w:pPr>
        <w:jc w:val="both"/>
        <w:ind w:right="100" w:firstLine="619"/>
        <w:spacing w:after="0" w:line="258" w:lineRule="auto"/>
        <w:rPr>
          <w:sz w:val="20"/>
          <w:szCs w:val="20"/>
          <w:color w:val="auto"/>
        </w:rPr>
      </w:pPr>
      <w:r>
        <w:rPr>
          <w:rFonts w:ascii="Times New Roman" w:cs="Times New Roman" w:eastAsia="Times New Roman" w:hAnsi="Times New Roman"/>
          <w:sz w:val="20"/>
          <w:szCs w:val="20"/>
          <w:color w:val="auto"/>
        </w:rPr>
        <w:t>We do not have any manufacturing facilities or personnel. We currently rely, and expect to continue to rely, on third parties for the manufacture of our product candidates undergoing preclinical and clinical testing, as well as for commercial manufacture if our product candidates receive marketing approval.</w:t>
      </w:r>
    </w:p>
    <w:p>
      <w:pPr>
        <w:spacing w:after="0" w:line="188" w:lineRule="exact"/>
        <w:rPr>
          <w:sz w:val="20"/>
          <w:szCs w:val="20"/>
          <w:color w:val="auto"/>
        </w:rPr>
      </w:pPr>
    </w:p>
    <w:p>
      <w:pPr>
        <w:ind w:right="100" w:firstLine="619"/>
        <w:spacing w:after="0" w:line="252" w:lineRule="auto"/>
        <w:rPr>
          <w:sz w:val="20"/>
          <w:szCs w:val="20"/>
          <w:color w:val="auto"/>
        </w:rPr>
      </w:pPr>
      <w:r>
        <w:rPr>
          <w:rFonts w:ascii="Times New Roman" w:cs="Times New Roman" w:eastAsia="Times New Roman" w:hAnsi="Times New Roman"/>
          <w:sz w:val="20"/>
          <w:szCs w:val="20"/>
          <w:color w:val="auto"/>
        </w:rPr>
        <w:t>All of our product candidates are small molecules manufactured by synthetic processes from readily available starting materials. The chemistry appears amenable to scale up and does not currently require unusual equipment in the manufacturing process. We expect to continue to develop product candidates that can be produced cost-effectively at contract manufacturing facilities.</w:t>
      </w:r>
    </w:p>
    <w:p>
      <w:pPr>
        <w:spacing w:after="0" w:line="193" w:lineRule="exact"/>
        <w:rPr>
          <w:sz w:val="20"/>
          <w:szCs w:val="20"/>
          <w:color w:val="auto"/>
        </w:rPr>
      </w:pPr>
    </w:p>
    <w:p>
      <w:pPr>
        <w:ind w:right="60" w:firstLine="619"/>
        <w:spacing w:after="0" w:line="263" w:lineRule="auto"/>
        <w:rPr>
          <w:sz w:val="20"/>
          <w:szCs w:val="20"/>
          <w:color w:val="auto"/>
        </w:rPr>
      </w:pPr>
      <w:r>
        <w:rPr>
          <w:rFonts w:ascii="Times New Roman" w:cs="Times New Roman" w:eastAsia="Times New Roman" w:hAnsi="Times New Roman"/>
          <w:sz w:val="19"/>
          <w:szCs w:val="19"/>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 In May 2024, we entered into a partnership with Foundation Medicine, Inc. to develop Foundation Medicine’s tissue-based comprehensive genomic profiling test, FoundationOne®CDx, as a companion diagnostic for rezatapopt. Drug manufacturers and their subcontractors are required to register their establishments with the FDA and certain state agencies and are subject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1420" w:right="1440" w:bottom="175" w:gutter="0" w:footer="0" w:header="0"/>
        </w:sectPr>
      </w:pPr>
    </w:p>
    <w:bookmarkStart w:id="14" w:name="page15"/>
    <w:bookmarkEnd w:id="14"/>
    <w:p>
      <w:pPr>
        <w:ind w:right="80"/>
        <w:spacing w:after="0" w:line="245" w:lineRule="auto"/>
        <w:rPr>
          <w:sz w:val="20"/>
          <w:szCs w:val="20"/>
          <w:color w:val="auto"/>
        </w:rPr>
      </w:pPr>
      <w:r>
        <w:rPr>
          <w:rFonts w:ascii="Times New Roman" w:cs="Times New Roman" w:eastAsia="Times New Roman" w:hAnsi="Times New Roman"/>
          <w:sz w:val="20"/>
          <w:szCs w:val="20"/>
          <w:color w:val="auto"/>
        </w:rPr>
        <w:t>to periodic unannounced inspections by the FDA and certain state agencies for compliance with current Good Manufacturing Practice, or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upon us and any third-party manufacturers that we may decide to use. Accordingly, manufacturers must continue to expend time, money, and effort in the area of production and quality control to maintain compliance with cGMP requirements and other aspects of regulatory compliance.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Commercialization</w:t>
      </w:r>
    </w:p>
    <w:p>
      <w:pPr>
        <w:spacing w:after="0" w:line="244"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20"/>
          <w:szCs w:val="20"/>
          <w:color w:val="auto"/>
        </w:rPr>
        <w:t>Subject to receiving marketing approvals, we expect to commence commercialization activities by building a focused sales and marketing organization to sell our products. We believe that such an organization will be able to address the community of oncologists who are the key specialists in treating the patient populations for which our product candidates are being developed.</w:t>
      </w:r>
    </w:p>
    <w:p>
      <w:pPr>
        <w:spacing w:after="0" w:line="193"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0"/>
          <w:szCs w:val="20"/>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4" w:lineRule="exact"/>
        <w:rPr>
          <w:sz w:val="20"/>
          <w:szCs w:val="20"/>
          <w:color w:val="auto"/>
        </w:rPr>
      </w:pPr>
    </w:p>
    <w:p>
      <w:pPr>
        <w:ind w:right="140" w:firstLine="619"/>
        <w:spacing w:after="0" w:line="244" w:lineRule="auto"/>
        <w:rPr>
          <w:sz w:val="20"/>
          <w:szCs w:val="20"/>
          <w:color w:val="auto"/>
        </w:rPr>
      </w:pPr>
      <w:r>
        <w:rPr>
          <w:rFonts w:ascii="Times New Roman" w:cs="Times New Roman" w:eastAsia="Times New Roman" w:hAnsi="Times New Roman"/>
          <w:sz w:val="20"/>
          <w:szCs w:val="20"/>
          <w:color w:val="auto"/>
        </w:rPr>
        <w:t>We strive to protect the proprietary technology, inventions and improvements that are commercially important to our business, including seeking, maintaining and defending patent rights. We also rely on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defend and enforce our proprietary rights, including any patents that we may own in the future; and to operate without infringing the valid and enforceable patents and other proprietary rights of third parties. Intellectual property rights may not address all potential threats to our competitive advantage.</w:t>
      </w:r>
    </w:p>
    <w:p>
      <w:pPr>
        <w:spacing w:after="0" w:line="206" w:lineRule="exact"/>
        <w:rPr>
          <w:sz w:val="20"/>
          <w:szCs w:val="20"/>
          <w:color w:val="auto"/>
        </w:rPr>
      </w:pPr>
    </w:p>
    <w:p>
      <w:pPr>
        <w:ind w:firstLine="620"/>
        <w:spacing w:after="0" w:line="241" w:lineRule="auto"/>
        <w:rPr>
          <w:sz w:val="20"/>
          <w:szCs w:val="20"/>
          <w:color w:val="auto"/>
        </w:rPr>
      </w:pPr>
      <w:r>
        <w:rPr>
          <w:rFonts w:ascii="Times New Roman" w:cs="Times New Roman" w:eastAsia="Times New Roman" w:hAnsi="Times New Roman"/>
          <w:sz w:val="20"/>
          <w:szCs w:val="20"/>
          <w:color w:val="auto"/>
        </w:rPr>
        <w:t>With respect to our existing and future product candidates and processes we intend to develop and commercialize in the normal course of business, we intend to pursue further patent protection covering, when possible, compositions, methods of use, dosing and formulations. We also may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FDA-approved product can be extended to recapture a portion of the term effectively lost as a result of the FDA regulatory review period. This process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 -country and depends upon many factors, including the type of patent, the scope of its coverage, the availability of regulatory - related extensions, the availability of legal remedies in a particular country and the validity and enforceability of the patent. Patent term may be inadequate to protect our competitive position on our products for an adequate amount of time.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1420" w:right="1440" w:bottom="175" w:gutter="0" w:footer="0" w:header="0"/>
        </w:sectPr>
      </w:pPr>
    </w:p>
    <w:bookmarkStart w:id="15" w:name="page16"/>
    <w:bookmarkEnd w:id="15"/>
    <w:p>
      <w:pPr>
        <w:ind w:firstLine="619"/>
        <w:spacing w:after="0" w:line="241" w:lineRule="auto"/>
        <w:rPr>
          <w:sz w:val="20"/>
          <w:szCs w:val="20"/>
          <w:color w:val="auto"/>
        </w:rPr>
      </w:pPr>
      <w:r>
        <w:rPr>
          <w:rFonts w:ascii="Times New Roman" w:cs="Times New Roman" w:eastAsia="Times New Roman" w:hAnsi="Times New Roman"/>
          <w:sz w:val="20"/>
          <w:szCs w:val="20"/>
          <w:color w:val="auto"/>
        </w:rPr>
        <w:t>The patent positions of companies like ours are generally uncertain and involve complex legal and factual questions. No consistent policy regarding the scope of claims allowable in patents in the field of biopharmaceuticals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or may obtain, blocking patents of which we are currently unaware that could be used to prevent us from developing or commercializing our product candidates and practicing our proprietary technology. 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Doing so may be impossible or require substantial time and monetary expenditure. We may also elect to enter into a license agreement to settle litigation or to resolve disputes prior to litigation. Furthermore, even in the absence of litigation, we may need to obtain licenses from third parties to advance our research or allow commercialization of our product candidates. Should a license to a third-party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This scenario could materially adversely affect our business. Even if we obtain a license to third-party intellectual property, we may later decide, or it may later become necessary, to terminate the license. If we do so, we may no longer be free to use the technology protected by the patents no longer under license. Also, if a competitor developed the technology protected by the patents no longer under license, we would not be able to block the competitor’s progress. If the competitor’s product was competitive with ours, then we may suffer economic harm from the competitive product.</w:t>
      </w:r>
    </w:p>
    <w:p>
      <w:pPr>
        <w:spacing w:after="0" w:line="212"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The issuance of a patent is not conclusive as to its scope, validity or enforceability and our issued patents may be challenged, invalidated, deemed unenforceable or circumvented. These scenarios could limit our ability to stop competitors from marketing-related products or could limit the term of patent protection that otherwise may exist for our product candidates.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Moreover, any efforts to enforce our intellectual property rights are likely to be costly and may divert the efforts of our scientific and management personnel. We may also be subject to claims that former employees, collaborators or other third parties have an ownership interest in our patents or other intellectual property. We may also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costs and be a distraction to our management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1420" w:right="1440" w:bottom="175" w:gutter="0" w:footer="0" w:header="0"/>
        </w:sectPr>
      </w:pPr>
    </w:p>
    <w:bookmarkStart w:id="16" w:name="page17"/>
    <w:bookmarkEnd w:id="16"/>
    <w:p>
      <w:pPr>
        <w:ind w:right="40" w:firstLine="619"/>
        <w:spacing w:after="0" w:line="245" w:lineRule="auto"/>
        <w:rPr>
          <w:sz w:val="20"/>
          <w:szCs w:val="20"/>
          <w:color w:val="auto"/>
        </w:rPr>
      </w:pPr>
      <w:r>
        <w:rPr>
          <w:rFonts w:ascii="Times New Roman" w:cs="Times New Roman" w:eastAsia="Times New Roman" w:hAnsi="Times New Roman"/>
          <w:sz w:val="20"/>
          <w:szCs w:val="20"/>
          <w:color w:val="auto"/>
        </w:rPr>
        <w:t>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directed to such product may expire or remain in force for only a short period following commercialization, thereby reducing the commercial advantage the patent provides.</w:t>
      </w:r>
    </w:p>
    <w:p>
      <w:pPr>
        <w:spacing w:after="0" w:line="202" w:lineRule="exact"/>
        <w:rPr>
          <w:sz w:val="20"/>
          <w:szCs w:val="20"/>
          <w:color w:val="auto"/>
        </w:rPr>
      </w:pPr>
    </w:p>
    <w:p>
      <w:pPr>
        <w:ind w:right="40" w:firstLine="620"/>
        <w:spacing w:after="0" w:line="242" w:lineRule="auto"/>
        <w:rPr>
          <w:sz w:val="20"/>
          <w:szCs w:val="20"/>
          <w:color w:val="auto"/>
        </w:rPr>
      </w:pPr>
      <w:r>
        <w:rPr>
          <w:rFonts w:ascii="Times New Roman" w:cs="Times New Roman" w:eastAsia="Times New Roman" w:hAnsi="Times New Roman"/>
          <w:sz w:val="20"/>
          <w:szCs w:val="20"/>
          <w:color w:val="auto"/>
        </w:rPr>
        <w:t>We generally file a provisional patent application with the U.S. Patent and Trademark Office, or USPTO, first and then subsequently file a corresponding non-provisional patent application. This process enables us to establish an earlier effective filing date in the subsequently filed non-provisional patent application. To benefit from the earlier effective filing date, we must file a corresponding non-provisional patent application, such as a utility application in the United States or an international application under the Patent Cooperation Treaty, or PCT, within 12 months of the date of the provisional patent application filing. Based on a PCT filing, we may file national and regional patent applications in the United States or foreign jurisdictions, such as the European Union, China, Japan and possibly others. To date, we have not filed for patent protection in all national and regional jurisdictions where such protection may be available, and we may decide to abandon national and regional patent applications before a patent is granted. In addition, the patent grant proceeding for each national or regional patent application that we file is an independent proceeding. As a result, it is possible for a patent application to be granted in one jurisdiction and denied in another jurisdiction, and depending on the jurisdiction, the scope of patent protection may vary. As of January 27, 2026, we owned 11 issued U.S. patents and 53 granted foreign patents relating to methods of use and composition of matter of PMV compounds, including rezatapopt, at least 10 pending U.S. patent applications, and at least 30 pending foreign patent applications, each of which relates to methods of use and composition of matter of PMV compounds. The 11 issued U.S. patents are expected to expire between 2037 and 2043, without taking into account any possible patent term adjustment or extensions.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Government Regulation and Product Approval</w:t>
      </w:r>
    </w:p>
    <w:p>
      <w:pPr>
        <w:spacing w:after="0" w:line="244" w:lineRule="exact"/>
        <w:rPr>
          <w:sz w:val="20"/>
          <w:szCs w:val="20"/>
          <w:color w:val="auto"/>
        </w:rPr>
      </w:pPr>
    </w:p>
    <w:p>
      <w:pPr>
        <w:ind w:right="120" w:firstLine="619"/>
        <w:spacing w:after="0" w:line="246"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other countries extensively regulate, among other things, the research, development, preclinical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demonstrates the drug’s quality, safety and efficacy. Such data must then be organized into a format specific for each regulatory authority, submitted for review and approved by the regulatory authority.</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Drug Development Process</w:t>
      </w:r>
    </w:p>
    <w:p>
      <w:pPr>
        <w:spacing w:after="0" w:line="121" w:lineRule="exact"/>
        <w:rPr>
          <w:sz w:val="20"/>
          <w:szCs w:val="20"/>
          <w:color w:val="auto"/>
        </w:rPr>
      </w:pPr>
    </w:p>
    <w:p>
      <w:pPr>
        <w:jc w:val="both"/>
        <w:ind w:right="360" w:firstLine="619"/>
        <w:spacing w:after="0" w:line="258" w:lineRule="auto"/>
        <w:rPr>
          <w:sz w:val="20"/>
          <w:szCs w:val="20"/>
          <w:color w:val="auto"/>
        </w:rPr>
      </w:pPr>
      <w:r>
        <w:rPr>
          <w:rFonts w:ascii="Times New Roman" w:cs="Times New Roman" w:eastAsia="Times New Roman" w:hAnsi="Times New Roman"/>
          <w:sz w:val="20"/>
          <w:szCs w:val="20"/>
          <w:color w:val="auto"/>
        </w:rPr>
        <w:t>In the United States, the FDA regulates drugs under the Food, Drug and Cosmetic Act, or FDCA, and its implementing regulations. The process required by the FDA before a drug may be marketed in the United States generally involves the following:</w:t>
      </w:r>
    </w:p>
    <w:p>
      <w:pPr>
        <w:spacing w:after="0" w:line="83" w:lineRule="exact"/>
        <w:rPr>
          <w:sz w:val="20"/>
          <w:szCs w:val="20"/>
          <w:color w:val="auto"/>
        </w:rPr>
      </w:pPr>
    </w:p>
    <w:p>
      <w:pPr>
        <w:ind w:left="900" w:right="420" w:hanging="267"/>
        <w:spacing w:after="0" w:line="276" w:lineRule="auto"/>
        <w:tabs>
          <w:tab w:leader="none" w:pos="9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preclinical laboratory tests, animal studies and formulation studies in accordance with FDA’s good laboratory practice requirements and other applicable regulations;</w:t>
      </w:r>
    </w:p>
    <w:p>
      <w:pPr>
        <w:spacing w:after="0" w:line="64" w:lineRule="exact"/>
        <w:rPr>
          <w:rFonts w:ascii="Arial" w:cs="Arial" w:eastAsia="Arial" w:hAnsi="Arial"/>
          <w:sz w:val="20"/>
          <w:szCs w:val="20"/>
          <w:color w:val="auto"/>
        </w:rPr>
      </w:pPr>
    </w:p>
    <w:p>
      <w:pPr>
        <w:ind w:left="900" w:hanging="267"/>
        <w:spacing w:after="0"/>
        <w:tabs>
          <w:tab w:leader="none" w:pos="9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IND, which must become effective before human clinical trials may begin;</w:t>
      </w:r>
    </w:p>
    <w:p>
      <w:pPr>
        <w:spacing w:after="0" w:line="133" w:lineRule="exact"/>
        <w:rPr>
          <w:rFonts w:ascii="Arial" w:cs="Arial" w:eastAsia="Arial" w:hAnsi="Arial"/>
          <w:sz w:val="20"/>
          <w:szCs w:val="20"/>
          <w:color w:val="auto"/>
        </w:rPr>
      </w:pPr>
    </w:p>
    <w:p>
      <w:pPr>
        <w:ind w:left="900" w:right="120" w:hanging="267"/>
        <w:spacing w:after="0" w:line="276" w:lineRule="auto"/>
        <w:tabs>
          <w:tab w:leader="none" w:pos="9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independent Institutional Review Board, or IRB, or ethics committee at each clinical site before each trial may be initiated;</w:t>
      </w:r>
    </w:p>
    <w:p>
      <w:pPr>
        <w:spacing w:after="0" w:line="64" w:lineRule="exact"/>
        <w:rPr>
          <w:rFonts w:ascii="Arial" w:cs="Arial" w:eastAsia="Arial" w:hAnsi="Arial"/>
          <w:sz w:val="20"/>
          <w:szCs w:val="20"/>
          <w:color w:val="auto"/>
        </w:rPr>
      </w:pPr>
    </w:p>
    <w:p>
      <w:pPr>
        <w:ind w:left="900" w:right="180" w:hanging="267"/>
        <w:spacing w:after="0" w:line="258" w:lineRule="auto"/>
        <w:tabs>
          <w:tab w:leader="none" w:pos="9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good clinical practice, or GCP, requirements to establish the safety and efficacy of the proposed drug for its intended use;</w:t>
      </w:r>
    </w:p>
    <w:p>
      <w:pPr>
        <w:spacing w:after="0" w:line="81" w:lineRule="exact"/>
        <w:rPr>
          <w:rFonts w:ascii="Arial" w:cs="Arial" w:eastAsia="Arial" w:hAnsi="Arial"/>
          <w:sz w:val="20"/>
          <w:szCs w:val="20"/>
          <w:color w:val="auto"/>
        </w:rPr>
      </w:pPr>
    </w:p>
    <w:p>
      <w:pPr>
        <w:ind w:left="900" w:hanging="267"/>
        <w:spacing w:after="0"/>
        <w:tabs>
          <w:tab w:leader="none" w:pos="90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new drug application, or NDA, after completion of all pivotal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1420" w:right="1440" w:bottom="175" w:gutter="0" w:footer="0" w:header="0"/>
        </w:sectPr>
      </w:pPr>
    </w:p>
    <w:bookmarkStart w:id="17" w:name="page18"/>
    <w:bookmarkEnd w:id="17"/>
    <w:p>
      <w:pPr>
        <w:ind w:left="900" w:right="360" w:hanging="267"/>
        <w:spacing w:after="0" w:line="276" w:lineRule="auto"/>
        <w:tabs>
          <w:tab w:leader="none" w:pos="9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determination by the FDA within 60 days of its receipt of an NDA to accept the filing for substantive review;</w:t>
      </w:r>
    </w:p>
    <w:p>
      <w:pPr>
        <w:spacing w:after="0" w:line="64" w:lineRule="exact"/>
        <w:rPr>
          <w:rFonts w:ascii="Arial" w:cs="Arial" w:eastAsia="Arial" w:hAnsi="Arial"/>
          <w:sz w:val="20"/>
          <w:szCs w:val="20"/>
          <w:color w:val="auto"/>
        </w:rPr>
      </w:pPr>
    </w:p>
    <w:p>
      <w:pPr>
        <w:ind w:left="900" w:hanging="267"/>
        <w:spacing w:after="0"/>
        <w:tabs>
          <w:tab w:leader="none" w:pos="9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advisory committee review, if applicable;</w:t>
      </w:r>
    </w:p>
    <w:p>
      <w:pPr>
        <w:spacing w:after="0" w:line="132" w:lineRule="exact"/>
        <w:rPr>
          <w:rFonts w:ascii="Arial" w:cs="Arial" w:eastAsia="Arial" w:hAnsi="Arial"/>
          <w:sz w:val="20"/>
          <w:szCs w:val="20"/>
          <w:color w:val="auto"/>
        </w:rPr>
      </w:pPr>
    </w:p>
    <w:p>
      <w:pPr>
        <w:ind w:left="900" w:right="60" w:hanging="267"/>
        <w:spacing w:after="0" w:line="252" w:lineRule="auto"/>
        <w:tabs>
          <w:tab w:leader="none" w:pos="9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 requirements; and</w:t>
      </w:r>
    </w:p>
    <w:p>
      <w:pPr>
        <w:spacing w:after="0" w:line="88" w:lineRule="exact"/>
        <w:rPr>
          <w:rFonts w:ascii="Arial" w:cs="Arial" w:eastAsia="Arial" w:hAnsi="Arial"/>
          <w:sz w:val="20"/>
          <w:szCs w:val="20"/>
          <w:color w:val="auto"/>
        </w:rPr>
      </w:pPr>
    </w:p>
    <w:p>
      <w:pPr>
        <w:ind w:left="900" w:right="460" w:hanging="267"/>
        <w:spacing w:after="0" w:line="277" w:lineRule="auto"/>
        <w:tabs>
          <w:tab w:leader="none" w:pos="9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FDA review and approval of the NDA to permit commercial marketing of the product for particular indications for use in the United States.</w:t>
      </w:r>
    </w:p>
    <w:p>
      <w:pPr>
        <w:spacing w:after="0" w:line="168"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10" w:lineRule="exact"/>
        <w:rPr>
          <w:sz w:val="20"/>
          <w:szCs w:val="20"/>
          <w:color w:val="auto"/>
        </w:rPr>
      </w:pPr>
    </w:p>
    <w:p>
      <w:pPr>
        <w:ind w:right="80" w:firstLine="619"/>
        <w:spacing w:after="0" w:line="242"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Human clinical trials are typically conducted in three sequential phases that may overlap or be combined:</w:t>
      </w:r>
    </w:p>
    <w:p>
      <w:pPr>
        <w:spacing w:after="0" w:line="126" w:lineRule="exact"/>
        <w:rPr>
          <w:sz w:val="20"/>
          <w:szCs w:val="20"/>
          <w:color w:val="auto"/>
        </w:rPr>
      </w:pPr>
    </w:p>
    <w:p>
      <w:pPr>
        <w:ind w:left="900" w:right="20" w:hanging="281"/>
        <w:spacing w:after="0" w:line="252" w:lineRule="auto"/>
        <w:tabs>
          <w:tab w:leader="none" w:pos="90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79" w:lineRule="exact"/>
        <w:rPr>
          <w:rFonts w:ascii="Arial" w:cs="Arial" w:eastAsia="Arial" w:hAnsi="Arial"/>
          <w:sz w:val="19"/>
          <w:szCs w:val="19"/>
          <w:color w:val="auto"/>
        </w:rPr>
      </w:pPr>
    </w:p>
    <w:p>
      <w:pPr>
        <w:ind w:left="900" w:right="60" w:hanging="281"/>
        <w:spacing w:after="0" w:line="242" w:lineRule="auto"/>
        <w:tabs>
          <w:tab w:leader="none" w:pos="9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1435" w:right="1440" w:bottom="175" w:gutter="0" w:footer="0" w:header="0"/>
        </w:sectPr>
      </w:pPr>
    </w:p>
    <w:bookmarkStart w:id="18" w:name="page19"/>
    <w:bookmarkEnd w:id="18"/>
    <w:p>
      <w:pPr>
        <w:ind w:left="900" w:right="160" w:hanging="281"/>
        <w:spacing w:after="0" w:line="239" w:lineRule="auto"/>
        <w:tabs>
          <w:tab w:leader="none" w:pos="90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6" w:lineRule="exact"/>
        <w:rPr>
          <w:sz w:val="20"/>
          <w:szCs w:val="20"/>
          <w:color w:val="auto"/>
        </w:rPr>
      </w:pPr>
    </w:p>
    <w:p>
      <w:pPr>
        <w:ind w:right="80" w:firstLine="619"/>
        <w:spacing w:after="0" w:line="239" w:lineRule="auto"/>
        <w:rPr>
          <w:sz w:val="20"/>
          <w:szCs w:val="20"/>
          <w:color w:val="auto"/>
        </w:rPr>
      </w:pPr>
      <w:r>
        <w:rPr>
          <w:rFonts w:ascii="Times New Roman" w:cs="Times New Roman" w:eastAsia="Times New Roman" w:hAnsi="Times New Roman"/>
          <w:sz w:val="20"/>
          <w:szCs w:val="20"/>
          <w:color w:val="auto"/>
        </w:rPr>
        <w:t>In some cases, FDA may require, or sponsors may voluntarily pursue, post-approval trials, sometimes referred to as Phase 4 studies, that are conducted after initial marketing approval. These trials are used to gain additional experience from the treatment of patients in the intended therapeutic indication. In certain instances, such as with accelerated approval drugs, the FDA may mandate the performance of post-approval clinical trials as a condition of approval of an NDA.</w:t>
      </w:r>
    </w:p>
    <w:p>
      <w:pPr>
        <w:spacing w:after="0" w:line="197" w:lineRule="exact"/>
        <w:rPr>
          <w:sz w:val="20"/>
          <w:szCs w:val="20"/>
          <w:color w:val="auto"/>
        </w:rPr>
      </w:pPr>
    </w:p>
    <w:p>
      <w:pPr>
        <w:ind w:firstLine="619"/>
        <w:spacing w:after="0" w:line="236" w:lineRule="auto"/>
        <w:rPr>
          <w:sz w:val="20"/>
          <w:szCs w:val="20"/>
          <w:color w:val="auto"/>
        </w:rPr>
      </w:pPr>
      <w:r>
        <w:rPr>
          <w:rFonts w:ascii="Times New Roman" w:cs="Times New Roman" w:eastAsia="Times New Roman" w:hAnsi="Times New Roman"/>
          <w:sz w:val="20"/>
          <w:szCs w:val="20"/>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205"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20"/>
          <w:szCs w:val="20"/>
          <w:color w:val="auto"/>
        </w:rPr>
        <w:t>During the development of a new drug, sponsors are given opportunities to meet with the FDA at certain points. These points may be prior to submission of an IND, at the end of Phase 1 and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trial results and present plans for the pivotal Phase 3 clinical trials that they believe will support approval of the new drug.</w:t>
      </w:r>
    </w:p>
    <w:p>
      <w:pPr>
        <w:spacing w:after="0" w:line="196" w:lineRule="exact"/>
        <w:rPr>
          <w:sz w:val="20"/>
          <w:szCs w:val="20"/>
          <w:color w:val="auto"/>
        </w:rPr>
      </w:pPr>
    </w:p>
    <w:p>
      <w:pPr>
        <w:ind w:right="60" w:firstLine="619"/>
        <w:spacing w:after="0" w:line="236"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99" w:lineRule="exact"/>
        <w:rPr>
          <w:sz w:val="20"/>
          <w:szCs w:val="20"/>
          <w:color w:val="auto"/>
        </w:rPr>
      </w:pPr>
    </w:p>
    <w:p>
      <w:pPr>
        <w:ind w:right="160" w:firstLine="619"/>
        <w:spacing w:after="0" w:line="236" w:lineRule="auto"/>
        <w:rPr>
          <w:sz w:val="20"/>
          <w:szCs w:val="20"/>
          <w:color w:val="auto"/>
        </w:rPr>
      </w:pPr>
      <w:r>
        <w:rPr>
          <w:rFonts w:ascii="Times New Roman" w:cs="Times New Roman" w:eastAsia="Times New Roman" w:hAnsi="Times New Roman"/>
          <w:sz w:val="20"/>
          <w:szCs w:val="20"/>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NDA Review and Approval Process</w:t>
      </w:r>
    </w:p>
    <w:p>
      <w:pPr>
        <w:spacing w:after="0" w:line="111" w:lineRule="exact"/>
        <w:rPr>
          <w:sz w:val="20"/>
          <w:szCs w:val="20"/>
          <w:color w:val="auto"/>
        </w:rPr>
      </w:pPr>
    </w:p>
    <w:p>
      <w:pPr>
        <w:ind w:right="40" w:firstLine="619"/>
        <w:spacing w:after="0" w:line="236" w:lineRule="auto"/>
        <w:rPr>
          <w:sz w:val="20"/>
          <w:szCs w:val="20"/>
          <w:color w:val="auto"/>
        </w:rPr>
      </w:pPr>
      <w:r>
        <w:rPr>
          <w:rFonts w:ascii="Times New Roman" w:cs="Times New Roman" w:eastAsia="Times New Roman" w:hAnsi="Times New Roman"/>
          <w:sz w:val="20"/>
          <w:szCs w:val="20"/>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1426" w:right="1440" w:bottom="175" w:gutter="0" w:footer="0" w:header="0"/>
        </w:sectPr>
      </w:pPr>
    </w:p>
    <w:bookmarkStart w:id="19" w:name="page20"/>
    <w:bookmarkEnd w:id="19"/>
    <w:p>
      <w:pPr>
        <w:ind w:right="40" w:firstLine="619"/>
        <w:spacing w:after="0" w:line="234" w:lineRule="auto"/>
        <w:rPr>
          <w:sz w:val="20"/>
          <w:szCs w:val="20"/>
          <w:color w:val="auto"/>
        </w:rPr>
      </w:pPr>
      <w:r>
        <w:rPr>
          <w:rFonts w:ascii="Times New Roman" w:cs="Times New Roman" w:eastAsia="Times New Roman" w:hAnsi="Times New Roman"/>
          <w:sz w:val="20"/>
          <w:szCs w:val="20"/>
          <w:color w:val="auto"/>
        </w:rPr>
        <w:t>The FDA reviews an NDA to determine, among other things, whether a product is safe and effective for its intended use and whether its manufacturing complies with cGMP requirements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203"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92" w:lineRule="exact"/>
        <w:rPr>
          <w:sz w:val="20"/>
          <w:szCs w:val="20"/>
          <w:color w:val="auto"/>
        </w:rPr>
      </w:pPr>
    </w:p>
    <w:p>
      <w:pPr>
        <w:ind w:right="80" w:firstLine="619"/>
        <w:spacing w:after="0" w:line="235" w:lineRule="auto"/>
        <w:rPr>
          <w:sz w:val="20"/>
          <w:szCs w:val="20"/>
          <w:color w:val="auto"/>
        </w:rPr>
      </w:pPr>
      <w:r>
        <w:rPr>
          <w:rFonts w:ascii="Times New Roman" w:cs="Times New Roman" w:eastAsia="Times New Roman" w:hAnsi="Times New Roman"/>
          <w:sz w:val="20"/>
          <w:szCs w:val="20"/>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7" w:lineRule="exact"/>
        <w:rPr>
          <w:sz w:val="20"/>
          <w:szCs w:val="20"/>
          <w:color w:val="auto"/>
        </w:rPr>
      </w:pPr>
    </w:p>
    <w:p>
      <w:pPr>
        <w:ind w:right="60" w:firstLine="619"/>
        <w:spacing w:after="0" w:line="234" w:lineRule="auto"/>
        <w:rPr>
          <w:sz w:val="20"/>
          <w:szCs w:val="20"/>
          <w:color w:val="auto"/>
        </w:rPr>
      </w:pPr>
      <w:r>
        <w:rPr>
          <w:rFonts w:ascii="Times New Roman" w:cs="Times New Roman" w:eastAsia="Times New Roman" w:hAnsi="Times New Roman"/>
          <w:sz w:val="20"/>
          <w:szCs w:val="20"/>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to address all of the deficiencies identified in the letter, or withdraw the application. Even if such data and information are submitted, the FDA may decide that the NDA does not satisfy the criteria for approval. Further, FDA’s “real time” release of newly issued Complete Response Letters associated with withdrawn or abandoned applications, if applicable to any of our product candidates, can materially impact our business and competitive advantage.</w:t>
      </w:r>
    </w:p>
    <w:p>
      <w:pPr>
        <w:spacing w:after="0" w:line="199" w:lineRule="exact"/>
        <w:rPr>
          <w:sz w:val="20"/>
          <w:szCs w:val="20"/>
          <w:color w:val="auto"/>
        </w:rPr>
      </w:pPr>
    </w:p>
    <w:p>
      <w:pPr>
        <w:ind w:right="40" w:firstLine="619"/>
        <w:spacing w:after="0" w:line="233" w:lineRule="auto"/>
        <w:rPr>
          <w:sz w:val="20"/>
          <w:szCs w:val="20"/>
          <w:color w:val="auto"/>
        </w:rPr>
      </w:pPr>
      <w:r>
        <w:rPr>
          <w:rFonts w:ascii="Times New Roman" w:cs="Times New Roman" w:eastAsia="Times New Roman" w:hAnsi="Times New Roman"/>
          <w:sz w:val="20"/>
          <w:szCs w:val="20"/>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1412" w:right="1440" w:bottom="175" w:gutter="0" w:footer="0" w:header="0"/>
        </w:sectPr>
      </w:pPr>
    </w:p>
    <w:bookmarkStart w:id="20" w:name="page21"/>
    <w:bookmarkEnd w:id="20"/>
    <w:p>
      <w:pPr>
        <w:ind w:firstLine="619"/>
        <w:spacing w:after="0" w:line="234" w:lineRule="auto"/>
        <w:rPr>
          <w:sz w:val="20"/>
          <w:szCs w:val="20"/>
          <w:color w:val="auto"/>
        </w:rPr>
      </w:pPr>
      <w:r>
        <w:rPr>
          <w:rFonts w:ascii="Times New Roman" w:cs="Times New Roman" w:eastAsia="Times New Roman" w:hAnsi="Times New Roman"/>
          <w:sz w:val="20"/>
          <w:szCs w:val="20"/>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w:t>
      </w:r>
    </w:p>
    <w:p>
      <w:pPr>
        <w:spacing w:after="0" w:line="112" w:lineRule="exact"/>
        <w:rPr>
          <w:sz w:val="20"/>
          <w:szCs w:val="20"/>
          <w:color w:val="auto"/>
        </w:rPr>
      </w:pPr>
    </w:p>
    <w:p>
      <w:pPr>
        <w:ind w:right="40" w:firstLine="619"/>
        <w:spacing w:after="0" w:line="234" w:lineRule="auto"/>
        <w:rPr>
          <w:sz w:val="20"/>
          <w:szCs w:val="20"/>
          <w:color w:val="auto"/>
        </w:rPr>
      </w:pPr>
      <w:r>
        <w:rPr>
          <w:rFonts w:ascii="Times New Roman" w:cs="Times New Roman" w:eastAsia="Times New Roman" w:hAnsi="Times New Roman"/>
          <w:sz w:val="20"/>
          <w:szCs w:val="20"/>
          <w:color w:val="auto"/>
        </w:rPr>
        <w:t>The FDA has various programs, including Fast Track designation, breakthrough therapy designation, accelerated approval and priority review, that are intended to expedite the process for the development and FDA review of drugs that are intended for the treatment of serious or life-threatening diseases or conditions. For example, new drugs are eligible for Fast Track designation if they are intended to treat a serious or life- threatening disease or condition and demonstrate the potential to address unmet medical needs for the disease or condition. The sponsor of a Fast Track product has opportunities for frequent interactions with the review team during product development and, once a NDA is submitted, the product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98" w:lineRule="exact"/>
        <w:rPr>
          <w:sz w:val="20"/>
          <w:szCs w:val="20"/>
          <w:color w:val="auto"/>
        </w:rPr>
      </w:pPr>
    </w:p>
    <w:p>
      <w:pPr>
        <w:ind w:right="20" w:firstLine="619"/>
        <w:spacing w:after="0" w:line="235" w:lineRule="auto"/>
        <w:rPr>
          <w:sz w:val="20"/>
          <w:szCs w:val="20"/>
          <w:color w:val="auto"/>
        </w:rPr>
      </w:pPr>
      <w:r>
        <w:rPr>
          <w:rFonts w:ascii="Times New Roman" w:cs="Times New Roman" w:eastAsia="Times New Roman" w:hAnsi="Times New Roman"/>
          <w:sz w:val="20"/>
          <w:szCs w:val="20"/>
          <w:color w:val="auto"/>
        </w:rPr>
        <w:t>Any product submitted to the FDA for approval, including a product with a Fast Track designation, may also be eligible for other types of FDA programs intended to expedite development and review, such as priority review, accelerated approval and breakthrough therapy designation.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97" w:lineRule="exact"/>
        <w:rPr>
          <w:sz w:val="20"/>
          <w:szCs w:val="20"/>
          <w:color w:val="auto"/>
        </w:rPr>
      </w:pPr>
    </w:p>
    <w:p>
      <w:pPr>
        <w:ind w:firstLine="619"/>
        <w:spacing w:after="0" w:line="233" w:lineRule="auto"/>
        <w:rPr>
          <w:sz w:val="20"/>
          <w:szCs w:val="20"/>
          <w:color w:val="auto"/>
        </w:rPr>
      </w:pPr>
      <w:r>
        <w:rPr>
          <w:rFonts w:ascii="Times New Roman" w:cs="Times New Roman" w:eastAsia="Times New Roman" w:hAnsi="Times New Roman"/>
          <w:sz w:val="20"/>
          <w:szCs w:val="20"/>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203" w:lineRule="exact"/>
        <w:rPr>
          <w:sz w:val="20"/>
          <w:szCs w:val="20"/>
          <w:color w:val="auto"/>
        </w:rPr>
      </w:pPr>
    </w:p>
    <w:p>
      <w:pPr>
        <w:ind w:right="120" w:firstLine="619"/>
        <w:spacing w:after="0" w:line="235" w:lineRule="auto"/>
        <w:rPr>
          <w:sz w:val="20"/>
          <w:szCs w:val="20"/>
          <w:color w:val="auto"/>
        </w:rPr>
      </w:pPr>
      <w:r>
        <w:rPr>
          <w:rFonts w:ascii="Times New Roman" w:cs="Times New Roman" w:eastAsia="Times New Roman" w:hAnsi="Times New Roman"/>
          <w:sz w:val="20"/>
          <w:szCs w:val="20"/>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1412" w:right="1440" w:bottom="175" w:gutter="0" w:footer="0" w:header="0"/>
        </w:sectPr>
      </w:pPr>
    </w:p>
    <w:bookmarkStart w:id="21" w:name="page22"/>
    <w:bookmarkEnd w:id="21"/>
    <w:p>
      <w:pPr>
        <w:ind w:right="180"/>
        <w:spacing w:after="0" w:line="267" w:lineRule="auto"/>
        <w:rPr>
          <w:sz w:val="20"/>
          <w:szCs w:val="20"/>
          <w:color w:val="auto"/>
        </w:rPr>
      </w:pPr>
      <w:r>
        <w:rPr>
          <w:rFonts w:ascii="Times New Roman" w:cs="Times New Roman" w:eastAsia="Times New Roman" w:hAnsi="Times New Roman"/>
          <w:sz w:val="20"/>
          <w:szCs w:val="20"/>
          <w:color w:val="auto"/>
        </w:rPr>
        <w:t>approval and priority review, which can also be granted to the same drug if relevant criteria are met. If a product is designated as a breakthrough therapy, the FDA will work to expedite the development and review of such drug.</w:t>
      </w:r>
    </w:p>
    <w:p>
      <w:pPr>
        <w:spacing w:after="0" w:line="169" w:lineRule="exact"/>
        <w:rPr>
          <w:sz w:val="20"/>
          <w:szCs w:val="20"/>
          <w:color w:val="auto"/>
        </w:rPr>
      </w:pPr>
    </w:p>
    <w:p>
      <w:pPr>
        <w:ind w:right="240" w:firstLine="619"/>
        <w:spacing w:after="0" w:line="239" w:lineRule="auto"/>
        <w:rPr>
          <w:sz w:val="20"/>
          <w:szCs w:val="20"/>
          <w:color w:val="auto"/>
        </w:rPr>
      </w:pPr>
      <w:r>
        <w:rPr>
          <w:rFonts w:ascii="Times New Roman" w:cs="Times New Roman" w:eastAsia="Times New Roman" w:hAnsi="Times New Roman"/>
          <w:sz w:val="20"/>
          <w:szCs w:val="20"/>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197" w:lineRule="exact"/>
        <w:rPr>
          <w:sz w:val="20"/>
          <w:szCs w:val="20"/>
          <w:color w:val="auto"/>
        </w:rPr>
      </w:pPr>
    </w:p>
    <w:p>
      <w:pPr>
        <w:ind w:right="320" w:firstLine="619"/>
        <w:spacing w:after="0" w:line="236" w:lineRule="auto"/>
        <w:rPr>
          <w:sz w:val="20"/>
          <w:szCs w:val="20"/>
          <w:color w:val="auto"/>
        </w:rPr>
      </w:pPr>
      <w:r>
        <w:rPr>
          <w:rFonts w:ascii="Times New Roman" w:cs="Times New Roman" w:eastAsia="Times New Roman" w:hAnsi="Times New Roman"/>
          <w:sz w:val="20"/>
          <w:szCs w:val="20"/>
          <w:color w:val="auto"/>
        </w:rPr>
        <w:t>In 2025, FDA initiated the Commissioner's National Priority Voucher (CNPV) pilot program, which provides accelerated review and approval of product candidates that address one of the U.S. national health priorities, such as onshoring drug development/manufacturing to strengthen U.S. domestic capacity, large unmet medical needs, and innovative breakthrough therapies that fundamentally change disease management. Vouchers granted by the CNPV pilot program are nontransferable, can accelerate approval to 1-2 months, and provide enhanced interactions with the FDA review team and agency leadership.</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119"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also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0"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5" w:lineRule="exact"/>
        <w:rPr>
          <w:sz w:val="20"/>
          <w:szCs w:val="20"/>
          <w:color w:val="auto"/>
        </w:rPr>
      </w:pPr>
    </w:p>
    <w:p>
      <w:pPr>
        <w:ind w:left="900" w:right="180" w:hanging="281"/>
        <w:spacing w:after="0" w:line="277" w:lineRule="auto"/>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untitled letters;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clinical holds on clinical studies;</w:t>
      </w:r>
    </w:p>
    <w:p>
      <w:pPr>
        <w:spacing w:after="0" w:line="132" w:lineRule="exact"/>
        <w:rPr>
          <w:rFonts w:ascii="Arial" w:cs="Arial" w:eastAsia="Arial" w:hAnsi="Arial"/>
          <w:sz w:val="20"/>
          <w:szCs w:val="20"/>
          <w:color w:val="auto"/>
        </w:rPr>
      </w:pPr>
    </w:p>
    <w:p>
      <w:pPr>
        <w:ind w:left="900" w:right="800" w:hanging="281"/>
        <w:spacing w:after="0" w:line="277" w:lineRule="auto"/>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license approvals;</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w:t>
      </w:r>
    </w:p>
    <w:p>
      <w:pPr>
        <w:spacing w:after="0" w:line="132" w:lineRule="exact"/>
        <w:rPr>
          <w:rFonts w:ascii="Arial" w:cs="Arial" w:eastAsia="Arial" w:hAnsi="Arial"/>
          <w:sz w:val="20"/>
          <w:szCs w:val="20"/>
          <w:color w:val="auto"/>
        </w:rPr>
      </w:pPr>
    </w:p>
    <w:p>
      <w:pPr>
        <w:ind w:left="900" w:right="760" w:hanging="281"/>
        <w:spacing w:after="0" w:line="277" w:lineRule="auto"/>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healthcare programs;</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mandated modification of promotional materials and labeling and the issuance of corrective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1412" w:right="1440" w:bottom="175" w:gutter="0" w:footer="0" w:header="0"/>
        </w:sectPr>
      </w:pPr>
    </w:p>
    <w:bookmarkStart w:id="22" w:name="page23"/>
    <w:bookmarkEnd w:id="22"/>
    <w:p>
      <w:pPr>
        <w:ind w:left="900" w:right="220" w:hanging="281"/>
        <w:spacing w:after="0" w:line="276" w:lineRule="auto"/>
        <w:tabs>
          <w:tab w:leader="none" w:pos="9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issuance of safety alerts, Dear Healthcare Provider letters, press releases and other communications containing warnings or other safety information about the product; or</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39"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The FDA closely regulates the marketing, labeling, advertising and promotion of drug products. A company can make only those claims relating to safety and efficacy that are approved by the FDA and in accordance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 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211" w:lineRule="exact"/>
        <w:rPr>
          <w:sz w:val="20"/>
          <w:szCs w:val="20"/>
          <w:color w:val="auto"/>
        </w:rPr>
      </w:pPr>
    </w:p>
    <w:p>
      <w:pPr>
        <w:ind w:right="240" w:firstLine="619"/>
        <w:spacing w:after="0" w:line="249" w:lineRule="auto"/>
        <w:rPr>
          <w:sz w:val="20"/>
          <w:szCs w:val="20"/>
          <w:color w:val="auto"/>
        </w:rPr>
      </w:pPr>
      <w:r>
        <w:rPr>
          <w:rFonts w:ascii="Times New Roman" w:cs="Times New Roman" w:eastAsia="Times New Roman" w:hAnsi="Times New Roman"/>
          <w:sz w:val="20"/>
          <w:szCs w:val="20"/>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Drugs</w:t>
      </w:r>
    </w:p>
    <w:p>
      <w:pPr>
        <w:spacing w:after="0" w:line="119"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After the FDA grants ODD, the generic identity of the therapeutic agent and its potential orphan use are disclosed publicly by the FDA.</w:t>
      </w:r>
    </w:p>
    <w:p>
      <w:pPr>
        <w:spacing w:after="0" w:line="201"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biologic for the same indication for seven years from the approval of the NDA,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application user fee.</w:t>
      </w:r>
    </w:p>
    <w:p>
      <w:pPr>
        <w:spacing w:after="0" w:line="202"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20"/>
          <w:szCs w:val="20"/>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1435" w:right="1440" w:bottom="175" w:gutter="0" w:footer="0" w:header="0"/>
        </w:sectPr>
      </w:pPr>
    </w:p>
    <w:bookmarkStart w:id="23" w:name="page24"/>
    <w:bookmarkEnd w:id="23"/>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i w:val="1"/>
          <w:iCs w:val="1"/>
          <w:color w:val="auto"/>
        </w:rPr>
        <w:t>Catalyst Pharms., Inc. v. Becerra</w:t>
      </w:r>
      <w:r>
        <w:rPr>
          <w:rFonts w:ascii="Times New Roman" w:cs="Times New Roman" w:eastAsia="Times New Roman" w:hAnsi="Times New Roman"/>
          <w:sz w:val="20"/>
          <w:szCs w:val="20"/>
          <w:color w:val="auto"/>
        </w:rPr>
        <w:t xml:space="preserve">, 14 F.4th 1299 (11th Cir. 2021), the court disagreed with the FDA’s longstanding position that the orphan drug exclusivity only applies to the approved use or indication within an eligible disease. On January 24, 2023, the FDA published a notice in the Federal Register to clarify that while the agency complies with the court’s order in </w:t>
      </w:r>
      <w:r>
        <w:rPr>
          <w:rFonts w:ascii="Times New Roman" w:cs="Times New Roman" w:eastAsia="Times New Roman" w:hAnsi="Times New Roman"/>
          <w:sz w:val="20"/>
          <w:szCs w:val="20"/>
          <w:i w:val="1"/>
          <w:iCs w:val="1"/>
          <w:color w:val="auto"/>
        </w:rPr>
        <w:t>Catalyst</w:t>
      </w:r>
      <w:r>
        <w:rPr>
          <w:rFonts w:ascii="Times New Roman" w:cs="Times New Roman" w:eastAsia="Times New Roman" w:hAnsi="Times New Roman"/>
          <w:sz w:val="20"/>
          <w:szCs w:val="20"/>
          <w:color w:val="auto"/>
        </w:rPr>
        <w:t xml:space="preserve">, FDA intends to continue to apply its longstanding interpretation of the regulations to matters outside of the scope of the </w:t>
      </w:r>
      <w:r>
        <w:rPr>
          <w:rFonts w:ascii="Times New Roman" w:cs="Times New Roman" w:eastAsia="Times New Roman" w:hAnsi="Times New Roman"/>
          <w:sz w:val="20"/>
          <w:szCs w:val="20"/>
          <w:i w:val="1"/>
          <w:iCs w:val="1"/>
          <w:color w:val="auto"/>
        </w:rPr>
        <w:t>Catalyst</w:t>
      </w:r>
      <w:r>
        <w:rPr>
          <w:rFonts w:ascii="Times New Roman" w:cs="Times New Roman" w:eastAsia="Times New Roman" w:hAnsi="Times New Roman"/>
          <w:sz w:val="20"/>
          <w:szCs w:val="20"/>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Marketing Exclusivity</w:t>
      </w:r>
    </w:p>
    <w:p>
      <w:pPr>
        <w:spacing w:after="0" w:line="120" w:lineRule="exact"/>
        <w:rPr>
          <w:sz w:val="20"/>
          <w:szCs w:val="20"/>
          <w:color w:val="auto"/>
        </w:rPr>
      </w:pPr>
    </w:p>
    <w:p>
      <w:pPr>
        <w:ind w:right="60" w:firstLine="620"/>
        <w:spacing w:after="0" w:line="243" w:lineRule="auto"/>
        <w:rPr>
          <w:sz w:val="20"/>
          <w:szCs w:val="20"/>
          <w:color w:val="auto"/>
        </w:rPr>
      </w:pPr>
      <w:r>
        <w:rPr>
          <w:rFonts w:ascii="Times New Roman" w:cs="Times New Roman" w:eastAsia="Times New Roman" w:hAnsi="Times New Roman"/>
          <w:sz w:val="20"/>
          <w:szCs w:val="20"/>
          <w:color w:val="auto"/>
        </w:rPr>
        <w:t>Market exclusivity provisions authorized under the FDCA can delay the submission and approval of certain marketing applications for products containing the same active ingredient. The FDCA provides a five-year period of non- 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206" w:lineRule="exact"/>
        <w:rPr>
          <w:sz w:val="20"/>
          <w:szCs w:val="20"/>
          <w:color w:val="auto"/>
        </w:rPr>
      </w:pPr>
    </w:p>
    <w:p>
      <w:pPr>
        <w:ind w:right="60" w:firstLine="620"/>
        <w:spacing w:after="0" w:line="244" w:lineRule="auto"/>
        <w:rPr>
          <w:sz w:val="20"/>
          <w:szCs w:val="20"/>
          <w:color w:val="auto"/>
        </w:rPr>
      </w:pPr>
      <w:r>
        <w:rPr>
          <w:rFonts w:ascii="Times New Roman" w:cs="Times New Roman" w:eastAsia="Times New Roman" w:hAnsi="Times New Roman"/>
          <w:sz w:val="20"/>
          <w:szCs w:val="20"/>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 -year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205" w:lineRule="exact"/>
        <w:rPr>
          <w:sz w:val="20"/>
          <w:szCs w:val="20"/>
          <w:color w:val="auto"/>
        </w:rPr>
      </w:pPr>
    </w:p>
    <w:p>
      <w:pPr>
        <w:ind w:right="160" w:firstLine="619"/>
        <w:spacing w:after="0" w:line="247" w:lineRule="auto"/>
        <w:rPr>
          <w:sz w:val="20"/>
          <w:szCs w:val="20"/>
          <w:color w:val="auto"/>
        </w:rPr>
      </w:pPr>
      <w:r>
        <w:rPr>
          <w:rFonts w:ascii="Times New Roman" w:cs="Times New Roman" w:eastAsia="Times New Roman" w:hAnsi="Times New Roman"/>
          <w:sz w:val="20"/>
          <w:szCs w:val="20"/>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00"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auto"/>
        </w:rPr>
        <w:t>In June 2024, the U.S. Supreme Court overruled the Chevron 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which could lead to uncertainties in the industry. Further, changes in the leadership of the FDA and other federal agencies under the current administration may lead to new policies, changes in the regulations, or disruptions to the operations of federal agencies, any of which may impact our clinical development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1420" w:right="1440" w:bottom="175"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w:t>
      </w:r>
    </w:p>
    <w:p>
      <w:pPr>
        <w:spacing w:after="0" w:line="119" w:lineRule="exact"/>
        <w:rPr>
          <w:sz w:val="20"/>
          <w:szCs w:val="20"/>
          <w:color w:val="auto"/>
        </w:rPr>
      </w:pPr>
    </w:p>
    <w:p>
      <w:pPr>
        <w:ind w:right="100" w:firstLine="619"/>
        <w:spacing w:after="0" w:line="242" w:lineRule="auto"/>
        <w:rPr>
          <w:sz w:val="20"/>
          <w:szCs w:val="20"/>
          <w:color w:val="auto"/>
        </w:rPr>
      </w:pPr>
      <w:r>
        <w:rPr>
          <w:rFonts w:ascii="Times New Roman" w:cs="Times New Roman" w:eastAsia="Times New Roman" w:hAnsi="Times New Roman"/>
          <w:sz w:val="20"/>
          <w:szCs w:val="20"/>
          <w:color w:val="auto"/>
        </w:rPr>
        <w:t>Pharmaceutical manufacturers are subject to additional healthcare fraud and abuse laws, regulation and enforcement by the federal government and by authorities in the states and foreign jurisdictions in which they conduct their business. Such laws include, without limitation, U.S. federal anti-kickback, false claims, civil monetary penalty, consumer fraud, pricing reporting, data privacy and security and physician payment transparency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tracking gifts and other remuneration and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207"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0"/>
          <w:szCs w:val="20"/>
          <w:color w:val="auto"/>
        </w:rPr>
        <w:t>The risk of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119" w:lineRule="exact"/>
        <w:rPr>
          <w:sz w:val="20"/>
          <w:szCs w:val="20"/>
          <w:color w:val="auto"/>
        </w:rPr>
      </w:pPr>
    </w:p>
    <w:p>
      <w:pPr>
        <w:ind w:firstLine="620"/>
        <w:spacing w:after="0" w:line="242" w:lineRule="auto"/>
        <w:rPr>
          <w:sz w:val="20"/>
          <w:szCs w:val="20"/>
          <w:color w:val="auto"/>
        </w:rPr>
      </w:pPr>
      <w:r>
        <w:rPr>
          <w:rFonts w:ascii="Times New Roman" w:cs="Times New Roman" w:eastAsia="Times New Roman" w:hAnsi="Times New Roman"/>
          <w:sz w:val="20"/>
          <w:szCs w:val="20"/>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 -party payor’s decision to cover a particular product does not ensure that other payors will also provide coverage for the product. As a result, the coverage determination process can require manufacturers to provide scientific, cost-effectiveness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that are used with applicable pharmaceutical products require coverage and reimbursement separate and apart from the coverage and reimbursement for their companion pharmaceutical products. Similar challenges to obtaining coverage and reimbursement, applicable to pharmaceutical products, will apply to companion diagnostics.</w:t>
      </w:r>
    </w:p>
    <w:p>
      <w:pPr>
        <w:spacing w:after="0" w:line="211" w:lineRule="exact"/>
        <w:rPr>
          <w:sz w:val="20"/>
          <w:szCs w:val="20"/>
          <w:color w:val="auto"/>
        </w:rPr>
      </w:pPr>
    </w:p>
    <w:p>
      <w:pPr>
        <w:ind w:right="260" w:firstLine="619"/>
        <w:spacing w:after="0" w:line="278" w:lineRule="auto"/>
        <w:rPr>
          <w:sz w:val="20"/>
          <w:szCs w:val="20"/>
          <w:color w:val="auto"/>
        </w:rPr>
      </w:pPr>
      <w:r>
        <w:rPr>
          <w:rFonts w:ascii="Times New Roman" w:cs="Times New Roman" w:eastAsia="Times New Roman" w:hAnsi="Times New Roman"/>
          <w:sz w:val="19"/>
          <w:szCs w:val="19"/>
          <w:color w:val="auto"/>
        </w:rPr>
        <w:t>Moreover, third-party payors are increasingly reducing coverage and reimbursement for pharmaceutical products and related services. The U.S. government and state legislatures have continued implementing cost-containment programs, including price controls, restrictions on coverage and reimbursement and requirements for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1420" w:right="1440" w:bottom="175" w:gutter="0" w:footer="0" w:header="0"/>
        </w:sectPr>
      </w:pPr>
    </w:p>
    <w:bookmarkStart w:id="25" w:name="page26"/>
    <w:bookmarkEnd w:id="25"/>
    <w:p>
      <w:pPr>
        <w:ind w:right="140" w:firstLine="1"/>
        <w:spacing w:after="0" w:line="244" w:lineRule="auto"/>
        <w:rPr>
          <w:sz w:val="20"/>
          <w:szCs w:val="20"/>
          <w:color w:val="auto"/>
        </w:rPr>
      </w:pPr>
      <w:r>
        <w:rPr>
          <w:rFonts w:ascii="Times New Roman" w:cs="Times New Roman" w:eastAsia="Times New Roman" w:hAnsi="Times New Roman"/>
          <w:sz w:val="20"/>
          <w:szCs w:val="20"/>
          <w:color w:val="auto"/>
        </w:rPr>
        <w:t>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Decreases in third-party reimbursement for any product or a decision by a third-party payor not to cover a product could reduce physician usage and patient demand for the product.</w:t>
      </w:r>
    </w:p>
    <w:p>
      <w:pPr>
        <w:spacing w:after="0" w:line="202"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20"/>
          <w:szCs w:val="20"/>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w:t>
      </w:r>
    </w:p>
    <w:p>
      <w:pPr>
        <w:spacing w:after="0" w:line="121"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In the United States and certain foreign jurisdictions, there have been, and we expect there will continue to be, a number of legislative and regulatory changes to the healthcare system. In March 2010, the Affordable Care Act, or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to test innovative payment and service delivery models to lower Medicare and Medicaid spending, potentially including prescription drug spending.</w:t>
      </w:r>
    </w:p>
    <w:p>
      <w:pPr>
        <w:spacing w:after="0" w:line="214"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Since its enactment, there have been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under the current administration will impact the ACA and our business.</w:t>
      </w:r>
    </w:p>
    <w:p>
      <w:pPr>
        <w:spacing w:after="0" w:line="206" w:lineRule="exact"/>
        <w:rPr>
          <w:sz w:val="20"/>
          <w:szCs w:val="20"/>
          <w:color w:val="auto"/>
        </w:rPr>
      </w:pPr>
    </w:p>
    <w:p>
      <w:pPr>
        <w:jc w:val="both"/>
        <w:ind w:right="540" w:firstLine="619"/>
        <w:spacing w:after="0" w:line="258" w:lineRule="auto"/>
        <w:rPr>
          <w:sz w:val="20"/>
          <w:szCs w:val="20"/>
          <w:color w:val="auto"/>
        </w:rPr>
      </w:pPr>
      <w:r>
        <w:rPr>
          <w:rFonts w:ascii="Times New Roman" w:cs="Times New Roman" w:eastAsia="Times New Roman" w:hAnsi="Times New Roman"/>
          <w:sz w:val="20"/>
          <w:szCs w:val="20"/>
          <w:color w:val="auto"/>
        </w:rPr>
        <w:t>Other legislative changes have been proposed and adopted since the ACA was enacted. These changes include aggregate reductions to Medicare payments to providers of 2% per fiscal year, effective April 1, 2013, which will remain in effect through 2032, unless additional Congressional action is taken.</w:t>
      </w:r>
    </w:p>
    <w:p>
      <w:pPr>
        <w:spacing w:after="0" w:line="1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color w:val="auto"/>
        </w:rPr>
        <w:t>Moreover, there has recently been heightened governmental scrutiny over the manner in which</w:t>
      </w:r>
    </w:p>
    <w:p>
      <w:pPr>
        <w:spacing w:after="0" w:line="2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manufacturers set prices for their marketed products, which has resulted in several Congressional inquiries and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1420" w:right="1440" w:bottom="175" w:gutter="0" w:footer="0" w:header="0"/>
        </w:sectPr>
      </w:pPr>
    </w:p>
    <w:bookmarkStart w:id="26" w:name="page27"/>
    <w:bookmarkEnd w:id="26"/>
    <w:p>
      <w:pPr>
        <w:ind w:firstLine="1"/>
        <w:spacing w:after="0" w:line="241" w:lineRule="auto"/>
        <w:rPr>
          <w:sz w:val="20"/>
          <w:szCs w:val="20"/>
          <w:color w:val="auto"/>
        </w:rPr>
      </w:pPr>
      <w:r>
        <w:rPr>
          <w:rFonts w:ascii="Times New Roman" w:cs="Times New Roman" w:eastAsia="Times New Roman" w:hAnsi="Times New Roman"/>
          <w:sz w:val="20"/>
          <w:szCs w:val="20"/>
          <w:color w:val="auto"/>
        </w:rPr>
        <w:t>proposed and enacted legislation designed, among other things, to bring more transparency to product pricing, review the relationship between pricing and manufacturer patient programs and reform government program reimbursement methodologies for pharmaceutical products. Specifically, there have been several recent U.S. Presidential executive orders,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approved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 -expenditure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Inflation Reduction Act are unconstitutional. Further,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U.S.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or that increase generic and biosimilar drug entry sooner than expected can have a material adverse effect on our industry, ability to set adequate pricing for new drugs to recover R&amp;D costs, ability to attract potential investors and potential buyers in the future, or the pricing of our approved product in the U.S. and in foreign countries. The impact of judicial challenges and future government reform measures on us and the pharmaceutical industry as a whole is unclear.</w:t>
      </w:r>
    </w:p>
    <w:p>
      <w:pPr>
        <w:spacing w:after="0" w:line="204"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FDA Approval and Regulation of Companion Diagnostics</w:t>
      </w:r>
    </w:p>
    <w:p>
      <w:pPr>
        <w:spacing w:after="0" w:line="119" w:lineRule="exact"/>
        <w:rPr>
          <w:sz w:val="20"/>
          <w:szCs w:val="20"/>
          <w:color w:val="auto"/>
        </w:rPr>
      </w:pPr>
    </w:p>
    <w:p>
      <w:pPr>
        <w:ind w:right="240" w:firstLine="619"/>
        <w:spacing w:after="0" w:line="247" w:lineRule="auto"/>
        <w:rPr>
          <w:sz w:val="20"/>
          <w:szCs w:val="20"/>
          <w:color w:val="auto"/>
        </w:rPr>
      </w:pPr>
      <w:r>
        <w:rPr>
          <w:rFonts w:ascii="Times New Roman" w:cs="Times New Roman" w:eastAsia="Times New Roman" w:hAnsi="Times New Roman"/>
          <w:sz w:val="20"/>
          <w:szCs w:val="20"/>
          <w:color w:val="auto"/>
        </w:rPr>
        <w:t>We expect that our product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1420" w:right="1440" w:bottom="175" w:gutter="0" w:footer="0" w:header="0"/>
        </w:sectPr>
      </w:pPr>
    </w:p>
    <w:bookmarkStart w:id="27" w:name="page28"/>
    <w:bookmarkEnd w:id="27"/>
    <w:p>
      <w:pPr>
        <w:ind w:firstLine="1"/>
        <w:spacing w:after="0" w:line="244" w:lineRule="auto"/>
        <w:rPr>
          <w:sz w:val="20"/>
          <w:szCs w:val="20"/>
          <w:color w:val="auto"/>
        </w:rPr>
      </w:pPr>
      <w:r>
        <w:rPr>
          <w:rFonts w:ascii="Times New Roman" w:cs="Times New Roman" w:eastAsia="Times New Roman" w:hAnsi="Times New Roman"/>
          <w:sz w:val="20"/>
          <w:szCs w:val="20"/>
          <w:color w:val="auto"/>
        </w:rPr>
        <w:t xml:space="preserve">promotion, sales and distribution, export and import and post- 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(or decision to grant a De Novo classification request if there is no predicate device), and premarket approval, or PMA approval. In January 2024, FDA announced its plans to reclassify certain high-risk of </w:t>
      </w:r>
      <w:r>
        <w:rPr>
          <w:rFonts w:ascii="Times New Roman" w:cs="Times New Roman" w:eastAsia="Times New Roman" w:hAnsi="Times New Roman"/>
          <w:sz w:val="20"/>
          <w:szCs w:val="20"/>
          <w:i w:val="1"/>
          <w:iCs w:val="1"/>
          <w:color w:val="auto"/>
        </w:rPr>
        <w:t xml:space="preserve">in vitro </w:t>
      </w:r>
      <w:r>
        <w:rPr>
          <w:rFonts w:ascii="Times New Roman" w:cs="Times New Roman" w:eastAsia="Times New Roman" w:hAnsi="Times New Roman"/>
          <w:sz w:val="20"/>
          <w:szCs w:val="20"/>
          <w:color w:val="auto"/>
        </w:rPr>
        <w:t>diagnostics, including companion diagnostics, as Class II devices. In 2025, FDA issued a proposed rule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reclassify certain class III nucleic acid-based test systems indicated for use with a corresponding approved oncology therapeutic product from class III (premarket approval) into class II (special controls), subject to premarket notification. As such, to the extent we or our collaborators develop a companion diagnostic, it may be regulated as a Class II or Class III medical device, depending on its intended use and technical characteristics, among other factors.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510(k) clearance process</w:t>
      </w:r>
    </w:p>
    <w:p>
      <w:pPr>
        <w:spacing w:after="0" w:line="120"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12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202"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9"/>
          <w:szCs w:val="19"/>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 novo classification process</w:t>
      </w:r>
    </w:p>
    <w:p>
      <w:pPr>
        <w:spacing w:after="0" w:line="119"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204" w:lineRule="exact"/>
        <w:rPr>
          <w:sz w:val="20"/>
          <w:szCs w:val="20"/>
          <w:color w:val="auto"/>
        </w:rPr>
      </w:pPr>
    </w:p>
    <w:p>
      <w:pPr>
        <w:ind w:right="200" w:firstLine="619"/>
        <w:spacing w:after="0" w:line="277" w:lineRule="auto"/>
        <w:rPr>
          <w:sz w:val="20"/>
          <w:szCs w:val="20"/>
          <w:color w:val="auto"/>
        </w:rPr>
      </w:pPr>
      <w:r>
        <w:rPr>
          <w:rFonts w:ascii="Times New Roman" w:cs="Times New Roman" w:eastAsia="Times New Roman" w:hAnsi="Times New Roman"/>
          <w:sz w:val="20"/>
          <w:szCs w:val="20"/>
          <w:color w:val="auto"/>
        </w:rPr>
        <w:t>Obtaining FDA marketing authorization, de novo down-classification, or approval for medical devices is expensive and uncertain, and may take several years, and generally requires significant scientific and clinical data.</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PMA process</w:t>
      </w:r>
    </w:p>
    <w:p>
      <w:pPr>
        <w:spacing w:after="0" w:line="121"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9"/>
          <w:szCs w:val="19"/>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1420" w:right="1440" w:bottom="175" w:gutter="0" w:footer="0" w:header="0"/>
        </w:sectPr>
      </w:pPr>
    </w:p>
    <w:bookmarkStart w:id="28" w:name="page29"/>
    <w:bookmarkEnd w:id="28"/>
    <w:p>
      <w:pPr>
        <w:ind w:right="300"/>
        <w:spacing w:after="0" w:line="278" w:lineRule="auto"/>
        <w:rPr>
          <w:sz w:val="20"/>
          <w:szCs w:val="20"/>
          <w:color w:val="auto"/>
        </w:rPr>
      </w:pPr>
      <w:r>
        <w:rPr>
          <w:rFonts w:ascii="Times New Roman" w:cs="Times New Roman" w:eastAsia="Times New Roman" w:hAnsi="Times New Roman"/>
          <w:sz w:val="19"/>
          <w:szCs w:val="19"/>
          <w:color w:val="auto"/>
        </w:rPr>
        <w:t>review, the FDA will typically inspect the manufacturer’s facilities for compliance with the Quality Management System Regulation, or QMSR, which went into effect in February 2026, replacing the former Quality System Regulation, and imposes elaborate testing, control, documentation and other quality assurance requirements.</w:t>
      </w:r>
    </w:p>
    <w:p>
      <w:pPr>
        <w:spacing w:after="0" w:line="171" w:lineRule="exact"/>
        <w:rPr>
          <w:sz w:val="20"/>
          <w:szCs w:val="20"/>
          <w:color w:val="auto"/>
        </w:rPr>
      </w:pPr>
    </w:p>
    <w:p>
      <w:pPr>
        <w:ind w:right="40" w:firstLine="620"/>
        <w:spacing w:after="0" w:line="242" w:lineRule="auto"/>
        <w:rPr>
          <w:sz w:val="20"/>
          <w:szCs w:val="20"/>
          <w:color w:val="auto"/>
        </w:rPr>
      </w:pPr>
      <w:r>
        <w:rPr>
          <w:rFonts w:ascii="Times New Roman" w:cs="Times New Roman" w:eastAsia="Times New Roman" w:hAnsi="Times New Roman"/>
          <w:sz w:val="20"/>
          <w:szCs w:val="20"/>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208" w:lineRule="exact"/>
        <w:rPr>
          <w:sz w:val="20"/>
          <w:szCs w:val="20"/>
          <w:color w:val="auto"/>
        </w:rPr>
      </w:pPr>
    </w:p>
    <w:p>
      <w:pPr>
        <w:ind w:right="20" w:firstLine="619"/>
        <w:spacing w:after="0" w:line="241" w:lineRule="auto"/>
        <w:rPr>
          <w:sz w:val="20"/>
          <w:szCs w:val="20"/>
          <w:color w:val="auto"/>
        </w:rPr>
      </w:pPr>
      <w:r>
        <w:rPr>
          <w:rFonts w:ascii="Times New Roman" w:cs="Times New Roman" w:eastAsia="Times New Roman" w:hAnsi="Times New Roman"/>
          <w:sz w:val="20"/>
          <w:szCs w:val="20"/>
          <w:color w:val="auto"/>
        </w:rPr>
        <w:t xml:space="preserve">In August 2014, the FDA issued final guidance clarifying the requirements that will apply to approval of therapeutic products and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companion diagnostics. According to the guidance, if FDA determines that a companion diagnostic device is essential to the safe and effective use of a novel therapeutic product or indication, FDA generally will not approve the therapeutic product or new therapeutic product indication if the companion diagnostic device is not approved or cleared for that indication at the same time. The review of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QMSR,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1420" w:right="1440" w:bottom="175"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 xml:space="preserve">As of </w:t>
      </w:r>
      <w:r>
        <w:rPr>
          <w:rFonts w:ascii="Times New Roman" w:cs="Times New Roman" w:eastAsia="Times New Roman" w:hAnsi="Times New Roman"/>
          <w:sz w:val="20"/>
          <w:szCs w:val="20"/>
          <w:color w:val="181818"/>
        </w:rPr>
        <w:t>March 6, 2026</w:t>
      </w:r>
      <w:r>
        <w:rPr>
          <w:rFonts w:ascii="Times New Roman" w:cs="Times New Roman" w:eastAsia="Times New Roman" w:hAnsi="Times New Roman"/>
          <w:sz w:val="20"/>
          <w:szCs w:val="20"/>
          <w:color w:val="auto"/>
        </w:rPr>
        <w:t>, we had 54 full-time employees, including 18 employees with Ph.D., M.D. or Pharm.D.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degrees. Of these full-time employees, 41 employees are engaged in research and development activities.</w:t>
      </w:r>
    </w:p>
    <w:p>
      <w:pPr>
        <w:spacing w:after="0" w:line="212"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None of our employees are represented by labor unions or covered by collective bargaining agreements. We consider our relationship with our employees to be good.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though the granting of stock-based and cash-based compensation awards, to increase stockholder value and our success by motivating such individuals to perform to the best of their abilities and achieve our objectives.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Environmental, Social and Governance (ESG) Initiatives</w:t>
      </w:r>
    </w:p>
    <w:p>
      <w:pPr>
        <w:spacing w:after="0" w:line="243"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As a clinical-stage precision oncology company, we are rooted in our mission to fundamentally disrupt the course of cancer for patients with p53 gene mutations and other p53-related cancers. We believe integrating responsible environmental, social, and governance principles into our corporate strategy will drive sustainable value creation for our shareholders, employees, patients, and caregivers over the long term. We have formed an internal ESG Working Group with cross-functional senior leadership that meets periodically, with oversight by the nominating and corporate governance committee of our board of directors. Our ESG Working Group oversees our sustainability efforts, and we have documented our initiatives in our 2024 ESG Highlights Report, which is available on our website at ir.pmvpharma.com. The content provided in our 2024 ESG Highlights Report or accessible through our website is not incorporated by reference as part of this Annual Report on Form 10-K.</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44"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20"/>
          <w:szCs w:val="20"/>
          <w:color w:val="auto"/>
        </w:rPr>
        <w:t>We were incorporated in Delaware in March 2013 under the name “PJ Pharmaceuticals, Inc.” In July 2013, we changed our name to “PMV Pharmaceuticals, Inc.” Our principal executive offices are located at 400 Alexander Park Drive, Suite 301, Princeton, New Jersey 08540. Our telephone number is (609) 642-6670. Our website address is www.pmvpharma.com. Information contained on, or that can be accessible through, our website is not a part of this Annual Report on Form 10-K and the inclusion of our website address in this Annual Report on Form 10-K is an inactive textual reference only.</w:t>
      </w:r>
    </w:p>
    <w:p>
      <w:pPr>
        <w:spacing w:after="0" w:line="200" w:lineRule="exact"/>
        <w:rPr>
          <w:sz w:val="20"/>
          <w:szCs w:val="20"/>
          <w:color w:val="auto"/>
        </w:rPr>
      </w:pPr>
    </w:p>
    <w:p>
      <w:pPr>
        <w:ind w:right="120" w:firstLine="619"/>
        <w:spacing w:after="0" w:line="245" w:lineRule="auto"/>
        <w:rPr>
          <w:sz w:val="20"/>
          <w:szCs w:val="20"/>
          <w:color w:val="auto"/>
        </w:rPr>
      </w:pPr>
      <w:r>
        <w:rPr>
          <w:rFonts w:ascii="Times New Roman" w:cs="Times New Roman" w:eastAsia="Times New Roman" w:hAnsi="Times New Roman"/>
          <w:sz w:val="20"/>
          <w:szCs w:val="20"/>
          <w:color w:val="auto"/>
        </w:rPr>
        <w:t>We use the name “PMV Pharma,” the “PMV Pharma” logo and other marks as unregistered trademarks in the United States and other countries. This Annual Report on Form 10-K contains references to our trademarks and service marks and to those belonging to other entities. Solely for convenience, trademarks and trade names referred to in this Annual Report, including logos, artwork and other visual displays, may appear without the ® or TM symbols, but such references are not intended to indicate in any way that we or their owners will not assert, to the fullest extent under applicable law, our rights or the rights of the applicable owner to these trademarks and trade names.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1416" w:right="1440" w:bottom="175"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43" w:lineRule="exact"/>
        <w:rPr>
          <w:sz w:val="20"/>
          <w:szCs w:val="20"/>
          <w:color w:val="auto"/>
        </w:rPr>
      </w:pPr>
    </w:p>
    <w:p>
      <w:pPr>
        <w:ind w:right="20" w:firstLine="634"/>
        <w:spacing w:after="0" w:line="243" w:lineRule="auto"/>
        <w:rPr>
          <w:sz w:val="20"/>
          <w:szCs w:val="20"/>
          <w:color w:val="auto"/>
        </w:rPr>
      </w:pPr>
      <w:r>
        <w:rPr>
          <w:rFonts w:ascii="Times New Roman" w:cs="Times New Roman" w:eastAsia="Times New Roman" w:hAnsi="Times New Roman"/>
          <w:sz w:val="20"/>
          <w:szCs w:val="20"/>
          <w:color w:val="auto"/>
        </w:rPr>
        <w:t>Our Internet address is www.pmvpharma.com. We will file or furnish periodic reports and amendments thereto, including our Annual Reports on Form 10-K, Quarterly Reports on Form 10-Q, Current Reports on Form 8-K (and amendments to those reports), proxy and information statements and other information filed or furnished pursuant to Sections 13(a) and 15(d) of the Securities Exchange Act of 1934, as amended, or the Exchange Act, with the Securities and Exchange Commission, or the SEC. The SEC maintains a website that contains reports, proxy and information statement, and other information regarding issuers that file electronically, which may be accessed through the SEC at http://www.sec.gov. Our reports, amendments thereto, proxy statements and other information are also made available, free of charge, on our investor relations website at ir.pmvpharma.com as soon as reasonably practicable after we electronically file or furnish such information with the SEC. The information contained on the websites referenced in this Annual Report on Form 10-K is not incorporated by reference into this filing. Further, our references to website URLs are intended to be inactive textual references only.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1416" w:right="1440" w:bottom="175"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5" w:lineRule="exact"/>
        <w:rPr>
          <w:sz w:val="20"/>
          <w:szCs w:val="20"/>
          <w:color w:val="auto"/>
        </w:rPr>
      </w:pPr>
    </w:p>
    <w:p>
      <w:pPr>
        <w:ind w:right="160" w:firstLine="619"/>
        <w:spacing w:after="0" w:line="245" w:lineRule="auto"/>
        <w:rPr>
          <w:sz w:val="20"/>
          <w:szCs w:val="20"/>
          <w:color w:val="auto"/>
        </w:rPr>
      </w:pPr>
      <w:r>
        <w:rPr>
          <w:rFonts w:ascii="Times New Roman" w:cs="Times New Roman" w:eastAsia="Times New Roman" w:hAnsi="Times New Roman"/>
          <w:sz w:val="20"/>
          <w:szCs w:val="20"/>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appearing elsewhere in this Annual Report on Form 10-K and in our other filings with the SEC,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4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83" w:lineRule="exact"/>
        <w:rPr>
          <w:sz w:val="20"/>
          <w:szCs w:val="20"/>
          <w:color w:val="auto"/>
        </w:rPr>
      </w:pPr>
    </w:p>
    <w:p>
      <w:pPr>
        <w:ind w:left="900" w:right="200" w:hanging="281"/>
        <w:spacing w:after="0" w:line="258" w:lineRule="auto"/>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we have a limited operating history, have not completed any clinical trials, and have no products approved for commercial sale, which may make it difficult for you to evaluate our current business and likelihood of success and viability;</w:t>
      </w:r>
    </w:p>
    <w:p>
      <w:pPr>
        <w:spacing w:after="0" w:line="81" w:lineRule="exact"/>
        <w:rPr>
          <w:rFonts w:ascii="Arial" w:cs="Arial" w:eastAsia="Arial" w:hAnsi="Arial"/>
          <w:sz w:val="20"/>
          <w:szCs w:val="20"/>
          <w:color w:val="auto"/>
        </w:rPr>
      </w:pPr>
    </w:p>
    <w:p>
      <w:pPr>
        <w:ind w:left="900" w:right="180" w:hanging="281"/>
        <w:spacing w:after="0" w:line="305" w:lineRule="auto"/>
        <w:tabs>
          <w:tab w:leader="none" w:pos="90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we have incurred significant losses since our inception, and we expect to incur significant net losses for the foreseeable future and may not be able to achieve or sustain revenue or profitability in the future;</w:t>
      </w:r>
    </w:p>
    <w:p>
      <w:pPr>
        <w:spacing w:after="0" w:line="37" w:lineRule="exact"/>
        <w:rPr>
          <w:rFonts w:ascii="Arial" w:cs="Arial" w:eastAsia="Arial" w:hAnsi="Arial"/>
          <w:sz w:val="19"/>
          <w:szCs w:val="19"/>
          <w:color w:val="auto"/>
        </w:rPr>
      </w:pPr>
    </w:p>
    <w:p>
      <w:pPr>
        <w:ind w:left="900" w:right="20" w:hanging="281"/>
        <w:spacing w:after="0" w:line="252" w:lineRule="auto"/>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88" w:lineRule="exact"/>
        <w:rPr>
          <w:rFonts w:ascii="Arial" w:cs="Arial" w:eastAsia="Arial" w:hAnsi="Arial"/>
          <w:sz w:val="20"/>
          <w:szCs w:val="20"/>
          <w:color w:val="auto"/>
        </w:rPr>
      </w:pPr>
    </w:p>
    <w:p>
      <w:pPr>
        <w:ind w:left="900" w:right="240" w:hanging="281"/>
        <w:spacing w:after="0" w:line="252" w:lineRule="auto"/>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we will require substantial additional capital to finance our operations in the future. If we are unable to raise such capital when needed, or on acceptable terms, we may be forced to delay, reduce and/or eliminate one or more of our research and product development programs or future commercialization efforts;</w:t>
      </w:r>
    </w:p>
    <w:p>
      <w:pPr>
        <w:spacing w:after="0" w:line="86" w:lineRule="exact"/>
        <w:rPr>
          <w:rFonts w:ascii="Arial" w:cs="Arial" w:eastAsia="Arial" w:hAnsi="Arial"/>
          <w:sz w:val="20"/>
          <w:szCs w:val="20"/>
          <w:color w:val="auto"/>
        </w:rPr>
      </w:pPr>
    </w:p>
    <w:p>
      <w:pPr>
        <w:ind w:left="900" w:right="40" w:hanging="281"/>
        <w:spacing w:after="0" w:line="249" w:lineRule="auto"/>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our discovery and preclinical and clinical development is focused on the development of precision medicines for patients with genomically defined cancers, which is a rapidly evolving area of science, and the approach we are taking to discover and develop drugs targeting p53 hotspot mutations and other p53-related cancers is novel, may never lead to marketable products and may not ultimately represent a significant market;</w:t>
      </w:r>
    </w:p>
    <w:p>
      <w:pPr>
        <w:spacing w:after="0" w:line="91" w:lineRule="exact"/>
        <w:rPr>
          <w:rFonts w:ascii="Arial" w:cs="Arial" w:eastAsia="Arial" w:hAnsi="Arial"/>
          <w:sz w:val="20"/>
          <w:szCs w:val="20"/>
          <w:color w:val="auto"/>
        </w:rPr>
      </w:pPr>
    </w:p>
    <w:p>
      <w:pPr>
        <w:ind w:left="900" w:right="100" w:hanging="281"/>
        <w:spacing w:after="0" w:line="249" w:lineRule="auto"/>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substantially dependent on our lead product candidate, rezatapopt. If we are unable to advance rezatapopt or any of our future product candidates through clinical development, obtain regulatory approval and ultimately commercialize rezatapopt or any of our future product candidates, or experience significant delays in doing so, our business, financial condition and results of operations will be materially adversely affected;</w:t>
      </w:r>
    </w:p>
    <w:p>
      <w:pPr>
        <w:spacing w:after="0" w:line="90" w:lineRule="exact"/>
        <w:rPr>
          <w:rFonts w:ascii="Arial" w:cs="Arial" w:eastAsia="Arial" w:hAnsi="Arial"/>
          <w:sz w:val="20"/>
          <w:szCs w:val="20"/>
          <w:color w:val="auto"/>
        </w:rPr>
      </w:pPr>
    </w:p>
    <w:p>
      <w:pPr>
        <w:jc w:val="both"/>
        <w:ind w:left="900" w:right="120" w:hanging="281"/>
        <w:spacing w:after="0" w:line="258" w:lineRule="auto"/>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1" w:lineRule="exact"/>
        <w:rPr>
          <w:rFonts w:ascii="Arial" w:cs="Arial" w:eastAsia="Arial" w:hAnsi="Arial"/>
          <w:sz w:val="20"/>
          <w:szCs w:val="20"/>
          <w:color w:val="auto"/>
        </w:rPr>
      </w:pPr>
    </w:p>
    <w:p>
      <w:pPr>
        <w:ind w:left="900" w:right="40" w:hanging="281"/>
        <w:spacing w:after="0" w:line="258" w:lineRule="auto"/>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subset of cancer patients that we are targeting are expected to have certain p53 mutations and we may not be able to identify a sufficient number of patients whom we can recruit and retain for our clinical trials to obtain approval for our current or future product candidates;</w:t>
      </w:r>
    </w:p>
    <w:p>
      <w:pPr>
        <w:spacing w:after="0" w:line="81" w:lineRule="exact"/>
        <w:rPr>
          <w:rFonts w:ascii="Arial" w:cs="Arial" w:eastAsia="Arial" w:hAnsi="Arial"/>
          <w:sz w:val="20"/>
          <w:szCs w:val="20"/>
          <w:color w:val="auto"/>
        </w:rPr>
      </w:pPr>
    </w:p>
    <w:p>
      <w:pPr>
        <w:ind w:left="900" w:right="20" w:hanging="281"/>
        <w:spacing w:after="0" w:line="249" w:lineRule="auto"/>
        <w:tabs>
          <w:tab w:leader="none" w:pos="9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regulatory approval processes of the U.S. Food and Drug Administration, or FDA, and other comparable foreign regulatory authorities are lengthy, time consuming and inherently unpredictable. If we are not able to obtain required regulatory approvals for our product candidates, we will not be able to commercialize, or will be delayed in commercializing, our product candidates, and our ability to generate revenue will be materially impaired;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1416" w:right="1440" w:bottom="175" w:gutter="0" w:footer="0" w:header="0"/>
        </w:sectPr>
      </w:pPr>
    </w:p>
    <w:bookmarkStart w:id="32" w:name="page33"/>
    <w:bookmarkEnd w:id="32"/>
    <w:p>
      <w:pPr>
        <w:ind w:left="900" w:hanging="281"/>
        <w:spacing w:after="0" w:line="252" w:lineRule="auto"/>
        <w:tabs>
          <w:tab w:leader="none" w:pos="9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86" w:lineRule="exact"/>
        <w:rPr>
          <w:rFonts w:ascii="Arial" w:cs="Arial" w:eastAsia="Arial" w:hAnsi="Arial"/>
          <w:sz w:val="20"/>
          <w:szCs w:val="20"/>
          <w:color w:val="auto"/>
        </w:rPr>
      </w:pPr>
    </w:p>
    <w:p>
      <w:pPr>
        <w:ind w:left="900" w:right="60" w:hanging="281"/>
        <w:spacing w:after="0" w:line="252" w:lineRule="auto"/>
        <w:tabs>
          <w:tab w:leader="none" w:pos="9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 and</w:t>
      </w:r>
    </w:p>
    <w:p>
      <w:pPr>
        <w:spacing w:after="0" w:line="88" w:lineRule="exact"/>
        <w:rPr>
          <w:rFonts w:ascii="Arial" w:cs="Arial" w:eastAsia="Arial" w:hAnsi="Arial"/>
          <w:sz w:val="20"/>
          <w:szCs w:val="20"/>
          <w:color w:val="auto"/>
        </w:rPr>
      </w:pPr>
    </w:p>
    <w:p>
      <w:pPr>
        <w:ind w:left="900" w:right="80" w:hanging="281"/>
        <w:spacing w:after="0" w:line="258" w:lineRule="auto"/>
        <w:tabs>
          <w:tab w:leader="none" w:pos="90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303" w:lineRule="exact"/>
        <w:rPr>
          <w:sz w:val="20"/>
          <w:szCs w:val="20"/>
          <w:color w:val="auto"/>
        </w:rPr>
      </w:pPr>
    </w:p>
    <w:p>
      <w:pPr>
        <w:jc w:val="center"/>
        <w:spacing w:after="0" w:line="285" w:lineRule="auto"/>
        <w:rPr>
          <w:sz w:val="20"/>
          <w:szCs w:val="20"/>
          <w:color w:val="auto"/>
        </w:rPr>
      </w:pPr>
      <w:r>
        <w:rPr>
          <w:rFonts w:ascii="Times New Roman" w:cs="Times New Roman" w:eastAsia="Times New Roman" w:hAnsi="Times New Roman"/>
          <w:sz w:val="20"/>
          <w:szCs w:val="20"/>
          <w:b w:val="1"/>
          <w:bCs w:val="1"/>
          <w:color w:val="auto"/>
        </w:rPr>
        <w:t>Risks Related to Our Limited Operating History, Business, Financial Condition, Results of Operations and Need for Additional Capital</w:t>
      </w:r>
    </w:p>
    <w:p>
      <w:pPr>
        <w:spacing w:after="0" w:line="157"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have not completed any clinical trials, and have no products approved for commercial sale, which may make it difficult for you to evaluate our current business and likelihood of success and viability.</w:t>
      </w:r>
    </w:p>
    <w:p>
      <w:pPr>
        <w:spacing w:after="0" w:line="68"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We are a 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more recently, clinical studies, and establishing arrangements with third parties for the manufacture of initial quantities of product candidates. Our lead product candidate, rezatapopt, received authorization to proceed under an IND with the FDA in September 2020 and then received Fast Track designation in October 2020. In the fourth quarter of 2020, we initiated patient dosing in our Phase 1/2 clinical trial of rezatapopt. We announced preliminary results from the Phase 1/2 clinical trial of rezatapopt in June 2022. In October 2023, we announced updated Phase 1 results from the Phase 1/2 clinical trial of rezatapopt, and we dosed our first patient in the pivotal Phase 2 monotherapy portion of the trial in the first quarter of 2024.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In March 2026, rezatapopt was granted ODD from the FDA for the treatment of TP53 Y220C positive ovarian cancer, fallopian tube cancer, and primary peritoneal cancer. We have not demonstrated an ability to successfully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204" w:lineRule="exact"/>
        <w:rPr>
          <w:sz w:val="20"/>
          <w:szCs w:val="20"/>
          <w:color w:val="auto"/>
        </w:rPr>
      </w:pPr>
    </w:p>
    <w:p>
      <w:pPr>
        <w:ind w:right="160" w:firstLine="619"/>
        <w:spacing w:after="0" w:line="252" w:lineRule="auto"/>
        <w:rPr>
          <w:sz w:val="20"/>
          <w:szCs w:val="20"/>
          <w:color w:val="auto"/>
        </w:rPr>
      </w:pPr>
      <w:r>
        <w:rPr>
          <w:rFonts w:ascii="Times New Roman" w:cs="Times New Roman" w:eastAsia="Times New Roman" w:hAnsi="Times New Roman"/>
          <w:sz w:val="20"/>
          <w:szCs w:val="20"/>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315"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47" w:lineRule="exact"/>
        <w:rPr>
          <w:sz w:val="20"/>
          <w:szCs w:val="20"/>
          <w:color w:val="auto"/>
        </w:rPr>
      </w:pPr>
    </w:p>
    <w:p>
      <w:pPr>
        <w:ind w:right="40" w:firstLine="619"/>
        <w:spacing w:after="0" w:line="263" w:lineRule="auto"/>
        <w:rPr>
          <w:sz w:val="20"/>
          <w:szCs w:val="20"/>
          <w:color w:val="auto"/>
        </w:rPr>
      </w:pPr>
      <w:r>
        <w:rPr>
          <w:rFonts w:ascii="Times New Roman" w:cs="Times New Roman" w:eastAsia="Times New Roman" w:hAnsi="Times New Roman"/>
          <w:sz w:val="19"/>
          <w:szCs w:val="19"/>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process of developing our product candidates. We have no products approved for commercial sale and have not generated any revenue from product sales to date, and we continue to incur significant research and development and other expenses related to our ongoing operations. We have financed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435" w:right="1440" w:bottom="175" w:gutter="0" w:footer="0" w:header="0"/>
        </w:sectPr>
      </w:pPr>
    </w:p>
    <w:bookmarkStart w:id="33" w:name="page34"/>
    <w:bookmarkEnd w:id="33"/>
    <w:p>
      <w:pPr>
        <w:ind w:right="140"/>
        <w:spacing w:after="0" w:line="277" w:lineRule="auto"/>
        <w:rPr>
          <w:sz w:val="20"/>
          <w:szCs w:val="20"/>
          <w:color w:val="auto"/>
        </w:rPr>
      </w:pPr>
      <w:r>
        <w:rPr>
          <w:rFonts w:ascii="Times New Roman" w:cs="Times New Roman" w:eastAsia="Times New Roman" w:hAnsi="Times New Roman"/>
          <w:sz w:val="20"/>
          <w:szCs w:val="20"/>
          <w:color w:val="auto"/>
        </w:rPr>
        <w:t>primarily through private placements of our preferred stock, our initial public offering and our at-the-market equity offering program.</w:t>
      </w:r>
    </w:p>
    <w:p>
      <w:pPr>
        <w:spacing w:after="0" w:line="169"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auto"/>
        </w:rPr>
        <w:t>We have incurred significant net losses in each period since we commenced operations in March 2013. Our net losses were $77.7 million and $58.7 million for the years ended December 31, 2025 and 2024, respectively. As of December 31, 2025, we had an accumulated deficit of $446.5 million. Substantially all of our losses have resulted from expenses incurred in connection with our research and development programs and from general and administrative costs associated with our operations. Additionally, the net losses we incur may fluctuate significantly from quarter to quarter such that a period-to-period comparison of our results of operations may not be a good indicator of our future performance.</w:t>
      </w:r>
    </w:p>
    <w:p>
      <w:pPr>
        <w:spacing w:after="0" w:line="201" w:lineRule="exact"/>
        <w:rPr>
          <w:sz w:val="20"/>
          <w:szCs w:val="20"/>
          <w:color w:val="auto"/>
        </w:rPr>
      </w:pPr>
    </w:p>
    <w:p>
      <w:pPr>
        <w:ind w:right="360" w:firstLine="619"/>
        <w:spacing w:after="0" w:line="277" w:lineRule="auto"/>
        <w:rPr>
          <w:sz w:val="20"/>
          <w:szCs w:val="20"/>
          <w:color w:val="auto"/>
        </w:rPr>
      </w:pPr>
      <w:r>
        <w:rPr>
          <w:rFonts w:ascii="Times New Roman" w:cs="Times New Roman" w:eastAsia="Times New Roman" w:hAnsi="Times New Roman"/>
          <w:sz w:val="20"/>
          <w:szCs w:val="20"/>
          <w:color w:val="auto"/>
        </w:rPr>
        <w:t>We expect to continue to incur significant losses for the foreseeable future, and we expect these losses to increase substantially if and as we:</w:t>
      </w:r>
    </w:p>
    <w:p>
      <w:pPr>
        <w:spacing w:after="0" w:line="63" w:lineRule="exact"/>
        <w:rPr>
          <w:sz w:val="20"/>
          <w:szCs w:val="20"/>
          <w:color w:val="auto"/>
        </w:rPr>
      </w:pPr>
    </w:p>
    <w:p>
      <w:pPr>
        <w:ind w:left="900" w:hanging="281"/>
        <w:spacing w:after="0"/>
        <w:tabs>
          <w:tab w:leader="none" w:pos="9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continue our research and development efforts and submit IND applications for our product candidates;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conduct preclinical studies and clinical trials;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fail to demonstrate adequate efficacy or an acceptable safety profile in our clinical trials;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seek marketing approvals for any product candidates that successfully complete clinical trials;</w:t>
      </w:r>
    </w:p>
    <w:p>
      <w:pPr>
        <w:spacing w:after="0" w:line="132" w:lineRule="exact"/>
        <w:rPr>
          <w:rFonts w:ascii="Arial" w:cs="Arial" w:eastAsia="Arial" w:hAnsi="Arial"/>
          <w:sz w:val="20"/>
          <w:szCs w:val="20"/>
          <w:color w:val="auto"/>
        </w:rPr>
      </w:pPr>
    </w:p>
    <w:p>
      <w:pPr>
        <w:ind w:left="900" w:right="200" w:hanging="281"/>
        <w:spacing w:after="0" w:line="277" w:lineRule="auto"/>
        <w:tabs>
          <w:tab w:leader="none" w:pos="9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any delays or encounter any issues with any of the above, including but not limited to failed studies, complex results, safety issues or other regulatory challenges;</w:t>
      </w:r>
    </w:p>
    <w:p>
      <w:pPr>
        <w:spacing w:after="0" w:line="62" w:lineRule="exact"/>
        <w:rPr>
          <w:rFonts w:ascii="Arial" w:cs="Arial" w:eastAsia="Arial" w:hAnsi="Arial"/>
          <w:sz w:val="20"/>
          <w:szCs w:val="20"/>
          <w:color w:val="auto"/>
        </w:rPr>
      </w:pPr>
    </w:p>
    <w:p>
      <w:pPr>
        <w:ind w:left="900" w:right="280" w:hanging="281"/>
        <w:spacing w:after="0" w:line="259" w:lineRule="auto"/>
        <w:tabs>
          <w:tab w:leader="none" w:pos="9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78" w:lineRule="exact"/>
        <w:rPr>
          <w:rFonts w:ascii="Arial" w:cs="Arial" w:eastAsia="Arial" w:hAnsi="Arial"/>
          <w:sz w:val="20"/>
          <w:szCs w:val="20"/>
          <w:color w:val="auto"/>
        </w:rPr>
      </w:pPr>
    </w:p>
    <w:p>
      <w:pPr>
        <w:ind w:left="900" w:hanging="281"/>
        <w:spacing w:after="0"/>
        <w:tabs>
          <w:tab w:leader="none" w:pos="9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obtain, expand, maintain, enforce and protect our intellectual property portfolio;</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hire additional clinical, regulatory and scientific personnel; and</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operate as a public company.</w:t>
      </w:r>
    </w:p>
    <w:p>
      <w:pPr>
        <w:spacing w:after="0" w:line="238"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1420" w:right="1440" w:bottom="175" w:gutter="0" w:footer="0" w:header="0"/>
        </w:sectPr>
      </w:pPr>
    </w:p>
    <w:bookmarkStart w:id="34" w:name="page35"/>
    <w:bookmarkEnd w:id="34"/>
    <w:p>
      <w:pPr>
        <w:ind w:right="20" w:firstLine="619"/>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51" w:lineRule="exact"/>
        <w:rPr>
          <w:sz w:val="20"/>
          <w:szCs w:val="20"/>
          <w:color w:val="auto"/>
        </w:rPr>
      </w:pPr>
    </w:p>
    <w:p>
      <w:pPr>
        <w:ind w:right="60" w:firstLine="619"/>
        <w:spacing w:after="0" w:line="242" w:lineRule="auto"/>
        <w:rPr>
          <w:sz w:val="20"/>
          <w:szCs w:val="20"/>
          <w:color w:val="auto"/>
        </w:rPr>
      </w:pPr>
      <w:r>
        <w:rPr>
          <w:rFonts w:ascii="Times New Roman" w:cs="Times New Roman" w:eastAsia="Times New Roman" w:hAnsi="Times New Roman"/>
          <w:sz w:val="20"/>
          <w:szCs w:val="20"/>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announced preliminary results for our Phase 1/2 clinical trial of our lead product candidate, rezatapopt, in June 2022, and announced updated Phase 1 results in October 2023 and announced interim data from the Phase 2 pivotal portion of the PYNNACLE clinical trial, which was updated in October 2025. We are continuing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In addition, all of our other product candidates are still in preclinical development and have not been evaluated in humans. We face significant translational risk as our 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103" w:lineRule="exact"/>
        <w:rPr>
          <w:sz w:val="20"/>
          <w:szCs w:val="20"/>
          <w:color w:val="auto"/>
        </w:rPr>
      </w:pPr>
    </w:p>
    <w:p>
      <w:pPr>
        <w:ind w:left="900" w:right="120" w:hanging="281"/>
        <w:spacing w:after="0" w:line="252" w:lineRule="auto"/>
        <w:tabs>
          <w:tab w:leader="none" w:pos="9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enrollment and timely completion of our clinical trials for our lead product candidate, rezatapopt, and timely initiation and completion of our preclinical studies for our future product candidates, which may be significantly slower or cost more than we currently anticipate and will depend substantially upon the performance of third-party contractors;</w:t>
      </w:r>
    </w:p>
    <w:p>
      <w:pPr>
        <w:spacing w:after="0" w:line="86" w:lineRule="exact"/>
        <w:rPr>
          <w:rFonts w:ascii="Arial" w:cs="Arial" w:eastAsia="Arial" w:hAnsi="Arial"/>
          <w:sz w:val="20"/>
          <w:szCs w:val="20"/>
          <w:color w:val="auto"/>
        </w:rPr>
      </w:pPr>
    </w:p>
    <w:p>
      <w:pPr>
        <w:ind w:left="900" w:right="320" w:hanging="282"/>
        <w:spacing w:after="0" w:line="277" w:lineRule="auto"/>
        <w:tabs>
          <w:tab w:leader="none" w:pos="9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and maintaining relationships with contract research organizations, or CROs, and clinical sites for the clinical development of rezatapopt and our future product candidates;</w:t>
      </w:r>
    </w:p>
    <w:p>
      <w:pPr>
        <w:spacing w:after="0" w:line="62" w:lineRule="exact"/>
        <w:rPr>
          <w:rFonts w:ascii="Arial" w:cs="Arial" w:eastAsia="Arial" w:hAnsi="Arial"/>
          <w:sz w:val="20"/>
          <w:szCs w:val="20"/>
          <w:color w:val="auto"/>
        </w:rPr>
      </w:pPr>
    </w:p>
    <w:p>
      <w:pPr>
        <w:ind w:left="900" w:right="640" w:hanging="282"/>
        <w:spacing w:after="0" w:line="277" w:lineRule="auto"/>
        <w:tabs>
          <w:tab w:leader="none" w:pos="9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complete IND-enabling studies and successfully submit and receive authorization to proceed under INDs or comparable applications;</w:t>
      </w:r>
    </w:p>
    <w:p>
      <w:pPr>
        <w:spacing w:after="0" w:line="63" w:lineRule="exact"/>
        <w:rPr>
          <w:rFonts w:ascii="Arial" w:cs="Arial" w:eastAsia="Arial" w:hAnsi="Arial"/>
          <w:sz w:val="20"/>
          <w:szCs w:val="20"/>
          <w:color w:val="auto"/>
        </w:rPr>
      </w:pPr>
    </w:p>
    <w:p>
      <w:pPr>
        <w:ind w:left="900" w:right="580" w:hanging="282"/>
        <w:spacing w:after="0" w:line="258" w:lineRule="auto"/>
        <w:tabs>
          <w:tab w:leader="none" w:pos="9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81" w:lineRule="exact"/>
        <w:rPr>
          <w:rFonts w:ascii="Arial" w:cs="Arial" w:eastAsia="Arial" w:hAnsi="Arial"/>
          <w:sz w:val="20"/>
          <w:szCs w:val="20"/>
          <w:color w:val="auto"/>
        </w:rPr>
      </w:pPr>
    </w:p>
    <w:p>
      <w:pPr>
        <w:ind w:left="900" w:right="280" w:hanging="282"/>
        <w:spacing w:after="0" w:line="252" w:lineRule="auto"/>
        <w:tabs>
          <w:tab w:leader="none" w:pos="9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86" w:lineRule="exact"/>
        <w:rPr>
          <w:rFonts w:ascii="Arial" w:cs="Arial" w:eastAsia="Arial" w:hAnsi="Arial"/>
          <w:sz w:val="20"/>
          <w:szCs w:val="20"/>
          <w:color w:val="auto"/>
        </w:rPr>
      </w:pPr>
    </w:p>
    <w:p>
      <w:pPr>
        <w:ind w:left="900" w:right="120" w:hanging="282"/>
        <w:spacing w:after="0" w:line="277" w:lineRule="auto"/>
        <w:tabs>
          <w:tab w:leader="none" w:pos="9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duration and severity of potential side effects or other safety issues experienced with our product candidates or future product candidates, if any;</w:t>
      </w:r>
    </w:p>
    <w:p>
      <w:pPr>
        <w:spacing w:after="0" w:line="62" w:lineRule="exact"/>
        <w:rPr>
          <w:rFonts w:ascii="Arial" w:cs="Arial" w:eastAsia="Arial" w:hAnsi="Arial"/>
          <w:sz w:val="20"/>
          <w:szCs w:val="20"/>
          <w:color w:val="auto"/>
        </w:rPr>
      </w:pPr>
    </w:p>
    <w:p>
      <w:pPr>
        <w:ind w:left="900" w:right="340" w:hanging="282"/>
        <w:spacing w:after="0" w:line="277" w:lineRule="auto"/>
        <w:tabs>
          <w:tab w:leader="none" w:pos="9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timely receipt of necessary marketing approvals from the FDA and comparable foreign regulatory authorities;</w:t>
      </w:r>
    </w:p>
    <w:p>
      <w:pPr>
        <w:spacing w:after="0" w:line="63" w:lineRule="exact"/>
        <w:rPr>
          <w:rFonts w:ascii="Arial" w:cs="Arial" w:eastAsia="Arial" w:hAnsi="Arial"/>
          <w:sz w:val="20"/>
          <w:szCs w:val="20"/>
          <w:color w:val="auto"/>
        </w:rPr>
      </w:pPr>
    </w:p>
    <w:p>
      <w:pPr>
        <w:ind w:left="900" w:right="500" w:hanging="282"/>
        <w:spacing w:after="0" w:line="258" w:lineRule="auto"/>
        <w:tabs>
          <w:tab w:leader="none" w:pos="9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81" w:lineRule="exact"/>
        <w:rPr>
          <w:rFonts w:ascii="Arial" w:cs="Arial" w:eastAsia="Arial" w:hAnsi="Arial"/>
          <w:sz w:val="20"/>
          <w:szCs w:val="20"/>
          <w:color w:val="auto"/>
        </w:rPr>
      </w:pPr>
    </w:p>
    <w:p>
      <w:pPr>
        <w:ind w:left="900" w:right="580" w:hanging="282"/>
        <w:spacing w:after="0" w:line="258" w:lineRule="auto"/>
        <w:tabs>
          <w:tab w:leader="none" w:pos="9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81" w:lineRule="exact"/>
        <w:rPr>
          <w:rFonts w:ascii="Arial" w:cs="Arial" w:eastAsia="Arial" w:hAnsi="Arial"/>
          <w:sz w:val="20"/>
          <w:szCs w:val="20"/>
          <w:color w:val="auto"/>
        </w:rPr>
      </w:pPr>
    </w:p>
    <w:p>
      <w:pPr>
        <w:ind w:left="900" w:right="60" w:hanging="282"/>
        <w:spacing w:after="0" w:line="252" w:lineRule="auto"/>
        <w:tabs>
          <w:tab w:leader="none" w:pos="90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 requirements;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420" w:right="1440" w:bottom="175" w:gutter="0" w:footer="0" w:header="0"/>
        </w:sectPr>
      </w:pPr>
    </w:p>
    <w:bookmarkStart w:id="35" w:name="page36"/>
    <w:bookmarkEnd w:id="35"/>
    <w:p>
      <w:pPr>
        <w:ind w:left="900" w:right="400" w:hanging="281"/>
        <w:spacing w:after="0" w:line="252" w:lineRule="auto"/>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86" w:lineRule="exact"/>
        <w:rPr>
          <w:rFonts w:ascii="Arial" w:cs="Arial" w:eastAsia="Arial" w:hAnsi="Arial"/>
          <w:sz w:val="20"/>
          <w:szCs w:val="20"/>
          <w:color w:val="auto"/>
        </w:rPr>
      </w:pPr>
    </w:p>
    <w:p>
      <w:pPr>
        <w:ind w:left="900" w:hanging="281"/>
        <w:spacing w:after="0"/>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patient demand for our product candidates and any future product candidates, if approved;</w:t>
      </w:r>
    </w:p>
    <w:p>
      <w:pPr>
        <w:spacing w:after="0" w:line="133" w:lineRule="exact"/>
        <w:rPr>
          <w:rFonts w:ascii="Arial" w:cs="Arial" w:eastAsia="Arial" w:hAnsi="Arial"/>
          <w:sz w:val="20"/>
          <w:szCs w:val="20"/>
          <w:color w:val="auto"/>
        </w:rPr>
      </w:pPr>
    </w:p>
    <w:p>
      <w:pPr>
        <w:ind w:left="900" w:right="340" w:hanging="281"/>
        <w:spacing w:after="0" w:line="276" w:lineRule="auto"/>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enforce intellectual property rights in and to our product candidates or any future product candidates;</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coverage and adequate reimbursement by third-party payors for our product candidates;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addressing any competing therapies and technological and market developments; and</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attracting, hiring and retaining qualified personnel.</w:t>
      </w:r>
    </w:p>
    <w:p>
      <w:pPr>
        <w:spacing w:after="0" w:line="239"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Many of the factors listed above are beyond our control and could cause us to experience significant delays or prevent us from obtaining regulatory approvals or commercializing our product candidates. Successful completion of preclinical studies and clinical trials does not mean that any of our current or future product candidates will receive regulatory approval. Even if regulatory approvals are obtained, we could experience significant delays or an inability to successfully commercialize our current and any future product candidates, which would materially harm our business.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326"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will require substantial additional capital to finance our operations in the future. If we are unable to raise such capital when needed, or on acceptable terms, we may be forced to delay, reduce and/or eliminate one or more of our research and product development programs or future commercialization efforts.</w:t>
      </w:r>
    </w:p>
    <w:p>
      <w:pPr>
        <w:spacing w:after="0" w:line="69"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rezatapopt,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modify the design of our clinical trials or perform preclinical studies or clinical trials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203"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As of December 31, 2025, we had $112.9 million in cash, cash equivalents, and marketable securities. Although we believe that our available cash, cash equivalents, and marketable securities will be sufficient to fund our planned operations until the end of the second quarter of 2027, this belief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This belief also does not reflect the possibility that we may not be able to access a portion of our existing cash and cash equivalents due to market conditions.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United States, or that any bank or financial institution with which we do business will be able to obtain needed liquidity from other banks, government institutions or by acquisition in the event of a failure or liquidity crisis.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435" w:right="1440" w:bottom="175" w:gutter="0" w:footer="0" w:header="0"/>
        </w:sectPr>
      </w:pPr>
    </w:p>
    <w:bookmarkStart w:id="36" w:name="page37"/>
    <w:bookmarkEnd w:id="36"/>
    <w:p>
      <w:pPr>
        <w:ind w:left="620"/>
        <w:spacing w:after="0"/>
        <w:rPr>
          <w:sz w:val="20"/>
          <w:szCs w:val="20"/>
          <w:color w:val="auto"/>
        </w:rPr>
      </w:pPr>
      <w:r>
        <w:rPr>
          <w:rFonts w:ascii="Times New Roman" w:cs="Times New Roman" w:eastAsia="Times New Roman" w:hAnsi="Times New Roman"/>
          <w:sz w:val="20"/>
          <w:szCs w:val="20"/>
          <w:color w:val="auto"/>
        </w:rPr>
        <w:t>Our future capital requirements depend on many factors, including:</w:t>
      </w:r>
    </w:p>
    <w:p>
      <w:pPr>
        <w:spacing w:after="0" w:line="134" w:lineRule="exact"/>
        <w:rPr>
          <w:sz w:val="20"/>
          <w:szCs w:val="20"/>
          <w:color w:val="auto"/>
        </w:rPr>
      </w:pPr>
    </w:p>
    <w:p>
      <w:pPr>
        <w:ind w:left="900" w:right="20" w:hanging="281"/>
        <w:spacing w:after="0" w:line="259" w:lineRule="auto"/>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progress, results and costs of researching and developing our current product candidates or any future product candidates we choose to pursue, and conducting preclinical studies and clinical trials, including our clinical trials of rezatapopt;</w:t>
      </w:r>
    </w:p>
    <w:p>
      <w:pPr>
        <w:spacing w:after="0" w:line="78" w:lineRule="exact"/>
        <w:rPr>
          <w:rFonts w:ascii="Arial" w:cs="Arial" w:eastAsia="Arial" w:hAnsi="Arial"/>
          <w:sz w:val="20"/>
          <w:szCs w:val="20"/>
          <w:color w:val="auto"/>
        </w:rPr>
      </w:pPr>
    </w:p>
    <w:p>
      <w:pPr>
        <w:ind w:left="900" w:right="80" w:hanging="281"/>
        <w:spacing w:after="0" w:line="277" w:lineRule="auto"/>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and the costs involved in, obtaining regulatory approvals for our product candidates or any future product candidates;</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characteristics of any additional product candidates we develop or acquire;</w:t>
      </w:r>
    </w:p>
    <w:p>
      <w:pPr>
        <w:spacing w:after="0" w:line="133" w:lineRule="exact"/>
        <w:rPr>
          <w:rFonts w:ascii="Arial" w:cs="Arial" w:eastAsia="Arial" w:hAnsi="Arial"/>
          <w:sz w:val="20"/>
          <w:szCs w:val="20"/>
          <w:color w:val="auto"/>
        </w:rPr>
      </w:pPr>
    </w:p>
    <w:p>
      <w:pPr>
        <w:ind w:left="900" w:right="60" w:hanging="281"/>
        <w:spacing w:after="0" w:line="277" w:lineRule="auto"/>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amount of any milestone, royalty and/or other payments we are required to make pursuant to any future license or collaboration agreements;</w:t>
      </w:r>
    </w:p>
    <w:p>
      <w:pPr>
        <w:spacing w:after="0" w:line="62" w:lineRule="exact"/>
        <w:rPr>
          <w:rFonts w:ascii="Arial" w:cs="Arial" w:eastAsia="Arial" w:hAnsi="Arial"/>
          <w:sz w:val="20"/>
          <w:szCs w:val="20"/>
          <w:color w:val="auto"/>
        </w:rPr>
      </w:pPr>
    </w:p>
    <w:p>
      <w:pPr>
        <w:ind w:left="900" w:right="200" w:hanging="281"/>
        <w:spacing w:after="0" w:line="277" w:lineRule="auto"/>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manufacturing our product candidates or any future product candidates and any products we successfully commercialize;</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building a sales force in anticipation of product commercialization;</w:t>
      </w:r>
    </w:p>
    <w:p>
      <w:pPr>
        <w:spacing w:after="0" w:line="132" w:lineRule="exact"/>
        <w:rPr>
          <w:rFonts w:ascii="Arial" w:cs="Arial" w:eastAsia="Arial" w:hAnsi="Arial"/>
          <w:sz w:val="20"/>
          <w:szCs w:val="20"/>
          <w:color w:val="auto"/>
        </w:rPr>
      </w:pPr>
    </w:p>
    <w:p>
      <w:pPr>
        <w:ind w:left="900" w:right="720" w:hanging="281"/>
        <w:spacing w:after="0" w:line="277" w:lineRule="auto"/>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commercialization activities of our product candidates, if approved for sale, including marketing, sales and distribution costs;</w:t>
      </w:r>
    </w:p>
    <w:p>
      <w:pPr>
        <w:spacing w:after="0" w:line="62" w:lineRule="exact"/>
        <w:rPr>
          <w:rFonts w:ascii="Arial" w:cs="Arial" w:eastAsia="Arial" w:hAnsi="Arial"/>
          <w:sz w:val="20"/>
          <w:szCs w:val="20"/>
          <w:color w:val="auto"/>
        </w:rPr>
      </w:pPr>
    </w:p>
    <w:p>
      <w:pPr>
        <w:ind w:left="900" w:right="20" w:hanging="281"/>
        <w:spacing w:after="0" w:line="259" w:lineRule="auto"/>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78" w:lineRule="exact"/>
        <w:rPr>
          <w:rFonts w:ascii="Arial" w:cs="Arial" w:eastAsia="Arial" w:hAnsi="Arial"/>
          <w:sz w:val="20"/>
          <w:szCs w:val="20"/>
          <w:color w:val="auto"/>
        </w:rPr>
      </w:pPr>
    </w:p>
    <w:p>
      <w:pPr>
        <w:ind w:left="900" w:hanging="281"/>
        <w:spacing w:after="0"/>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any product liability or other lawsuits related to our products;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expenses needed to attract, hire and retain skilled personnel;</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associated with being a public company;</w:t>
      </w:r>
    </w:p>
    <w:p>
      <w:pPr>
        <w:spacing w:after="0" w:line="132" w:lineRule="exact"/>
        <w:rPr>
          <w:rFonts w:ascii="Arial" w:cs="Arial" w:eastAsia="Arial" w:hAnsi="Arial"/>
          <w:sz w:val="20"/>
          <w:szCs w:val="20"/>
          <w:color w:val="auto"/>
        </w:rPr>
      </w:pPr>
    </w:p>
    <w:p>
      <w:pPr>
        <w:ind w:left="900" w:right="60" w:hanging="281"/>
        <w:spacing w:after="0" w:line="277" w:lineRule="auto"/>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involved in preparing, filing, prosecuting, maintaining, defending and enforcing our intellectual property portfolio;</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receipt and amount of sales of any future approved products; and</w:t>
      </w:r>
    </w:p>
    <w:p>
      <w:pPr>
        <w:spacing w:after="0" w:line="133" w:lineRule="exact"/>
        <w:rPr>
          <w:rFonts w:ascii="Arial" w:cs="Arial" w:eastAsia="Arial" w:hAnsi="Arial"/>
          <w:sz w:val="20"/>
          <w:szCs w:val="20"/>
          <w:color w:val="auto"/>
        </w:rPr>
      </w:pPr>
    </w:p>
    <w:p>
      <w:pPr>
        <w:ind w:left="900" w:right="640" w:hanging="282"/>
        <w:spacing w:after="0" w:line="277" w:lineRule="auto"/>
        <w:tabs>
          <w:tab w:leader="none" w:pos="90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a global pandemic or other public health emergencies on our operations, which may exacerbate the magnitude of the factors discussed above.</w:t>
      </w:r>
    </w:p>
    <w:p>
      <w:pPr>
        <w:spacing w:after="0" w:line="168"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inflation expectations, rising interest rates and the disruptions to and volatility in the credit and financial markets in the United States and worldwide resulting from a global pandemic or other public health emergencies, geopolitical tensions (such as the Ukraine-Russia war, the conflict in the Middle East and trade restrictions between the U.S. and China) among other global conditions affecting financial markets.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Product Development</w:t>
      </w:r>
    </w:p>
    <w:p>
      <w:pPr>
        <w:spacing w:after="0" w:line="24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discovery and product development is focused on the development of precision medicines for patients with genomically defined cancers, which is a rapidly evolving area of science, and the approach we are taking to discover and develop drugs targeting p53 is novel, may never lead to marketable products and may not ultimately represent a significant market.</w:t>
      </w:r>
    </w:p>
    <w:p>
      <w:pPr>
        <w:spacing w:after="0" w:line="73" w:lineRule="exact"/>
        <w:rPr>
          <w:sz w:val="20"/>
          <w:szCs w:val="20"/>
          <w:color w:val="auto"/>
        </w:rPr>
      </w:pPr>
    </w:p>
    <w:p>
      <w:pPr>
        <w:ind w:right="200" w:firstLine="619"/>
        <w:spacing w:after="0" w:line="258" w:lineRule="auto"/>
        <w:rPr>
          <w:sz w:val="20"/>
          <w:szCs w:val="20"/>
          <w:color w:val="auto"/>
        </w:rPr>
      </w:pPr>
      <w:r>
        <w:rPr>
          <w:rFonts w:ascii="Times New Roman" w:cs="Times New Roman" w:eastAsia="Times New Roman" w:hAnsi="Times New Roman"/>
          <w:sz w:val="20"/>
          <w:szCs w:val="20"/>
          <w:color w:val="auto"/>
        </w:rPr>
        <w:t>The discovery and development of precision medicines for patients with genomically defined cancers is an emerging field, and the scientific discoveries that form the basis for our efforts to discover and develop product candidates are relatively new. The scientific evidence to support the feasibility of developing product candidates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420" w:right="1440" w:bottom="175" w:gutter="0" w:footer="0" w:header="0"/>
        </w:sectPr>
      </w:pPr>
    </w:p>
    <w:bookmarkStart w:id="37" w:name="page38"/>
    <w:bookmarkEnd w:id="37"/>
    <w:p>
      <w:pPr>
        <w:spacing w:after="0" w:line="249" w:lineRule="auto"/>
        <w:rPr>
          <w:sz w:val="20"/>
          <w:szCs w:val="20"/>
          <w:color w:val="auto"/>
        </w:rPr>
      </w:pPr>
      <w:r>
        <w:rPr>
          <w:rFonts w:ascii="Times New Roman" w:cs="Times New Roman" w:eastAsia="Times New Roman" w:hAnsi="Times New Roman"/>
          <w:sz w:val="20"/>
          <w:szCs w:val="20"/>
          <w:color w:val="auto"/>
        </w:rPr>
        <w:t>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trial results may not confirm this hypothesis or may only confirm it for certain mutations or certain tumor types.</w:t>
      </w:r>
    </w:p>
    <w:p>
      <w:pPr>
        <w:spacing w:after="0" w:line="197"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Further, even if our approach is successful in showing clinical benefit for tumors harboring the p53 mutation targeted by our lead product candidate, rezatapopt, we may never successfully identify additional product candidates for targeting p53 through our platform. Therefore, we do not know if our approach of treating patients with genomically defined cancers will be successful, and if our approach is unsuccessful, our business will be materially adversely affected.</w:t>
      </w:r>
    </w:p>
    <w:p>
      <w:pPr>
        <w:spacing w:after="0" w:line="197" w:lineRule="exact"/>
        <w:rPr>
          <w:sz w:val="20"/>
          <w:szCs w:val="20"/>
          <w:color w:val="auto"/>
        </w:rPr>
      </w:pPr>
    </w:p>
    <w:p>
      <w:pPr>
        <w:ind w:right="100" w:firstLine="620"/>
        <w:spacing w:after="0" w:line="244" w:lineRule="auto"/>
        <w:rPr>
          <w:sz w:val="20"/>
          <w:szCs w:val="20"/>
          <w:color w:val="auto"/>
        </w:rPr>
      </w:pPr>
      <w:r>
        <w:rPr>
          <w:rFonts w:ascii="Times New Roman" w:cs="Times New Roman" w:eastAsia="Times New Roman" w:hAnsi="Times New Roman"/>
          <w:sz w:val="20"/>
          <w:szCs w:val="20"/>
          <w:color w:val="auto"/>
        </w:rPr>
        <w:t>In addition, because our approach targets genomically defined cancer patients and not specific tumors based on tumor or cancer types, we are pursuing a tumor-agnostic development strategy (i.e.,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If our Phase 1/2 trial for rezatapopt does not support a tumor-agnostic indication, but we observe clinical benefit in certain tumor or cancer types, we may decide to pursue a tumor- or cancer-specific indication which may require additional clinical trials. Further, even if our Phase 1/2 trial for rezatapopt is successful, the FDA may not agree that such study can serve as a pivotal study, which would require us to conduct additional clinical trials prior to approval.</w:t>
      </w:r>
    </w:p>
    <w:p>
      <w:pPr>
        <w:spacing w:after="0" w:line="32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substantially dependent on our lead product candidate, rezatapopt. If we are unable to advance rezatapopt or any of our future product candidates through clinical development, obtain regulatory approval and ultimately commercialize rezatapopt or any of our future product candidates, or experience significant delays in doing so, our business, financial condition and results of operations will be materially adversely affected.</w:t>
      </w:r>
    </w:p>
    <w:p>
      <w:pPr>
        <w:spacing w:after="0" w:line="75"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0"/>
          <w:szCs w:val="20"/>
          <w:color w:val="auto"/>
        </w:rPr>
        <w:t xml:space="preserve">We allocate the majority of our efforts and financial resources to the development of our lead product candidate, rezatapopt. Our future success is dependent on our ability to timely and successfully complete clinical trials, obtain marketing approval for and successfully commercialize rezatapopt. All of our other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rezatapopt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diagnostic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100" w:lineRule="exact"/>
        <w:rPr>
          <w:sz w:val="20"/>
          <w:szCs w:val="20"/>
          <w:color w:val="auto"/>
        </w:rPr>
      </w:pPr>
    </w:p>
    <w:p>
      <w:pPr>
        <w:ind w:left="900" w:hanging="281"/>
        <w:spacing w:after="0"/>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timely and successful completion of our ongoing clinical trials;</w:t>
      </w:r>
    </w:p>
    <w:p>
      <w:pPr>
        <w:spacing w:after="0" w:line="133" w:lineRule="exact"/>
        <w:rPr>
          <w:rFonts w:ascii="Arial" w:cs="Arial" w:eastAsia="Arial" w:hAnsi="Arial"/>
          <w:sz w:val="20"/>
          <w:szCs w:val="20"/>
          <w:color w:val="auto"/>
        </w:rPr>
      </w:pPr>
    </w:p>
    <w:p>
      <w:pPr>
        <w:ind w:left="900" w:right="420" w:hanging="281"/>
        <w:spacing w:after="0" w:line="258" w:lineRule="auto"/>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continue our business operations and product candidate research and development, and adapt to any changes in the regulatory approval process, manufacturing supply or clinical trial requirements and timing stemming from a global pandemic or other public health emergencies;</w:t>
      </w:r>
    </w:p>
    <w:p>
      <w:pPr>
        <w:spacing w:after="0" w:line="81" w:lineRule="exact"/>
        <w:rPr>
          <w:rFonts w:ascii="Arial" w:cs="Arial" w:eastAsia="Arial" w:hAnsi="Arial"/>
          <w:sz w:val="20"/>
          <w:szCs w:val="20"/>
          <w:color w:val="auto"/>
        </w:rPr>
      </w:pPr>
    </w:p>
    <w:p>
      <w:pPr>
        <w:ind w:left="900" w:hanging="281"/>
        <w:spacing w:after="0"/>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receipt of authorization to proceed under INDs for our planned clinical trials or future clinical trials;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FDA acceptance of our tumor-agnostic development strategy;</w:t>
      </w:r>
    </w:p>
    <w:p>
      <w:pPr>
        <w:spacing w:after="0" w:line="132" w:lineRule="exact"/>
        <w:rPr>
          <w:rFonts w:ascii="Arial" w:cs="Arial" w:eastAsia="Arial" w:hAnsi="Arial"/>
          <w:sz w:val="20"/>
          <w:szCs w:val="20"/>
          <w:color w:val="auto"/>
        </w:rPr>
      </w:pPr>
    </w:p>
    <w:p>
      <w:pPr>
        <w:ind w:left="900" w:right="300" w:hanging="281"/>
        <w:spacing w:after="0" w:line="277" w:lineRule="auto"/>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initiation and successful patient enrollment in and completion of additional preclinical and clinical trials of our product candidates on a timely basis;</w:t>
      </w:r>
    </w:p>
    <w:p>
      <w:pPr>
        <w:spacing w:after="0" w:line="62" w:lineRule="exact"/>
        <w:rPr>
          <w:rFonts w:ascii="Arial" w:cs="Arial" w:eastAsia="Arial" w:hAnsi="Arial"/>
          <w:sz w:val="20"/>
          <w:szCs w:val="20"/>
          <w:color w:val="auto"/>
        </w:rPr>
      </w:pPr>
    </w:p>
    <w:p>
      <w:pPr>
        <w:ind w:left="900" w:right="80" w:hanging="281"/>
        <w:spacing w:after="0" w:line="277" w:lineRule="auto"/>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development with third party collaborators of companion diagnostics for use with our product candidates;</w:t>
      </w:r>
    </w:p>
    <w:p>
      <w:pPr>
        <w:spacing w:after="0" w:line="63" w:lineRule="exact"/>
        <w:rPr>
          <w:rFonts w:ascii="Arial" w:cs="Arial" w:eastAsia="Arial" w:hAnsi="Arial"/>
          <w:sz w:val="20"/>
          <w:szCs w:val="20"/>
          <w:color w:val="auto"/>
        </w:rPr>
      </w:pPr>
    </w:p>
    <w:p>
      <w:pPr>
        <w:ind w:left="900" w:right="40" w:hanging="281"/>
        <w:spacing w:after="0" w:line="276" w:lineRule="auto"/>
        <w:tabs>
          <w:tab w:leader="none" w:pos="90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safety, tolerability and efficacy profiles for our product candidates that are satisfactory to the FDA or any foreign regulatory authority for marketing approval;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420" w:right="1440" w:bottom="175" w:gutter="0" w:footer="0" w:header="0"/>
        </w:sectPr>
      </w:pPr>
    </w:p>
    <w:bookmarkStart w:id="38" w:name="page39"/>
    <w:bookmarkEnd w:id="38"/>
    <w:p>
      <w:pPr>
        <w:ind w:left="900" w:right="860" w:hanging="281"/>
        <w:spacing w:after="0" w:line="276" w:lineRule="auto"/>
        <w:tabs>
          <w:tab w:leader="none" w:pos="9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receipt of marketing approvals for our product candidates and any companion diagnostics from applicable regulatory authorities, which must be approved contemporaneously;</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any required post-marketing approval commitments to applicable regulatory authorities;</w:t>
      </w:r>
    </w:p>
    <w:p>
      <w:pPr>
        <w:spacing w:after="0" w:line="132" w:lineRule="exact"/>
        <w:rPr>
          <w:rFonts w:ascii="Arial" w:cs="Arial" w:eastAsia="Arial" w:hAnsi="Arial"/>
          <w:sz w:val="20"/>
          <w:szCs w:val="20"/>
          <w:color w:val="auto"/>
        </w:rPr>
      </w:pPr>
    </w:p>
    <w:p>
      <w:pPr>
        <w:ind w:left="900" w:right="260" w:hanging="281"/>
        <w:spacing w:after="0" w:line="277" w:lineRule="auto"/>
        <w:tabs>
          <w:tab w:leader="none" w:pos="9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patent and trade secret protection and regulatory exclusivity for our product candidates;</w:t>
      </w:r>
    </w:p>
    <w:p>
      <w:pPr>
        <w:spacing w:after="0" w:line="63" w:lineRule="exact"/>
        <w:rPr>
          <w:rFonts w:ascii="Arial" w:cs="Arial" w:eastAsia="Arial" w:hAnsi="Arial"/>
          <w:sz w:val="20"/>
          <w:szCs w:val="20"/>
          <w:color w:val="auto"/>
        </w:rPr>
      </w:pPr>
    </w:p>
    <w:p>
      <w:pPr>
        <w:ind w:left="900" w:right="40" w:hanging="281"/>
        <w:spacing w:after="0" w:line="276" w:lineRule="auto"/>
        <w:tabs>
          <w:tab w:leader="none" w:pos="9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making arrangements with third-party manufacturers, or establishing manufacturing capabilities, for both clinical and commercial supplies of our product candidates, if any product candidates are approved;</w:t>
      </w:r>
    </w:p>
    <w:p>
      <w:pPr>
        <w:spacing w:after="0" w:line="64" w:lineRule="exact"/>
        <w:rPr>
          <w:rFonts w:ascii="Arial" w:cs="Arial" w:eastAsia="Arial" w:hAnsi="Arial"/>
          <w:sz w:val="20"/>
          <w:szCs w:val="20"/>
          <w:color w:val="auto"/>
        </w:rPr>
      </w:pPr>
    </w:p>
    <w:p>
      <w:pPr>
        <w:ind w:left="900" w:right="740" w:hanging="281"/>
        <w:spacing w:after="0" w:line="277" w:lineRule="auto"/>
        <w:tabs>
          <w:tab w:leader="none" w:pos="9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sales, marketing and distribution capabilities and launching commercial sales of our products, if and when approved, whether alone or in collaboration with others;</w:t>
      </w:r>
    </w:p>
    <w:p>
      <w:pPr>
        <w:spacing w:after="0" w:line="62" w:lineRule="exact"/>
        <w:rPr>
          <w:rFonts w:ascii="Arial" w:cs="Arial" w:eastAsia="Arial" w:hAnsi="Arial"/>
          <w:sz w:val="20"/>
          <w:szCs w:val="20"/>
          <w:color w:val="auto"/>
        </w:rPr>
      </w:pPr>
    </w:p>
    <w:p>
      <w:pPr>
        <w:ind w:left="900" w:right="280" w:hanging="281"/>
        <w:spacing w:after="0" w:line="277" w:lineRule="auto"/>
        <w:tabs>
          <w:tab w:leader="none" w:pos="9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of our products, if and when approved, by patients, the medical community and third-party payors;</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effectively competing with other cancer therapies;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third-party coverage and adequate reimbursement; and</w:t>
      </w:r>
    </w:p>
    <w:p>
      <w:pPr>
        <w:spacing w:after="0" w:line="133" w:lineRule="exact"/>
        <w:rPr>
          <w:rFonts w:ascii="Arial" w:cs="Arial" w:eastAsia="Arial" w:hAnsi="Arial"/>
          <w:sz w:val="20"/>
          <w:szCs w:val="20"/>
          <w:color w:val="auto"/>
        </w:rPr>
      </w:pPr>
    </w:p>
    <w:p>
      <w:pPr>
        <w:ind w:left="900" w:hanging="282"/>
        <w:spacing w:after="0"/>
        <w:tabs>
          <w:tab w:leader="none" w:pos="90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 continued acceptable safety profile of our products following approval.</w:t>
      </w:r>
    </w:p>
    <w:p>
      <w:pPr>
        <w:spacing w:after="0" w:line="238"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200"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 and could require additional clinical trials, including bridging studies, to demonstrate consistent and continued safety and efficacy.</w:t>
      </w:r>
    </w:p>
    <w:p>
      <w:pPr>
        <w:spacing w:after="0" w:line="212" w:lineRule="exact"/>
        <w:rPr>
          <w:sz w:val="20"/>
          <w:szCs w:val="20"/>
          <w:color w:val="auto"/>
        </w:rPr>
      </w:pPr>
    </w:p>
    <w:p>
      <w:pPr>
        <w:ind w:right="100" w:firstLine="619"/>
        <w:spacing w:after="0" w:line="243" w:lineRule="auto"/>
        <w:rPr>
          <w:sz w:val="20"/>
          <w:szCs w:val="20"/>
          <w:color w:val="auto"/>
        </w:rPr>
      </w:pPr>
      <w:r>
        <w:rPr>
          <w:rFonts w:ascii="Times New Roman" w:cs="Times New Roman" w:eastAsia="Times New Roman" w:hAnsi="Times New Roman"/>
          <w:sz w:val="20"/>
          <w:szCs w:val="20"/>
          <w:color w:val="auto"/>
        </w:rPr>
        <w:t>We have not previously submitted a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1435" w:right="1440" w:bottom="175" w:gutter="0" w:footer="0" w:header="0"/>
        </w:sectPr>
      </w:pPr>
    </w:p>
    <w:bookmarkStart w:id="39" w:name="page40"/>
    <w:bookmarkEnd w:id="39"/>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69" w:lineRule="exact"/>
        <w:rPr>
          <w:sz w:val="20"/>
          <w:szCs w:val="20"/>
          <w:color w:val="auto"/>
        </w:rPr>
      </w:pPr>
    </w:p>
    <w:p>
      <w:pPr>
        <w:ind w:right="180" w:firstLine="619"/>
        <w:spacing w:after="0" w:line="246" w:lineRule="auto"/>
        <w:rPr>
          <w:sz w:val="20"/>
          <w:szCs w:val="20"/>
          <w:color w:val="auto"/>
        </w:rPr>
      </w:pPr>
      <w:r>
        <w:rPr>
          <w:rFonts w:ascii="Times New Roman" w:cs="Times New Roman" w:eastAsia="Times New Roman" w:hAnsi="Times New Roman"/>
          <w:sz w:val="20"/>
          <w:szCs w:val="20"/>
          <w:color w:val="auto"/>
        </w:rPr>
        <w:t>The patient populations for our current product candidates are limited to those with specific p53 mutations, which represents a substantially smaller subset of the generally treated cancer patient 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319"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results of preclinical testing and earlier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75" w:lineRule="exact"/>
        <w:rPr>
          <w:sz w:val="20"/>
          <w:szCs w:val="20"/>
          <w:color w:val="auto"/>
        </w:rPr>
      </w:pPr>
    </w:p>
    <w:p>
      <w:pPr>
        <w:ind w:firstLine="620"/>
        <w:spacing w:after="0" w:line="242" w:lineRule="auto"/>
        <w:rPr>
          <w:sz w:val="20"/>
          <w:szCs w:val="20"/>
          <w:color w:val="auto"/>
        </w:rPr>
      </w:pPr>
      <w:r>
        <w:rPr>
          <w:rFonts w:ascii="Times New Roman" w:cs="Times New Roman" w:eastAsia="Times New Roman" w:hAnsi="Times New Roman"/>
          <w:sz w:val="20"/>
          <w:szCs w:val="20"/>
          <w:color w:val="auto"/>
        </w:rPr>
        <w:t>We are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rezatapopt will perform in its clinical trials as rezatapopt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206" w:lineRule="exact"/>
        <w:rPr>
          <w:sz w:val="20"/>
          <w:szCs w:val="20"/>
          <w:color w:val="auto"/>
        </w:rPr>
      </w:pPr>
    </w:p>
    <w:p>
      <w:pPr>
        <w:ind w:right="20" w:firstLine="619"/>
        <w:spacing w:after="0" w:line="278" w:lineRule="auto"/>
        <w:rPr>
          <w:sz w:val="20"/>
          <w:szCs w:val="20"/>
          <w:color w:val="auto"/>
        </w:rPr>
      </w:pPr>
      <w:r>
        <w:rPr>
          <w:rFonts w:ascii="Times New Roman" w:cs="Times New Roman" w:eastAsia="Times New Roman" w:hAnsi="Times New Roman"/>
          <w:sz w:val="20"/>
          <w:szCs w:val="20"/>
          <w:color w:val="auto"/>
        </w:rPr>
        <w:t>We do not know whether any clinical trials we may conduct will demonstrate consistent or adequate efficacy and safety sufficient to obtain approval to market any of our product candidates.</w:t>
      </w:r>
    </w:p>
    <w:p>
      <w:pPr>
        <w:spacing w:after="0" w:line="168" w:lineRule="exact"/>
        <w:rPr>
          <w:sz w:val="20"/>
          <w:szCs w:val="20"/>
          <w:color w:val="auto"/>
        </w:rPr>
      </w:pPr>
    </w:p>
    <w:p>
      <w:pPr>
        <w:ind w:right="500" w:firstLine="619"/>
        <w:spacing w:after="0" w:line="277" w:lineRule="auto"/>
        <w:rPr>
          <w:sz w:val="20"/>
          <w:szCs w:val="20"/>
          <w:color w:val="auto"/>
        </w:rPr>
      </w:pPr>
      <w:r>
        <w:rPr>
          <w:rFonts w:ascii="Times New Roman" w:cs="Times New Roman" w:eastAsia="Times New Roman" w:hAnsi="Times New Roman"/>
          <w:sz w:val="20"/>
          <w:szCs w:val="20"/>
          <w:color w:val="auto"/>
        </w:rPr>
        <w:t>Even if we succeed in developing and commercializing our product candidates, we may never generate sufficient or sustainable revenue to enable us to be profitable.</w:t>
      </w:r>
    </w:p>
    <w:p>
      <w:pPr>
        <w:spacing w:after="0" w:line="28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may need to use existing commercial diagnostic tests or develop, in collaborations or partnerships with third parties, novel companion diagnostics for some of our current or future product candidates. If we or our collaboration partners are unable to successfully develop, validate and obtain approval for such companion diagnostics, or experience significant delays in doing so, we may not realize the full commercial potential of our future product candidates.</w:t>
      </w:r>
    </w:p>
    <w:p>
      <w:pPr>
        <w:spacing w:after="0" w:line="77"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genomic sequencing, or to develop novel companion diagnostics in collaboration with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420" w:right="1440" w:bottom="175" w:gutter="0" w:footer="0" w:header="0"/>
        </w:sectPr>
      </w:pPr>
    </w:p>
    <w:bookmarkStart w:id="40" w:name="page41"/>
    <w:bookmarkEnd w:id="40"/>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Such companion diagnostics would be used during our clinical trials as well as in connection with the commercialization of our product candidates. In our Phase 1/2 clinical trial, we are working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197"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We have little experience as a company in the development of diagnostics. As such, we expect to rely on partners for the design, development and manufacture of appropriate diagnostics to pair with our current or future product candidates. For example, in May 2024, we entered into a collaboration agreement with Foundation Medicine, Inc. for the development of Foundation Medicine’s tissue-based comprehensive genomic profiling test, FoundationOne®CDx, as a companion diagnostic for rezatapopt.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w:t>
      </w:r>
    </w:p>
    <w:p>
      <w:pPr>
        <w:spacing w:after="0" w:line="209"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 xml:space="preserve">Companion diagnostics are subject to regulation by the FDA and comparable foreign regulatory authorities outside the United States as medical devices (or in </w:t>
      </w:r>
      <w:r>
        <w:rPr>
          <w:rFonts w:ascii="Times New Roman" w:cs="Times New Roman" w:eastAsia="Times New Roman" w:hAnsi="Times New Roman"/>
          <w:sz w:val="20"/>
          <w:szCs w:val="20"/>
          <w:i w:val="1"/>
          <w:iCs w:val="1"/>
          <w:color w:val="auto"/>
        </w:rPr>
        <w:t>vitro</w:t>
      </w:r>
      <w:r>
        <w:rPr>
          <w:rFonts w:ascii="Times New Roman" w:cs="Times New Roman" w:eastAsia="Times New Roman" w:hAnsi="Times New Roman"/>
          <w:sz w:val="20"/>
          <w:szCs w:val="20"/>
          <w:color w:val="auto"/>
        </w:rPr>
        <w:t xml:space="preserve"> diagnostic devices) and require separate regulatory approval or clearance prior to commercialization. Moreover, the FDA generally requires the contemporaneous approval of companion diagnostics and the associated therapeutic. Changes in the FDA leadership, regulatory actions and other actions under the current administration, including changes in the FDA’s regulation of diagnostic tests, may impact our development of a companion diagnostic for our product candidates and result in delays in regulatory approval.</w:t>
      </w:r>
    </w:p>
    <w:p>
      <w:pPr>
        <w:spacing w:after="0" w:line="200"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20"/>
          <w:szCs w:val="20"/>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95" w:lineRule="exact"/>
        <w:rPr>
          <w:sz w:val="20"/>
          <w:szCs w:val="20"/>
          <w:color w:val="auto"/>
        </w:rPr>
      </w:pPr>
    </w:p>
    <w:p>
      <w:pPr>
        <w:ind w:left="900" w:right="220" w:hanging="281"/>
        <w:spacing w:after="0" w:line="303" w:lineRule="auto"/>
        <w:tabs>
          <w:tab w:leader="none" w:pos="900" w:val="left"/>
        </w:tabs>
        <w:numPr>
          <w:ilvl w:val="0"/>
          <w:numId w:val="22"/>
        </w:numPr>
        <w:rPr>
          <w:rFonts w:ascii="Arial" w:cs="Arial" w:eastAsia="Arial" w:hAnsi="Arial"/>
          <w:sz w:val="19"/>
          <w:szCs w:val="19"/>
          <w:color w:val="auto"/>
        </w:rPr>
      </w:pPr>
      <w:r>
        <w:rPr>
          <w:rFonts w:ascii="Times New Roman" w:cs="Times New Roman" w:eastAsia="Times New Roman" w:hAnsi="Times New Roman"/>
          <w:sz w:val="19"/>
          <w:szCs w:val="19"/>
          <w:color w:val="auto"/>
        </w:rPr>
        <w:t>the development of our current product candidates and any future product candidates may be adversely affected if we are unable to appropriately select patients for enrollment in our clinical trials; and</w:t>
      </w:r>
    </w:p>
    <w:p>
      <w:pPr>
        <w:spacing w:after="0" w:line="41" w:lineRule="exact"/>
        <w:rPr>
          <w:rFonts w:ascii="Arial" w:cs="Arial" w:eastAsia="Arial" w:hAnsi="Arial"/>
          <w:sz w:val="19"/>
          <w:szCs w:val="19"/>
          <w:color w:val="auto"/>
        </w:rPr>
      </w:pPr>
    </w:p>
    <w:p>
      <w:pPr>
        <w:ind w:left="900" w:right="840" w:hanging="281"/>
        <w:spacing w:after="0" w:line="277" w:lineRule="auto"/>
        <w:tabs>
          <w:tab w:leader="none" w:pos="90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obtain approval of our current product candidates and any future product candidates that require companion diagnostics on a timely basis or at all.</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If any of these events were to occur, our business would be adversely impacted.</w:t>
      </w:r>
    </w:p>
    <w:p>
      <w:pPr>
        <w:spacing w:after="0" w:line="360"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Global pandemics or other public health concerns and/or emergencies in the United States and the rest of the world that disrupt normal operations could materially adversely impact our business, results of operations and financial condition, including our preclinical studies and clinical trials.</w:t>
      </w:r>
    </w:p>
    <w:p>
      <w:pPr>
        <w:spacing w:after="0" w:line="69" w:lineRule="exact"/>
        <w:rPr>
          <w:sz w:val="20"/>
          <w:szCs w:val="20"/>
          <w:color w:val="auto"/>
        </w:rPr>
      </w:pPr>
    </w:p>
    <w:p>
      <w:pPr>
        <w:ind w:right="500" w:firstLine="619"/>
        <w:spacing w:after="0" w:line="278" w:lineRule="auto"/>
        <w:rPr>
          <w:sz w:val="20"/>
          <w:szCs w:val="20"/>
          <w:color w:val="auto"/>
        </w:rPr>
      </w:pPr>
      <w:r>
        <w:rPr>
          <w:rFonts w:ascii="Times New Roman" w:cs="Times New Roman" w:eastAsia="Times New Roman" w:hAnsi="Times New Roman"/>
          <w:sz w:val="20"/>
          <w:szCs w:val="20"/>
          <w:color w:val="auto"/>
        </w:rPr>
        <w:t>We may experience disruptions that could severely impact our business and clinical trials due to global pandemics, public health concerns or other public emergencies, including:</w:t>
      </w:r>
    </w:p>
    <w:p>
      <w:pPr>
        <w:spacing w:after="0" w:line="61" w:lineRule="exact"/>
        <w:rPr>
          <w:sz w:val="20"/>
          <w:szCs w:val="20"/>
          <w:color w:val="auto"/>
        </w:rPr>
      </w:pPr>
    </w:p>
    <w:p>
      <w:pPr>
        <w:ind w:left="900" w:hanging="281"/>
        <w:spacing w:after="0"/>
        <w:tabs>
          <w:tab w:leader="none" w:pos="9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delays or difficulties in enrolling and retaining patients in our clinical trials;</w:t>
      </w:r>
    </w:p>
    <w:p>
      <w:pPr>
        <w:spacing w:after="0" w:line="133" w:lineRule="exact"/>
        <w:rPr>
          <w:rFonts w:ascii="Arial" w:cs="Arial" w:eastAsia="Arial" w:hAnsi="Arial"/>
          <w:sz w:val="20"/>
          <w:szCs w:val="20"/>
          <w:color w:val="auto"/>
        </w:rPr>
      </w:pPr>
    </w:p>
    <w:p>
      <w:pPr>
        <w:ind w:left="900" w:right="40" w:hanging="281"/>
        <w:spacing w:after="0" w:line="277" w:lineRule="auto"/>
        <w:tabs>
          <w:tab w:leader="none" w:pos="90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delays or difficulties in clinical site initiation, including difficulties in recruiting clinical site investigators and clinical site staff;</w:t>
      </w:r>
    </w:p>
    <w:p>
      <w:pPr>
        <w:spacing w:after="0" w:line="62" w:lineRule="exact"/>
        <w:rPr>
          <w:rFonts w:ascii="Arial" w:cs="Arial" w:eastAsia="Arial" w:hAnsi="Arial"/>
          <w:sz w:val="20"/>
          <w:szCs w:val="20"/>
          <w:color w:val="auto"/>
        </w:rPr>
      </w:pPr>
    </w:p>
    <w:p>
      <w:pPr>
        <w:ind w:left="900" w:right="180" w:hanging="281"/>
        <w:spacing w:after="0" w:line="305" w:lineRule="auto"/>
        <w:tabs>
          <w:tab w:leader="none" w:pos="90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diversion of healthcare resources away from the conduct of clinical trials, including the diversion of hospitals serving as our clinical trial sites and hospital staff supporting the conduct of our clinical trials;</w:t>
      </w:r>
    </w:p>
    <w:p>
      <w:pPr>
        <w:spacing w:after="0" w:line="37" w:lineRule="exact"/>
        <w:rPr>
          <w:rFonts w:ascii="Arial" w:cs="Arial" w:eastAsia="Arial" w:hAnsi="Arial"/>
          <w:sz w:val="19"/>
          <w:szCs w:val="19"/>
          <w:color w:val="auto"/>
        </w:rPr>
      </w:pPr>
    </w:p>
    <w:p>
      <w:pPr>
        <w:jc w:val="both"/>
        <w:ind w:left="900" w:right="80" w:hanging="281"/>
        <w:spacing w:after="0" w:line="305" w:lineRule="auto"/>
        <w:tabs>
          <w:tab w:leader="none" w:pos="90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interruption of key clinical trial activities, such as clinical trial site data monitoring, due to limitations on travel imposed or recommended by federal or state governments, employers and others or interruption of</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420" w:right="1440" w:bottom="175" w:gutter="0" w:footer="0" w:header="0"/>
        </w:sectPr>
      </w:pPr>
    </w:p>
    <w:bookmarkStart w:id="41" w:name="page42"/>
    <w:bookmarkEnd w:id="41"/>
    <w:p>
      <w:pPr>
        <w:ind w:left="900" w:right="400"/>
        <w:spacing w:after="0" w:line="277" w:lineRule="auto"/>
        <w:rPr>
          <w:sz w:val="20"/>
          <w:szCs w:val="20"/>
          <w:color w:val="auto"/>
        </w:rPr>
      </w:pPr>
      <w:r>
        <w:rPr>
          <w:rFonts w:ascii="Times New Roman" w:cs="Times New Roman" w:eastAsia="Times New Roman" w:hAnsi="Times New Roman"/>
          <w:sz w:val="20"/>
          <w:szCs w:val="20"/>
          <w:color w:val="auto"/>
        </w:rPr>
        <w:t>clinical trial subject visits and study procedures (such as endoscopies that are deemed non-essential), which may impact the integrity of subject data and clinical study endpoints;</w:t>
      </w:r>
    </w:p>
    <w:p>
      <w:pPr>
        <w:spacing w:after="0" w:line="63" w:lineRule="exact"/>
        <w:rPr>
          <w:sz w:val="20"/>
          <w:szCs w:val="20"/>
          <w:color w:val="auto"/>
        </w:rPr>
      </w:pPr>
    </w:p>
    <w:p>
      <w:pPr>
        <w:ind w:left="900" w:right="380" w:hanging="281"/>
        <w:spacing w:after="0" w:line="277" w:lineRule="auto"/>
        <w:tabs>
          <w:tab w:leader="none" w:pos="9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 or delays in the operations of the FDA or other regulatory authorities, which may impact review and approval timelines;</w:t>
      </w:r>
    </w:p>
    <w:p>
      <w:pPr>
        <w:spacing w:after="0" w:line="62" w:lineRule="exact"/>
        <w:rPr>
          <w:rFonts w:ascii="Arial" w:cs="Arial" w:eastAsia="Arial" w:hAnsi="Arial"/>
          <w:sz w:val="20"/>
          <w:szCs w:val="20"/>
          <w:color w:val="auto"/>
        </w:rPr>
      </w:pPr>
    </w:p>
    <w:p>
      <w:pPr>
        <w:ind w:left="900" w:right="860" w:hanging="281"/>
        <w:spacing w:after="0" w:line="258" w:lineRule="auto"/>
        <w:tabs>
          <w:tab w:leader="none" w:pos="9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 of, or delays in receiving, supplies of our product candidates from our contract manufacturing organizations due to staffing shortages, production slowdowns or stoppages and disruptions in delivery systems;</w:t>
      </w:r>
    </w:p>
    <w:p>
      <w:pPr>
        <w:spacing w:after="0" w:line="81" w:lineRule="exact"/>
        <w:rPr>
          <w:rFonts w:ascii="Arial" w:cs="Arial" w:eastAsia="Arial" w:hAnsi="Arial"/>
          <w:sz w:val="20"/>
          <w:szCs w:val="20"/>
          <w:color w:val="auto"/>
        </w:rPr>
      </w:pPr>
    </w:p>
    <w:p>
      <w:pPr>
        <w:ind w:left="900" w:hanging="281"/>
        <w:spacing w:after="0"/>
        <w:tabs>
          <w:tab w:leader="none" w:pos="9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interruptions in preclinical studies due to restricted or limited operations at our laboratory facility;</w:t>
      </w:r>
    </w:p>
    <w:p>
      <w:pPr>
        <w:spacing w:after="0" w:line="133" w:lineRule="exact"/>
        <w:rPr>
          <w:rFonts w:ascii="Arial" w:cs="Arial" w:eastAsia="Arial" w:hAnsi="Arial"/>
          <w:sz w:val="20"/>
          <w:szCs w:val="20"/>
          <w:color w:val="auto"/>
        </w:rPr>
      </w:pPr>
    </w:p>
    <w:p>
      <w:pPr>
        <w:ind w:left="900" w:right="300" w:hanging="281"/>
        <w:spacing w:after="0" w:line="258" w:lineRule="auto"/>
        <w:tabs>
          <w:tab w:leader="none" w:pos="9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81" w:lineRule="exact"/>
        <w:rPr>
          <w:rFonts w:ascii="Arial" w:cs="Arial" w:eastAsia="Arial" w:hAnsi="Arial"/>
          <w:sz w:val="20"/>
          <w:szCs w:val="20"/>
          <w:color w:val="auto"/>
        </w:rPr>
      </w:pPr>
    </w:p>
    <w:p>
      <w:pPr>
        <w:ind w:left="900" w:hanging="281"/>
        <w:spacing w:after="0"/>
        <w:tabs>
          <w:tab w:leader="none" w:pos="9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 or delays to our sourced discovery and clinical activities; and</w:t>
      </w:r>
    </w:p>
    <w:p>
      <w:pPr>
        <w:spacing w:after="0" w:line="132" w:lineRule="exact"/>
        <w:rPr>
          <w:rFonts w:ascii="Arial" w:cs="Arial" w:eastAsia="Arial" w:hAnsi="Arial"/>
          <w:sz w:val="20"/>
          <w:szCs w:val="20"/>
          <w:color w:val="auto"/>
        </w:rPr>
      </w:pPr>
    </w:p>
    <w:p>
      <w:pPr>
        <w:ind w:left="900" w:right="280" w:hanging="281"/>
        <w:spacing w:after="0" w:line="277" w:lineRule="auto"/>
        <w:tabs>
          <w:tab w:leader="none" w:pos="90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clinical site procedures and requirements as well as regulatory requirements for conducting clinical trials during the pandemic.</w:t>
      </w:r>
    </w:p>
    <w:p>
      <w:pPr>
        <w:spacing w:after="0" w:line="199"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The ultimate impact of a global pandemic or other public health emergency on our business operations is difficult to forecast and highly uncertain, and there can be no assurance that we will be able to avoid a material impact on our business from such global pandemic or other public health emergency or their consequences, including disruption to our business and downturns in business sentiment generally or in our industry. To the extent a global pandemic or other public health emergency adversely affects our business, financial condition and results of operations, it may also have the effect of heightening many of the risks described in this “Risk factors” section.</w:t>
      </w:r>
    </w:p>
    <w:p>
      <w:pPr>
        <w:spacing w:after="0" w:line="319" w:lineRule="exact"/>
        <w:rPr>
          <w:sz w:val="20"/>
          <w:szCs w:val="20"/>
          <w:color w:val="auto"/>
        </w:rPr>
      </w:pPr>
    </w:p>
    <w:p>
      <w:pPr>
        <w:ind w:right="7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48"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rezatapopt will require patients to have the specific p53 Y220C mutation. If we are unable to locate a sufficient number of such patients, our clinical trial and development plans could be delayed.</w:t>
      </w:r>
    </w:p>
    <w:p>
      <w:pPr>
        <w:spacing w:after="0" w:line="229" w:lineRule="exact"/>
        <w:rPr>
          <w:sz w:val="20"/>
          <w:szCs w:val="20"/>
          <w:color w:val="auto"/>
        </w:rPr>
      </w:pPr>
    </w:p>
    <w:p>
      <w:pPr>
        <w:jc w:val="both"/>
        <w:ind w:right="40" w:firstLine="619"/>
        <w:spacing w:after="0" w:line="252" w:lineRule="auto"/>
        <w:rPr>
          <w:sz w:val="20"/>
          <w:szCs w:val="20"/>
          <w:color w:val="auto"/>
        </w:rPr>
      </w:pPr>
      <w:r>
        <w:rPr>
          <w:rFonts w:ascii="Times New Roman" w:cs="Times New Roman" w:eastAsia="Times New Roman" w:hAnsi="Times New Roman"/>
          <w:sz w:val="20"/>
          <w:szCs w:val="20"/>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89" w:lineRule="exact"/>
        <w:rPr>
          <w:sz w:val="20"/>
          <w:szCs w:val="20"/>
          <w:color w:val="auto"/>
        </w:rPr>
      </w:pPr>
    </w:p>
    <w:p>
      <w:pPr>
        <w:ind w:left="900" w:hanging="281"/>
        <w:spacing w:after="0"/>
        <w:tabs>
          <w:tab w:leader="none" w:pos="9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size and nature of the patient population;</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severity of the disease under investigation;</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and efficacy of approved drugs for the disease under investigation;</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patient eligibility criteria for the trial in question as defined in the protocol;</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perceived risks and benefits of the product candidate under study;</w:t>
      </w:r>
    </w:p>
    <w:p>
      <w:pPr>
        <w:spacing w:after="0" w:line="125" w:lineRule="exact"/>
        <w:rPr>
          <w:rFonts w:ascii="Arial" w:cs="Arial" w:eastAsia="Arial" w:hAnsi="Arial"/>
          <w:sz w:val="20"/>
          <w:szCs w:val="20"/>
          <w:color w:val="auto"/>
        </w:rPr>
      </w:pPr>
    </w:p>
    <w:p>
      <w:pPr>
        <w:ind w:left="900" w:right="60" w:hanging="281"/>
        <w:spacing w:after="0" w:line="248" w:lineRule="auto"/>
        <w:tabs>
          <w:tab w:leader="none" w:pos="9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81" w:lineRule="exact"/>
        <w:rPr>
          <w:rFonts w:ascii="Arial" w:cs="Arial" w:eastAsia="Arial" w:hAnsi="Arial"/>
          <w:sz w:val="20"/>
          <w:szCs w:val="20"/>
          <w:color w:val="auto"/>
        </w:rPr>
      </w:pPr>
    </w:p>
    <w:p>
      <w:pPr>
        <w:ind w:left="900" w:right="200" w:hanging="282"/>
        <w:spacing w:after="0" w:line="267" w:lineRule="auto"/>
        <w:tabs>
          <w:tab w:leader="none" w:pos="90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clinicians’ willingness to screen their patients for biomarkers to indicate which patients may be eligible for enrollment in our clinical trials;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420" w:right="1440" w:bottom="175" w:gutter="0" w:footer="0" w:header="0"/>
        </w:sectPr>
      </w:pPr>
    </w:p>
    <w:bookmarkStart w:id="42" w:name="page43"/>
    <w:bookmarkEnd w:id="42"/>
    <w:p>
      <w:pPr>
        <w:ind w:left="900" w:right="580" w:hanging="281"/>
        <w:spacing w:after="0" w:line="266" w:lineRule="auto"/>
        <w:tabs>
          <w:tab w:leader="none" w:pos="9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or temporary suspension of the enrollment of patients in our clinical trials due to a global pandemic or other public health emergencies;</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obtain and maintain patient consents;</w:t>
      </w:r>
    </w:p>
    <w:p>
      <w:pPr>
        <w:spacing w:after="0" w:line="124" w:lineRule="exact"/>
        <w:rPr>
          <w:rFonts w:ascii="Arial" w:cs="Arial" w:eastAsia="Arial" w:hAnsi="Arial"/>
          <w:sz w:val="20"/>
          <w:szCs w:val="20"/>
          <w:color w:val="auto"/>
        </w:rPr>
      </w:pPr>
    </w:p>
    <w:p>
      <w:pPr>
        <w:ind w:left="900" w:hanging="281"/>
        <w:spacing w:after="0"/>
        <w:tabs>
          <w:tab w:leader="none" w:pos="9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patient referral practices of physicians;</w:t>
      </w:r>
    </w:p>
    <w:p>
      <w:pPr>
        <w:spacing w:after="0" w:line="123" w:lineRule="exact"/>
        <w:rPr>
          <w:rFonts w:ascii="Arial" w:cs="Arial" w:eastAsia="Arial" w:hAnsi="Arial"/>
          <w:sz w:val="20"/>
          <w:szCs w:val="20"/>
          <w:color w:val="auto"/>
        </w:rPr>
      </w:pPr>
    </w:p>
    <w:p>
      <w:pPr>
        <w:ind w:left="900" w:hanging="281"/>
        <w:spacing w:after="0"/>
        <w:tabs>
          <w:tab w:leader="none" w:pos="9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monitor patients adequately during and after treatment;</w:t>
      </w:r>
    </w:p>
    <w:p>
      <w:pPr>
        <w:spacing w:after="0" w:line="124" w:lineRule="exact"/>
        <w:rPr>
          <w:rFonts w:ascii="Arial" w:cs="Arial" w:eastAsia="Arial" w:hAnsi="Arial"/>
          <w:sz w:val="20"/>
          <w:szCs w:val="20"/>
          <w:color w:val="auto"/>
        </w:rPr>
      </w:pPr>
    </w:p>
    <w:p>
      <w:pPr>
        <w:ind w:left="900" w:hanging="281"/>
        <w:spacing w:after="0"/>
        <w:tabs>
          <w:tab w:leader="none" w:pos="9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proximity and availability of clinical trial sites for prospective patients; and</w:t>
      </w:r>
    </w:p>
    <w:p>
      <w:pPr>
        <w:spacing w:after="0" w:line="123" w:lineRule="exact"/>
        <w:rPr>
          <w:rFonts w:ascii="Arial" w:cs="Arial" w:eastAsia="Arial" w:hAnsi="Arial"/>
          <w:sz w:val="20"/>
          <w:szCs w:val="20"/>
          <w:color w:val="auto"/>
        </w:rPr>
      </w:pPr>
    </w:p>
    <w:p>
      <w:pPr>
        <w:ind w:left="900" w:right="80" w:hanging="281"/>
        <w:spacing w:after="0" w:line="249" w:lineRule="auto"/>
        <w:tabs>
          <w:tab w:leader="none" w:pos="90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patients enrolled in clinical trials will drop out of the trials before completion, including as a result of other health conditions, or, because they may be late-stage cancer patients, will not survive the full terms of the clinical trials.</w:t>
      </w:r>
    </w:p>
    <w:p>
      <w:pPr>
        <w:spacing w:after="0" w:line="305"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66" w:lineRule="exact"/>
        <w:rPr>
          <w:sz w:val="20"/>
          <w:szCs w:val="20"/>
          <w:color w:val="auto"/>
        </w:rPr>
      </w:pPr>
    </w:p>
    <w:p>
      <w:pPr>
        <w:ind w:firstLine="619"/>
        <w:spacing w:after="0" w:line="233" w:lineRule="auto"/>
        <w:rPr>
          <w:sz w:val="20"/>
          <w:szCs w:val="20"/>
          <w:color w:val="auto"/>
        </w:rPr>
      </w:pPr>
      <w:r>
        <w:rPr>
          <w:rFonts w:ascii="Times New Roman" w:cs="Times New Roman" w:eastAsia="Times New Roman" w:hAnsi="Times New Roman"/>
          <w:sz w:val="20"/>
          <w:szCs w:val="20"/>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203" w:lineRule="exact"/>
        <w:rPr>
          <w:sz w:val="20"/>
          <w:szCs w:val="20"/>
          <w:color w:val="auto"/>
        </w:rPr>
      </w:pPr>
    </w:p>
    <w:p>
      <w:pPr>
        <w:ind w:right="20" w:firstLine="619"/>
        <w:spacing w:after="0" w:line="234" w:lineRule="auto"/>
        <w:rPr>
          <w:sz w:val="20"/>
          <w:szCs w:val="20"/>
          <w:color w:val="auto"/>
        </w:rPr>
      </w:pPr>
      <w:r>
        <w:rPr>
          <w:rFonts w:ascii="Times New Roman" w:cs="Times New Roman" w:eastAsia="Times New Roman" w:hAnsi="Times New Roman"/>
          <w:sz w:val="20"/>
          <w:szCs w:val="20"/>
          <w:color w:val="auto"/>
        </w:rPr>
        <w:t>Our projections of both the number of people who have the p53 hotspot mutations we are targeting, who may have their tumors genomically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318"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business may become subject to economic, political, regulatory, and other risks associated with international operations directly or indirectly. A variety of risks associated with marketing our product candidates, if approved, internationally may materially adversely affect our business.</w:t>
      </w:r>
    </w:p>
    <w:p>
      <w:pPr>
        <w:spacing w:after="0" w:line="66" w:lineRule="exact"/>
        <w:rPr>
          <w:sz w:val="20"/>
          <w:szCs w:val="20"/>
          <w:color w:val="auto"/>
        </w:rPr>
      </w:pPr>
    </w:p>
    <w:p>
      <w:pPr>
        <w:ind w:right="320" w:firstLine="619"/>
        <w:spacing w:after="0" w:line="239" w:lineRule="auto"/>
        <w:rPr>
          <w:sz w:val="20"/>
          <w:szCs w:val="20"/>
          <w:color w:val="auto"/>
        </w:rPr>
      </w:pPr>
      <w:r>
        <w:rPr>
          <w:rFonts w:ascii="Times New Roman" w:cs="Times New Roman" w:eastAsia="Times New Roman" w:hAnsi="Times New Roman"/>
          <w:sz w:val="20"/>
          <w:szCs w:val="20"/>
          <w:color w:val="auto"/>
        </w:rPr>
        <w:t>Our business is subject to risks associated with business operations we conduct internationally, as well as indirect impacts from our relationships with collaborators, partners, or contractors who conduct business internationally. To the extent we seek regulatory approval of any of our product candidates outside of the United States, we expect that we will be subject to additional risks related to our operations in foreign countries. Accordingly, our future results could be harmed directly or indirectly by a variety of factors, including:</w:t>
      </w:r>
    </w:p>
    <w:p>
      <w:pPr>
        <w:spacing w:after="0" w:line="92" w:lineRule="exact"/>
        <w:rPr>
          <w:sz w:val="20"/>
          <w:szCs w:val="20"/>
          <w:color w:val="auto"/>
        </w:rPr>
      </w:pPr>
    </w:p>
    <w:p>
      <w:pPr>
        <w:ind w:left="900" w:right="320" w:hanging="281"/>
        <w:spacing w:after="0" w:line="248" w:lineRule="auto"/>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regulatory requirements in foreign countries, changes in existing regulatory requirements, or implementation of new regulatory requirements or policies that impact our clinical development and business operations in foreign countries;</w:t>
      </w:r>
    </w:p>
    <w:p>
      <w:pPr>
        <w:spacing w:after="0" w:line="81" w:lineRule="exact"/>
        <w:rPr>
          <w:rFonts w:ascii="Arial" w:cs="Arial" w:eastAsia="Arial" w:hAnsi="Arial"/>
          <w:sz w:val="20"/>
          <w:szCs w:val="20"/>
          <w:color w:val="auto"/>
        </w:rPr>
      </w:pPr>
    </w:p>
    <w:p>
      <w:pPr>
        <w:ind w:left="900" w:right="420" w:hanging="281"/>
        <w:spacing w:after="0" w:line="266" w:lineRule="auto"/>
        <w:tabs>
          <w:tab w:leader="none" w:pos="90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foreign regulatory authorities may disagree with the design, implementation or results of our clinical trials or our interpretation of data from preclinical studies or clinical trials;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1426" w:right="1440" w:bottom="175" w:gutter="0" w:footer="0" w:header="0"/>
        </w:sectPr>
      </w:pPr>
    </w:p>
    <w:bookmarkStart w:id="43" w:name="page44"/>
    <w:bookmarkEnd w:id="43"/>
    <w:p>
      <w:pPr>
        <w:ind w:left="900" w:right="280" w:hanging="281"/>
        <w:spacing w:after="0" w:line="266" w:lineRule="auto"/>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approval policies or regulations of foreign regulatory authorities may significantly change in a manner rendering our clinical data insufficient for approval;</w:t>
      </w:r>
    </w:p>
    <w:p>
      <w:pPr>
        <w:spacing w:after="0" w:line="64" w:lineRule="exact"/>
        <w:rPr>
          <w:rFonts w:ascii="Arial" w:cs="Arial" w:eastAsia="Arial" w:hAnsi="Arial"/>
          <w:sz w:val="20"/>
          <w:szCs w:val="20"/>
          <w:color w:val="auto"/>
        </w:rPr>
      </w:pPr>
    </w:p>
    <w:p>
      <w:pPr>
        <w:ind w:left="900" w:right="380" w:hanging="281"/>
        <w:spacing w:after="0" w:line="267" w:lineRule="auto"/>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impact of a global pandemic or other public health emergencies on our ability to produce our product candidates and conduct clinical trials in foreign countries;</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sociopolitical instability in particular foreign economies and markets;</w:t>
      </w:r>
    </w:p>
    <w:p>
      <w:pPr>
        <w:spacing w:after="0" w:line="124" w:lineRule="exact"/>
        <w:rPr>
          <w:rFonts w:ascii="Arial" w:cs="Arial" w:eastAsia="Arial" w:hAnsi="Arial"/>
          <w:sz w:val="20"/>
          <w:szCs w:val="20"/>
          <w:color w:val="auto"/>
        </w:rPr>
      </w:pPr>
    </w:p>
    <w:p>
      <w:pPr>
        <w:ind w:left="900" w:right="960" w:hanging="281"/>
        <w:spacing w:after="0" w:line="267" w:lineRule="auto"/>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unexpected changes in tariffs, trade barriers, price and exchange controls and other regulatory requirements;</w:t>
      </w:r>
    </w:p>
    <w:p>
      <w:pPr>
        <w:spacing w:after="0" w:line="62" w:lineRule="exact"/>
        <w:rPr>
          <w:rFonts w:ascii="Arial" w:cs="Arial" w:eastAsia="Arial" w:hAnsi="Arial"/>
          <w:sz w:val="20"/>
          <w:szCs w:val="20"/>
          <w:color w:val="auto"/>
        </w:rPr>
      </w:pPr>
    </w:p>
    <w:p>
      <w:pPr>
        <w:ind w:left="900" w:hanging="281"/>
        <w:spacing w:after="0" w:line="233" w:lineRule="auto"/>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legislation or other measures that restrict business, trade, or use of government funding for any product or service rendered by certain companies based in China or Chinese-owned U.S. companies due to national security concerns or geopolitical issues, and our reliance on such Chinese companies, including CROs, contract manufacturing organization, or CMOs, suppliers, and other vendors or contractors based in China. For example, the President recently signed into law the National Defense Authorization Act of 2026, which includes Section 851 regarding “prohibition on contracting with certain biotechnology providers” (“the BIOSECURE Act”), which restricts federal government contracts, grants, and loans from being issued to companies that use biotechnology equipment or services from any designated “biotechnology company of concern,” as part of such companies’ performance of those agreements with the U.S. government. Once fully implemented through issuance of regulations, the BIOSECURE Act may ultimately limit certain U.S. biotechnology companies from using equipment or services produced or provided by Chinese biotechnology companies that meet the designation criteria of the new law, or certain affiliated entities. In addition, even if we do not seek any covered federal government contracts, grants, or loans, commercial partners, government agencies, or other third parties may view our business less favorably if we contract with entities that ultimately become biotechnology companies of concern;</w:t>
      </w:r>
    </w:p>
    <w:p>
      <w:pPr>
        <w:spacing w:after="0" w:line="90" w:lineRule="exact"/>
        <w:rPr>
          <w:rFonts w:ascii="Arial" w:cs="Arial" w:eastAsia="Arial" w:hAnsi="Arial"/>
          <w:sz w:val="20"/>
          <w:szCs w:val="20"/>
          <w:color w:val="auto"/>
        </w:rPr>
      </w:pPr>
    </w:p>
    <w:p>
      <w:pPr>
        <w:ind w:left="900" w:right="60" w:hanging="281"/>
        <w:spacing w:after="0" w:line="236" w:lineRule="auto"/>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regulations or other potentially new measures that arise for national security or geopolitical reasons, including those that would affect the transfer of certain types of data abroad, including China. For example, the Department of Justice issued a final rule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w:t>
      </w:r>
    </w:p>
    <w:p>
      <w:pPr>
        <w:spacing w:after="0" w:line="87" w:lineRule="exact"/>
        <w:rPr>
          <w:rFonts w:ascii="Arial" w:cs="Arial" w:eastAsia="Arial" w:hAnsi="Arial"/>
          <w:sz w:val="20"/>
          <w:szCs w:val="20"/>
          <w:color w:val="auto"/>
        </w:rPr>
      </w:pPr>
    </w:p>
    <w:p>
      <w:pPr>
        <w:ind w:left="900" w:right="580" w:hanging="281"/>
        <w:spacing w:after="0" w:line="267" w:lineRule="auto"/>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economic weakness, including inflation, or political instability in particular foreign economies and markets;</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tax, employment, immigration and labor laws for employees living or traveling abroad;</w:t>
      </w:r>
    </w:p>
    <w:p>
      <w:pPr>
        <w:spacing w:after="0" w:line="123" w:lineRule="exact"/>
        <w:rPr>
          <w:rFonts w:ascii="Arial" w:cs="Arial" w:eastAsia="Arial" w:hAnsi="Arial"/>
          <w:sz w:val="20"/>
          <w:szCs w:val="20"/>
          <w:color w:val="auto"/>
        </w:rPr>
      </w:pPr>
    </w:p>
    <w:p>
      <w:pPr>
        <w:ind w:left="900" w:hanging="281"/>
        <w:spacing w:after="0"/>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foreign taxes, including withholding of payroll taxes;</w:t>
      </w:r>
    </w:p>
    <w:p>
      <w:pPr>
        <w:spacing w:after="0" w:line="124" w:lineRule="exact"/>
        <w:rPr>
          <w:rFonts w:ascii="Arial" w:cs="Arial" w:eastAsia="Arial" w:hAnsi="Arial"/>
          <w:sz w:val="20"/>
          <w:szCs w:val="20"/>
          <w:color w:val="auto"/>
        </w:rPr>
      </w:pPr>
    </w:p>
    <w:p>
      <w:pPr>
        <w:ind w:left="900" w:right="220" w:hanging="281"/>
        <w:spacing w:after="0" w:line="267" w:lineRule="auto"/>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foreign currency fluctuations, which could result in increased operating expenses and reduced revenue, and obligations incident to doing business in another country;</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staffing and managing foreign operations;</w:t>
      </w:r>
    </w:p>
    <w:p>
      <w:pPr>
        <w:spacing w:after="0" w:line="124" w:lineRule="exact"/>
        <w:rPr>
          <w:rFonts w:ascii="Arial" w:cs="Arial" w:eastAsia="Arial" w:hAnsi="Arial"/>
          <w:sz w:val="20"/>
          <w:szCs w:val="20"/>
          <w:color w:val="auto"/>
        </w:rPr>
      </w:pPr>
    </w:p>
    <w:p>
      <w:pPr>
        <w:ind w:left="900" w:hanging="281"/>
        <w:spacing w:after="0"/>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workforce uncertainty in countries where labor unrest is more common than in the United States;</w:t>
      </w:r>
    </w:p>
    <w:p>
      <w:pPr>
        <w:spacing w:after="0" w:line="124" w:lineRule="exact"/>
        <w:rPr>
          <w:rFonts w:ascii="Arial" w:cs="Arial" w:eastAsia="Arial" w:hAnsi="Arial"/>
          <w:sz w:val="20"/>
          <w:szCs w:val="20"/>
          <w:color w:val="auto"/>
        </w:rPr>
      </w:pPr>
    </w:p>
    <w:p>
      <w:pPr>
        <w:ind w:left="900" w:hanging="281"/>
        <w:spacing w:after="0"/>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liability under the Foreign Corrupt Practices Act of 1977 or comparable foreign regulations;</w:t>
      </w:r>
    </w:p>
    <w:p>
      <w:pPr>
        <w:spacing w:after="0" w:line="123" w:lineRule="exact"/>
        <w:rPr>
          <w:rFonts w:ascii="Arial" w:cs="Arial" w:eastAsia="Arial" w:hAnsi="Arial"/>
          <w:sz w:val="20"/>
          <w:szCs w:val="20"/>
          <w:color w:val="auto"/>
        </w:rPr>
      </w:pPr>
    </w:p>
    <w:p>
      <w:pPr>
        <w:ind w:left="900" w:right="60" w:hanging="281"/>
        <w:spacing w:after="0" w:line="294" w:lineRule="auto"/>
        <w:tabs>
          <w:tab w:leader="none" w:pos="900"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color w:val="auto"/>
        </w:rPr>
        <w:t>challenges enforcing our contractual and intellectual property rights, especially in those foreign countries that do not respect and protect intellectual property rights to the same extent as the United States;</w:t>
      </w:r>
    </w:p>
    <w:p>
      <w:pPr>
        <w:spacing w:after="0" w:line="38" w:lineRule="exact"/>
        <w:rPr>
          <w:rFonts w:ascii="Arial" w:cs="Arial" w:eastAsia="Arial" w:hAnsi="Arial"/>
          <w:sz w:val="19"/>
          <w:szCs w:val="19"/>
          <w:color w:val="auto"/>
        </w:rPr>
      </w:pPr>
    </w:p>
    <w:p>
      <w:pPr>
        <w:ind w:left="900" w:right="60" w:hanging="281"/>
        <w:spacing w:after="0" w:line="236" w:lineRule="auto"/>
        <w:tabs>
          <w:tab w:leader="none" w:pos="90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trade protection measures, import or export licensing requirements or other restrictive actions by U.S. or non-U.S. governments; production or supply shortages resulting directly or indirectly from any events affecting raw material supply or manufacturing capabilities abroad, including, but not limited to, impacts due to the ongoing Ukraine-Russia war or the conflict in the Middle East, addition of certain suppliers or companies to the Unverified List under the Export Administration Regulations, implementation of other export controls, restrictions or sanctions that can impact the supply chain, our business, or business operations of our suppliers, contractors or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426" w:right="1440" w:bottom="175" w:gutter="0" w:footer="0" w:header="0"/>
        </w:sectPr>
      </w:pPr>
    </w:p>
    <w:bookmarkStart w:id="44" w:name="page45"/>
    <w:bookmarkEnd w:id="44"/>
    <w:p>
      <w:pPr>
        <w:ind w:left="900" w:right="180" w:hanging="281"/>
        <w:spacing w:after="0" w:line="248" w:lineRule="auto"/>
        <w:tabs>
          <w:tab w:leader="none" w:pos="9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business interruptions resulting directly or indirectly from geo-political actions, conflicts and terrorism; and supply and other disruptions resulting from the impact of public health epidemics on our strategic partners, third-party manufacturers, suppliers and other third parties upon which we rely.</w:t>
      </w:r>
    </w:p>
    <w:p>
      <w:pPr>
        <w:spacing w:after="0" w:line="196" w:lineRule="exact"/>
        <w:rPr>
          <w:sz w:val="20"/>
          <w:szCs w:val="20"/>
          <w:color w:val="auto"/>
        </w:rPr>
      </w:pPr>
    </w:p>
    <w:p>
      <w:pPr>
        <w:ind w:right="140" w:firstLine="619"/>
        <w:spacing w:after="0" w:line="277" w:lineRule="auto"/>
        <w:rPr>
          <w:sz w:val="20"/>
          <w:szCs w:val="20"/>
          <w:color w:val="auto"/>
        </w:rPr>
      </w:pPr>
      <w:r>
        <w:rPr>
          <w:rFonts w:ascii="Times New Roman" w:cs="Times New Roman" w:eastAsia="Times New Roman" w:hAnsi="Times New Roman"/>
          <w:sz w:val="20"/>
          <w:szCs w:val="20"/>
          <w:color w:val="auto"/>
        </w:rPr>
        <w:t>These and other risks associated with international operations may materially adversely affect our business, financial condition, and results of operations.</w:t>
      </w:r>
    </w:p>
    <w:p>
      <w:pPr>
        <w:spacing w:after="0" w:line="289"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others discovering, developing or commercializing products before or more successfully than we do.</w:t>
      </w:r>
    </w:p>
    <w:p>
      <w:pPr>
        <w:spacing w:after="0" w:line="47"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0"/>
          <w:szCs w:val="20"/>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201" w:lineRule="exact"/>
        <w:rPr>
          <w:sz w:val="20"/>
          <w:szCs w:val="20"/>
          <w:color w:val="auto"/>
        </w:rPr>
      </w:pPr>
    </w:p>
    <w:p>
      <w:pPr>
        <w:ind w:right="880" w:firstLine="619"/>
        <w:spacing w:after="0" w:line="258" w:lineRule="auto"/>
        <w:rPr>
          <w:sz w:val="20"/>
          <w:szCs w:val="20"/>
          <w:color w:val="auto"/>
        </w:rPr>
      </w:pPr>
      <w:r>
        <w:rPr>
          <w:rFonts w:ascii="Times New Roman" w:cs="Times New Roman" w:eastAsia="Times New Roman" w:hAnsi="Times New Roman"/>
          <w:sz w:val="20"/>
          <w:szCs w:val="20"/>
          <w:color w:val="auto"/>
        </w:rPr>
        <w:t>In particular, we are aware of molecules in development that also are being explored for p53 upregulation/activation in various stages of preclinical or clinical development being tested by Jacobio Pharmaceuticals, Changchun GeneScience, Frontier Medicines, and Nutshell Therapeutics, among others.</w:t>
      </w:r>
    </w:p>
    <w:p>
      <w:pPr>
        <w:spacing w:after="0" w:line="188"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0"/>
          <w:szCs w:val="20"/>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genomically- defined cancers. If rezatapopt or our future product candidates do not offer sustainable advantages over competing products, we may otherwise not be able to successfully compete against current and future competitors.</w:t>
      </w:r>
    </w:p>
    <w:p>
      <w:pPr>
        <w:spacing w:after="0" w:line="197"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97"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0"/>
          <w:szCs w:val="20"/>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97"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426" w:right="1440" w:bottom="175" w:gutter="0" w:footer="0" w:header="0"/>
        </w:sectPr>
      </w:pPr>
    </w:p>
    <w:bookmarkStart w:id="45" w:name="page46"/>
    <w:bookmarkEnd w:id="45"/>
    <w:p>
      <w:pPr>
        <w:ind w:right="220" w:firstLine="619"/>
        <w:spacing w:after="0" w:line="278" w:lineRule="auto"/>
        <w:rPr>
          <w:sz w:val="20"/>
          <w:szCs w:val="20"/>
          <w:color w:val="auto"/>
        </w:rPr>
      </w:pPr>
      <w:r>
        <w:rPr>
          <w:rFonts w:ascii="Times New Roman" w:cs="Times New Roman" w:eastAsia="Times New Roman" w:hAnsi="Times New Roman"/>
          <w:sz w:val="19"/>
          <w:szCs w:val="19"/>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w:t>
      </w:r>
    </w:p>
    <w:p>
      <w:pPr>
        <w:spacing w:after="0" w:line="291"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49"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auto"/>
        </w:rPr>
        <w:t>Our future operating results are dependent on our ability to successfully discover, develop, obtain regulatory approval for and commercialize product candidates beyond our lead product candidate, rezatapopt, and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199" w:lineRule="exact"/>
        <w:rPr>
          <w:sz w:val="20"/>
          <w:szCs w:val="20"/>
          <w:color w:val="auto"/>
        </w:rPr>
      </w:pPr>
    </w:p>
    <w:p>
      <w:pPr>
        <w:ind w:right="160" w:firstLine="619"/>
        <w:spacing w:after="0" w:line="278" w:lineRule="auto"/>
        <w:rPr>
          <w:sz w:val="20"/>
          <w:szCs w:val="20"/>
          <w:color w:val="auto"/>
        </w:rPr>
      </w:pPr>
      <w:r>
        <w:rPr>
          <w:rFonts w:ascii="Times New Roman" w:cs="Times New Roman" w:eastAsia="Times New Roman" w:hAnsi="Times New Roman"/>
          <w:sz w:val="20"/>
          <w:szCs w:val="20"/>
          <w:color w:val="auto"/>
        </w:rPr>
        <w:t>The success of future product candidates we may develop will depend on many factors, including the following and the other factors relating to product development described elsewhere in this “Risk Factors” section:</w:t>
      </w:r>
    </w:p>
    <w:p>
      <w:pPr>
        <w:spacing w:after="0" w:line="62" w:lineRule="exact"/>
        <w:rPr>
          <w:sz w:val="20"/>
          <w:szCs w:val="20"/>
          <w:color w:val="auto"/>
        </w:rPr>
      </w:pPr>
    </w:p>
    <w:p>
      <w:pPr>
        <w:ind w:left="900" w:hanging="281"/>
        <w:spacing w:after="0"/>
        <w:tabs>
          <w:tab w:leader="none" w:pos="9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generating sufficient data to support the initiation or continuation of clinical trials;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regulatory permission to initiate clinical trials;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contracting with the necessary parties to conduct clinical trials;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enrollment of patients in, and the completion of, clinical trials on a timely basis;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timely manufacture of sufficient quantities of the product candidate for use in clinical trials; and</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adverse events in the clinical trials.</w:t>
      </w:r>
    </w:p>
    <w:p>
      <w:pPr>
        <w:spacing w:after="0" w:line="238" w:lineRule="exact"/>
        <w:rPr>
          <w:sz w:val="20"/>
          <w:szCs w:val="20"/>
          <w:color w:val="auto"/>
        </w:rPr>
      </w:pPr>
    </w:p>
    <w:p>
      <w:pPr>
        <w:jc w:val="both"/>
        <w:ind w:right="780" w:firstLine="619"/>
        <w:spacing w:after="0" w:line="259" w:lineRule="auto"/>
        <w:rPr>
          <w:sz w:val="20"/>
          <w:szCs w:val="20"/>
          <w:color w:val="auto"/>
        </w:rPr>
      </w:pPr>
      <w:r>
        <w:rPr>
          <w:rFonts w:ascii="Times New Roman" w:cs="Times New Roman" w:eastAsia="Times New Roman" w:hAnsi="Times New Roman"/>
          <w:sz w:val="20"/>
          <w:szCs w:val="20"/>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86" w:lineRule="exact"/>
        <w:rPr>
          <w:sz w:val="20"/>
          <w:szCs w:val="20"/>
          <w:color w:val="auto"/>
        </w:rPr>
      </w:pPr>
    </w:p>
    <w:p>
      <w:pPr>
        <w:ind w:right="160" w:firstLine="619"/>
        <w:spacing w:after="0" w:line="252" w:lineRule="auto"/>
        <w:rPr>
          <w:sz w:val="20"/>
          <w:szCs w:val="20"/>
          <w:color w:val="auto"/>
        </w:rPr>
      </w:pPr>
      <w:r>
        <w:rPr>
          <w:rFonts w:ascii="Times New Roman" w:cs="Times New Roman" w:eastAsia="Times New Roman" w:hAnsi="Times New Roman"/>
          <w:sz w:val="20"/>
          <w:szCs w:val="20"/>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31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5" w:lineRule="exact"/>
        <w:rPr>
          <w:sz w:val="20"/>
          <w:szCs w:val="20"/>
          <w:color w:val="auto"/>
        </w:rPr>
      </w:pPr>
    </w:p>
    <w:p>
      <w:pPr>
        <w:ind w:right="140" w:firstLine="619"/>
        <w:spacing w:after="0" w:line="245" w:lineRule="auto"/>
        <w:rPr>
          <w:sz w:val="20"/>
          <w:szCs w:val="20"/>
          <w:color w:val="auto"/>
        </w:rPr>
      </w:pPr>
      <w:r>
        <w:rPr>
          <w:rFonts w:ascii="Times New Roman" w:cs="Times New Roman" w:eastAsia="Times New Roman" w:hAnsi="Times New Roman"/>
          <w:sz w:val="20"/>
          <w:szCs w:val="20"/>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202" w:lineRule="exact"/>
        <w:rPr>
          <w:sz w:val="20"/>
          <w:szCs w:val="20"/>
          <w:color w:val="auto"/>
        </w:rPr>
      </w:pPr>
    </w:p>
    <w:p>
      <w:pPr>
        <w:ind w:right="80" w:firstLine="619"/>
        <w:spacing w:after="0" w:line="265" w:lineRule="auto"/>
        <w:rPr>
          <w:sz w:val="20"/>
          <w:szCs w:val="20"/>
          <w:color w:val="auto"/>
        </w:rPr>
      </w:pPr>
      <w:r>
        <w:rPr>
          <w:rFonts w:ascii="Times New Roman" w:cs="Times New Roman" w:eastAsia="Times New Roman" w:hAnsi="Times New Roman"/>
          <w:sz w:val="19"/>
          <w:szCs w:val="19"/>
          <w:color w:val="auto"/>
        </w:rPr>
        <w:t>While our lead product candidate, rezatapopt, is still in clinical development and although it has been generally well-tolerated per our preliminary and updated data releases, as is the case with all oncology drugs, it is likely that there may be significant side effects associated with its use. rezatapopt or future product candidates may be used in populations for which safety concerns may be reviewed by regulatory agencies. In addition, we are collaborating with MD Anderson and MSK to support an investigator-initiated Phase 1b study, which is designed to</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420" w:right="1440" w:bottom="175" w:gutter="0" w:footer="0" w:header="0"/>
        </w:sectPr>
      </w:pPr>
    </w:p>
    <w:bookmarkStart w:id="46" w:name="page47"/>
    <w:bookmarkEnd w:id="46"/>
    <w:p>
      <w:pPr>
        <w:jc w:val="both"/>
        <w:ind w:right="40"/>
        <w:spacing w:after="0" w:line="262" w:lineRule="auto"/>
        <w:rPr>
          <w:sz w:val="20"/>
          <w:szCs w:val="20"/>
          <w:color w:val="auto"/>
        </w:rPr>
      </w:pPr>
      <w:r>
        <w:rPr>
          <w:rFonts w:ascii="Times New Roman" w:cs="Times New Roman" w:eastAsia="Times New Roman" w:hAnsi="Times New Roman"/>
          <w:sz w:val="19"/>
          <w:szCs w:val="19"/>
          <w:color w:val="auto"/>
        </w:rPr>
        <w:t>assess the safety, tolerability, pharmacokinetics, and preliminary efficacy of rezatapopt monotherapy in combination with azacitidine in R/R AML and MDS patients harboring a TP53 Y220C mutation, and we may study rezatapopt in combination with other additional therapies, which may exacerbate adverse events associated with the therapy.</w:t>
      </w:r>
    </w:p>
    <w:p>
      <w:pPr>
        <w:spacing w:after="0" w:line="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Further, our product candidates will be used in patients that have weakened immune systems, which may exacerbate any potential side effects associated with their use. Patients treated with rezatapopt or any of our future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rezatapopt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203"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331"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expect to develop our current or future product candidates in combination with other therapies, which exposes us to additional risks.</w:t>
      </w:r>
    </w:p>
    <w:p>
      <w:pPr>
        <w:spacing w:after="0" w:line="47"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In October 2024, we announced that we are collaborating with the MD Anderson Cancer Center and the Memorial Sloan Kettering Cancer Center to support an investigator-initiated Phase 1b study, which is designed to assess the safety, tolerability, pharmacokinetics, and preliminary efficacy of rezatapopt monotherapy in combination with azacitidine in R/R AML and MDS patients harboring a TP53 Y220C mutation. We intend to develop our current or future product candidates in combination with one or more other approved cancer therapies or therapies in development. Patients may not be able to tolerate rezatapopt or any of our future product candidates in combination with other therapies or dosing of rezatapopt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212" w:lineRule="exact"/>
        <w:rPr>
          <w:sz w:val="20"/>
          <w:szCs w:val="20"/>
          <w:color w:val="auto"/>
        </w:rPr>
      </w:pPr>
    </w:p>
    <w:p>
      <w:pPr>
        <w:ind w:right="40" w:firstLine="619"/>
        <w:spacing w:after="0" w:line="252" w:lineRule="auto"/>
        <w:rPr>
          <w:sz w:val="20"/>
          <w:szCs w:val="20"/>
          <w:color w:val="auto"/>
        </w:rPr>
      </w:pPr>
      <w:r>
        <w:rPr>
          <w:rFonts w:ascii="Times New Roman" w:cs="Times New Roman" w:eastAsia="Times New Roman" w:hAnsi="Times New Roman"/>
          <w:sz w:val="20"/>
          <w:szCs w:val="20"/>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195" w:lineRule="exact"/>
        <w:rPr>
          <w:sz w:val="20"/>
          <w:szCs w:val="20"/>
          <w:color w:val="auto"/>
        </w:rPr>
      </w:pPr>
    </w:p>
    <w:p>
      <w:pPr>
        <w:ind w:right="160" w:firstLine="619"/>
        <w:spacing w:after="0" w:line="277" w:lineRule="auto"/>
        <w:rPr>
          <w:sz w:val="20"/>
          <w:szCs w:val="20"/>
          <w:color w:val="auto"/>
        </w:rPr>
      </w:pPr>
      <w:r>
        <w:rPr>
          <w:rFonts w:ascii="Times New Roman" w:cs="Times New Roman" w:eastAsia="Times New Roman" w:hAnsi="Times New Roman"/>
          <w:sz w:val="20"/>
          <w:szCs w:val="20"/>
          <w:color w:val="auto"/>
        </w:rPr>
        <w:t>If the FDA or other comparable foreign regulatory authorities do not approve or withdraw their approval of these other therapies, or if safety, efficacy, commercial adoption, manufacturing or supply issues arise with the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420" w:right="1440" w:bottom="175" w:gutter="0" w:footer="0" w:header="0"/>
        </w:sectPr>
      </w:pPr>
    </w:p>
    <w:bookmarkStart w:id="47" w:name="page48"/>
    <w:bookmarkEnd w:id="47"/>
    <w:p>
      <w:pPr>
        <w:spacing w:after="0" w:line="246" w:lineRule="auto"/>
        <w:rPr>
          <w:sz w:val="20"/>
          <w:szCs w:val="20"/>
          <w:color w:val="auto"/>
        </w:rPr>
      </w:pPr>
      <w:r>
        <w:rPr>
          <w:rFonts w:ascii="Times New Roman" w:cs="Times New Roman" w:eastAsia="Times New Roman" w:hAnsi="Times New Roman"/>
          <w:sz w:val="20"/>
          <w:szCs w:val="20"/>
          <w:color w:val="auto"/>
        </w:rPr>
        <w:t>therapies we choose to evaluate in combination with rezatapopt or any future product candidate,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319"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66" w:lineRule="exact"/>
        <w:rPr>
          <w:sz w:val="20"/>
          <w:szCs w:val="20"/>
          <w:color w:val="auto"/>
        </w:rPr>
      </w:pPr>
    </w:p>
    <w:p>
      <w:pPr>
        <w:ind w:right="40" w:firstLine="620"/>
        <w:spacing w:after="0" w:line="244" w:lineRule="auto"/>
        <w:rPr>
          <w:sz w:val="20"/>
          <w:szCs w:val="20"/>
          <w:color w:val="auto"/>
        </w:rPr>
      </w:pPr>
      <w:r>
        <w:rPr>
          <w:rFonts w:ascii="Times New Roman" w:cs="Times New Roman" w:eastAsia="Times New Roman" w:hAnsi="Times New Roman"/>
          <w:sz w:val="20"/>
          <w:szCs w:val="20"/>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3" w:lineRule="exact"/>
        <w:rPr>
          <w:sz w:val="20"/>
          <w:szCs w:val="20"/>
          <w:color w:val="auto"/>
        </w:rPr>
      </w:pPr>
    </w:p>
    <w:p>
      <w:pPr>
        <w:ind w:right="120" w:firstLine="619"/>
        <w:spacing w:after="0" w:line="247" w:lineRule="auto"/>
        <w:rPr>
          <w:sz w:val="20"/>
          <w:szCs w:val="20"/>
          <w:color w:val="auto"/>
        </w:rPr>
      </w:pPr>
      <w:r>
        <w:rPr>
          <w:rFonts w:ascii="Times New Roman" w:cs="Times New Roman" w:eastAsia="Times New Roman" w:hAnsi="Times New Roman"/>
          <w:sz w:val="20"/>
          <w:szCs w:val="20"/>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w:t>
      </w:r>
    </w:p>
    <w:p>
      <w:pPr>
        <w:spacing w:after="0" w:line="200"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32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47" w:lineRule="exact"/>
        <w:rPr>
          <w:sz w:val="20"/>
          <w:szCs w:val="20"/>
          <w:color w:val="auto"/>
        </w:rPr>
      </w:pPr>
    </w:p>
    <w:p>
      <w:pPr>
        <w:jc w:val="both"/>
        <w:ind w:right="120" w:firstLine="619"/>
        <w:spacing w:after="0" w:line="259" w:lineRule="auto"/>
        <w:rPr>
          <w:sz w:val="20"/>
          <w:szCs w:val="20"/>
          <w:color w:val="auto"/>
        </w:rPr>
      </w:pPr>
      <w:r>
        <w:rPr>
          <w:rFonts w:ascii="Times New Roman" w:cs="Times New Roman" w:eastAsia="Times New Roman" w:hAnsi="Times New Roman"/>
          <w:sz w:val="20"/>
          <w:szCs w:val="20"/>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80" w:lineRule="exact"/>
        <w:rPr>
          <w:sz w:val="20"/>
          <w:szCs w:val="20"/>
          <w:color w:val="auto"/>
        </w:rPr>
      </w:pPr>
    </w:p>
    <w:p>
      <w:pPr>
        <w:ind w:left="900" w:hanging="281"/>
        <w:spacing w:after="0"/>
        <w:tabs>
          <w:tab w:leader="none" w:pos="9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clinical indications for which our product candidates are approved;</w:t>
      </w:r>
    </w:p>
    <w:p>
      <w:pPr>
        <w:spacing w:after="0" w:line="133" w:lineRule="exact"/>
        <w:rPr>
          <w:rFonts w:ascii="Arial" w:cs="Arial" w:eastAsia="Arial" w:hAnsi="Arial"/>
          <w:sz w:val="20"/>
          <w:szCs w:val="20"/>
          <w:color w:val="auto"/>
        </w:rPr>
      </w:pPr>
    </w:p>
    <w:p>
      <w:pPr>
        <w:ind w:left="900" w:right="180" w:hanging="281"/>
        <w:spacing w:after="0" w:line="277" w:lineRule="auto"/>
        <w:tabs>
          <w:tab w:leader="none" w:pos="9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physicians, hospitals, cancer treatment centers and patients considering our product candidates as a safe and effective treatment;</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and perceived advantages of our product candidates over alternative treatments;</w:t>
      </w:r>
    </w:p>
    <w:p>
      <w:pPr>
        <w:spacing w:after="0" w:line="133" w:lineRule="exact"/>
        <w:rPr>
          <w:rFonts w:ascii="Arial" w:cs="Arial" w:eastAsia="Arial" w:hAnsi="Arial"/>
          <w:sz w:val="20"/>
          <w:szCs w:val="20"/>
          <w:color w:val="auto"/>
        </w:rPr>
      </w:pPr>
    </w:p>
    <w:p>
      <w:pPr>
        <w:ind w:left="900" w:hanging="282"/>
        <w:spacing w:after="0"/>
        <w:tabs>
          <w:tab w:leader="none" w:pos="9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demonstrate the advantages of our product candidates over other cancer medicines;</w:t>
      </w:r>
    </w:p>
    <w:p>
      <w:pPr>
        <w:spacing w:after="0" w:line="132" w:lineRule="exact"/>
        <w:rPr>
          <w:rFonts w:ascii="Arial" w:cs="Arial" w:eastAsia="Arial" w:hAnsi="Arial"/>
          <w:sz w:val="20"/>
          <w:szCs w:val="20"/>
          <w:color w:val="auto"/>
        </w:rPr>
      </w:pPr>
    </w:p>
    <w:p>
      <w:pPr>
        <w:ind w:left="900" w:hanging="282"/>
        <w:spacing w:after="0"/>
        <w:tabs>
          <w:tab w:leader="none" w:pos="9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1420" w:right="1440" w:bottom="175" w:gutter="0" w:footer="0" w:header="0"/>
        </w:sectPr>
      </w:pPr>
    </w:p>
    <w:bookmarkStart w:id="48" w:name="page49"/>
    <w:bookmarkEnd w:id="48"/>
    <w:p>
      <w:pPr>
        <w:ind w:left="900" w:right="380" w:hanging="281"/>
        <w:spacing w:after="0" w:line="276" w:lineRule="auto"/>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side effects for other precision medicines and public perception of other precision medicines;</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product labeling or product insert requirements of the FDA or other regulatory authorities;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or warnings contained in the labeling approved by the FDA;</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market introduction of our product candidates as well as competitive products;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treatment in relation to alternative treatments;</w:t>
      </w:r>
    </w:p>
    <w:p>
      <w:pPr>
        <w:spacing w:after="0" w:line="132" w:lineRule="exact"/>
        <w:rPr>
          <w:rFonts w:ascii="Arial" w:cs="Arial" w:eastAsia="Arial" w:hAnsi="Arial"/>
          <w:sz w:val="20"/>
          <w:szCs w:val="20"/>
          <w:color w:val="auto"/>
        </w:rPr>
      </w:pPr>
    </w:p>
    <w:p>
      <w:pPr>
        <w:ind w:left="900" w:right="180" w:hanging="281"/>
        <w:spacing w:after="0" w:line="277" w:lineRule="auto"/>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adequate coverage, reimbursement and pricing by third-party payors and government authorities;</w:t>
      </w:r>
    </w:p>
    <w:p>
      <w:pPr>
        <w:spacing w:after="0" w:line="63" w:lineRule="exact"/>
        <w:rPr>
          <w:rFonts w:ascii="Arial" w:cs="Arial" w:eastAsia="Arial" w:hAnsi="Arial"/>
          <w:sz w:val="20"/>
          <w:szCs w:val="20"/>
          <w:color w:val="auto"/>
        </w:rPr>
      </w:pPr>
    </w:p>
    <w:p>
      <w:pPr>
        <w:ind w:left="900" w:right="440" w:hanging="282"/>
        <w:spacing w:after="0" w:line="276" w:lineRule="auto"/>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patients to pay out-of-pocket in the absence of coverage by third-party payors and government authorities;</w:t>
      </w:r>
    </w:p>
    <w:p>
      <w:pPr>
        <w:spacing w:after="0" w:line="64" w:lineRule="exact"/>
        <w:rPr>
          <w:rFonts w:ascii="Arial" w:cs="Arial" w:eastAsia="Arial" w:hAnsi="Arial"/>
          <w:sz w:val="20"/>
          <w:szCs w:val="20"/>
          <w:color w:val="auto"/>
        </w:rPr>
      </w:pPr>
    </w:p>
    <w:p>
      <w:pPr>
        <w:ind w:left="900" w:right="440" w:hanging="282"/>
        <w:spacing w:after="0" w:line="277" w:lineRule="auto"/>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relative convenience and ease of administration, including as compared to alternative treatments and competitive therapies; and</w:t>
      </w:r>
    </w:p>
    <w:p>
      <w:pPr>
        <w:spacing w:after="0" w:line="62" w:lineRule="exact"/>
        <w:rPr>
          <w:rFonts w:ascii="Arial" w:cs="Arial" w:eastAsia="Arial" w:hAnsi="Arial"/>
          <w:sz w:val="20"/>
          <w:szCs w:val="20"/>
          <w:color w:val="auto"/>
        </w:rPr>
      </w:pPr>
    </w:p>
    <w:p>
      <w:pPr>
        <w:ind w:left="900" w:hanging="282"/>
        <w:spacing w:after="0"/>
        <w:tabs>
          <w:tab w:leader="none" w:pos="9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effectiveness of our sales and marketing efforts.</w:t>
      </w:r>
    </w:p>
    <w:p>
      <w:pPr>
        <w:spacing w:after="0" w:line="239" w:lineRule="exact"/>
        <w:rPr>
          <w:sz w:val="20"/>
          <w:szCs w:val="20"/>
          <w:color w:val="auto"/>
        </w:rPr>
      </w:pPr>
    </w:p>
    <w:p>
      <w:pPr>
        <w:ind w:right="200" w:firstLine="619"/>
        <w:spacing w:after="0" w:line="258" w:lineRule="auto"/>
        <w:rPr>
          <w:sz w:val="20"/>
          <w:szCs w:val="20"/>
          <w:color w:val="auto"/>
        </w:rPr>
      </w:pPr>
      <w:r>
        <w:rPr>
          <w:rFonts w:ascii="Times New Roman" w:cs="Times New Roman" w:eastAsia="Times New Roman" w:hAnsi="Times New Roman"/>
          <w:sz w:val="20"/>
          <w:szCs w:val="20"/>
          <w:color w:val="auto"/>
        </w:rPr>
        <w:t>If our product candidates receive regulatory approval but fail to achieve market acceptance among physicians, patients, hospitals, cancer treatment centers or others in the medical community, we will not be able to generate significant revenue.</w:t>
      </w:r>
    </w:p>
    <w:p>
      <w:pPr>
        <w:spacing w:after="0" w:line="188" w:lineRule="exact"/>
        <w:rPr>
          <w:sz w:val="20"/>
          <w:szCs w:val="20"/>
          <w:color w:val="auto"/>
        </w:rPr>
      </w:pPr>
    </w:p>
    <w:p>
      <w:pPr>
        <w:ind w:right="360" w:firstLine="619"/>
        <w:spacing w:after="0" w:line="247" w:lineRule="auto"/>
        <w:rPr>
          <w:sz w:val="20"/>
          <w:szCs w:val="20"/>
          <w:color w:val="auto"/>
        </w:rPr>
      </w:pPr>
      <w:r>
        <w:rPr>
          <w:rFonts w:ascii="Times New Roman" w:cs="Times New Roman" w:eastAsia="Times New Roman" w:hAnsi="Times New Roman"/>
          <w:sz w:val="20"/>
          <w:szCs w:val="20"/>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and a decrease in demand for any such product candidates.</w:t>
      </w:r>
    </w:p>
    <w:p>
      <w:pPr>
        <w:spacing w:after="0" w:line="200"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20"/>
          <w:szCs w:val="20"/>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308" w:lineRule="exact"/>
        <w:rPr>
          <w:sz w:val="20"/>
          <w:szCs w:val="20"/>
          <w:color w:val="auto"/>
        </w:rPr>
      </w:pPr>
    </w:p>
    <w:p>
      <w:pPr>
        <w:ind w:right="38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77"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auto"/>
        </w:rPr>
        <w:t>The regulations that govern marketing approvals, pricing, coverage and reimbursement for new drugs vary widely from country to country. In the United States, recently enacted legislation may 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09"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9"/>
          <w:szCs w:val="19"/>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1435" w:right="1440" w:bottom="175" w:gutter="0" w:footer="0" w:header="0"/>
        </w:sectPr>
      </w:pPr>
    </w:p>
    <w:bookmarkStart w:id="49" w:name="page50"/>
    <w:bookmarkEnd w:id="49"/>
    <w:p>
      <w:pPr>
        <w:ind w:right="140"/>
        <w:spacing w:after="0" w:line="242" w:lineRule="auto"/>
        <w:rPr>
          <w:sz w:val="20"/>
          <w:szCs w:val="20"/>
          <w:color w:val="auto"/>
        </w:rPr>
      </w:pPr>
      <w:r>
        <w:rPr>
          <w:rFonts w:ascii="Times New Roman" w:cs="Times New Roman" w:eastAsia="Times New Roman" w:hAnsi="Times New Roman"/>
          <w:sz w:val="20"/>
          <w:szCs w:val="20"/>
          <w:color w:val="auto"/>
        </w:rPr>
        <w:t>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108" w:lineRule="exact"/>
        <w:rPr>
          <w:sz w:val="20"/>
          <w:szCs w:val="20"/>
          <w:color w:val="auto"/>
        </w:rPr>
      </w:pPr>
    </w:p>
    <w:p>
      <w:pPr>
        <w:ind w:left="900" w:hanging="281"/>
        <w:spacing w:after="0"/>
        <w:tabs>
          <w:tab w:leader="none" w:pos="9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 covered benefit under its health plan;</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safe, effective and medically necessary;</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appropriate for the specific patient;</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cost-effective; and</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neither experimental nor investigational.</w:t>
      </w:r>
    </w:p>
    <w:p>
      <w:pPr>
        <w:spacing w:after="0" w:line="239"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206"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20"/>
          <w:szCs w:val="20"/>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CMS. CMS decides whether and to what extent a new medicine will be covered and reimbursed under Medicare and private payors tend to follow CMS to a substantial degree. No uniform policy of coverage and reimbursement for products exists among third -party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1420" w:right="1440" w:bottom="175" w:gutter="0" w:footer="0" w:header="0"/>
        </w:sectPr>
      </w:pPr>
    </w:p>
    <w:bookmarkStart w:id="50" w:name="page51"/>
    <w:bookmarkEnd w:id="50"/>
    <w:p>
      <w:pPr>
        <w:ind w:firstLine="619"/>
        <w:spacing w:after="0" w:line="247" w:lineRule="auto"/>
        <w:rPr>
          <w:sz w:val="20"/>
          <w:szCs w:val="20"/>
          <w:color w:val="auto"/>
        </w:rPr>
      </w:pPr>
      <w:r>
        <w:rPr>
          <w:rFonts w:ascii="Times New Roman" w:cs="Times New Roman" w:eastAsia="Times New Roman" w:hAnsi="Times New Roman"/>
          <w:sz w:val="20"/>
          <w:szCs w:val="20"/>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200" w:lineRule="exact"/>
        <w:rPr>
          <w:sz w:val="20"/>
          <w:szCs w:val="20"/>
          <w:color w:val="auto"/>
        </w:rPr>
      </w:pPr>
    </w:p>
    <w:p>
      <w:pPr>
        <w:ind w:firstLine="620"/>
        <w:spacing w:after="0" w:line="243" w:lineRule="auto"/>
        <w:rPr>
          <w:sz w:val="20"/>
          <w:szCs w:val="20"/>
          <w:color w:val="auto"/>
        </w:rPr>
      </w:pPr>
      <w:r>
        <w:rPr>
          <w:rFonts w:ascii="Times New Roman" w:cs="Times New Roman" w:eastAsia="Times New Roman" w:hAnsi="Times New Roman"/>
          <w:sz w:val="20"/>
          <w:szCs w:val="20"/>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 -priced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9"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 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329"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product liability lawsuits are brought against us, we may incur substantial liabilities and may be required to limit commercialization of our product candidates.</w:t>
      </w:r>
    </w:p>
    <w:p>
      <w:pPr>
        <w:spacing w:after="0" w:line="47"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01" w:lineRule="exact"/>
        <w:rPr>
          <w:sz w:val="20"/>
          <w:szCs w:val="20"/>
          <w:color w:val="auto"/>
        </w:rPr>
      </w:pPr>
    </w:p>
    <w:p>
      <w:pPr>
        <w:ind w:left="900" w:hanging="281"/>
        <w:spacing w:after="0"/>
        <w:tabs>
          <w:tab w:leader="none" w:pos="9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demand for our product candidates or products that we may develop;</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injury to our reputation;</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initiation of investigations by regulators;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costs to defend the related litigation;</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management’s time and our resources;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product recalls, withdrawals or labeling, marketing or promotional restrictions;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1420" w:right="1440" w:bottom="175" w:gutter="0" w:footer="0" w:header="0"/>
        </w:sectPr>
      </w:pPr>
    </w:p>
    <w:bookmarkStart w:id="51" w:name="page52"/>
    <w:bookmarkEnd w:id="51"/>
    <w:p>
      <w:pPr>
        <w:ind w:left="900" w:hanging="281"/>
        <w:spacing w:after="0"/>
        <w:tabs>
          <w:tab w:leader="none" w:pos="9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exhaustion of any available insurance and our capital resources;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commercialize any product candidate; and</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a decline in our share price.</w:t>
      </w:r>
    </w:p>
    <w:p>
      <w:pPr>
        <w:spacing w:after="0" w:line="239"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20"/>
          <w:szCs w:val="20"/>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322"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48" w:lineRule="exact"/>
        <w:rPr>
          <w:sz w:val="20"/>
          <w:szCs w:val="20"/>
          <w:color w:val="auto"/>
        </w:rPr>
      </w:pPr>
    </w:p>
    <w:p>
      <w:pPr>
        <w:ind w:right="60" w:firstLine="619"/>
        <w:spacing w:after="0" w:line="242" w:lineRule="auto"/>
        <w:rPr>
          <w:sz w:val="20"/>
          <w:szCs w:val="20"/>
          <w:color w:val="auto"/>
        </w:rPr>
      </w:pPr>
      <w:r>
        <w:rPr>
          <w:rFonts w:ascii="Times New Roman" w:cs="Times New Roman" w:eastAsia="Times New Roman" w:hAnsi="Times New Roman"/>
          <w:sz w:val="20"/>
          <w:szCs w:val="20"/>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331"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66" w:lineRule="exact"/>
        <w:rPr>
          <w:sz w:val="20"/>
          <w:szCs w:val="20"/>
          <w:color w:val="auto"/>
        </w:rPr>
      </w:pPr>
    </w:p>
    <w:p>
      <w:pPr>
        <w:ind w:right="260" w:firstLine="619"/>
        <w:spacing w:after="0" w:line="252" w:lineRule="auto"/>
        <w:rPr>
          <w:sz w:val="20"/>
          <w:szCs w:val="20"/>
          <w:color w:val="auto"/>
        </w:rPr>
      </w:pPr>
      <w:r>
        <w:rPr>
          <w:rFonts w:ascii="Times New Roman" w:cs="Times New Roman" w:eastAsia="Times New Roman" w:hAnsi="Times New Roman"/>
          <w:sz w:val="20"/>
          <w:szCs w:val="20"/>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95" w:lineRule="exact"/>
        <w:rPr>
          <w:sz w:val="20"/>
          <w:szCs w:val="20"/>
          <w:color w:val="auto"/>
        </w:rPr>
      </w:pPr>
    </w:p>
    <w:p>
      <w:pPr>
        <w:ind w:right="60" w:firstLine="620"/>
        <w:spacing w:after="0" w:line="244" w:lineRule="auto"/>
        <w:rPr>
          <w:sz w:val="20"/>
          <w:szCs w:val="20"/>
          <w:color w:val="auto"/>
        </w:rPr>
      </w:pPr>
      <w:r>
        <w:rPr>
          <w:rFonts w:ascii="Times New Roman" w:cs="Times New Roman" w:eastAsia="Times New Roman" w:hAnsi="Times New Roman"/>
          <w:sz w:val="20"/>
          <w:szCs w:val="20"/>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1435" w:right="1440" w:bottom="175" w:gutter="0" w:footer="0" w:header="0"/>
        </w:sectPr>
      </w:pPr>
    </w:p>
    <w:bookmarkStart w:id="52" w:name="page53"/>
    <w:bookmarkEnd w:id="52"/>
    <w:p>
      <w:pPr>
        <w:ind w:right="160" w:firstLine="619"/>
        <w:spacing w:after="0" w:line="258" w:lineRule="auto"/>
        <w:rPr>
          <w:sz w:val="20"/>
          <w:szCs w:val="20"/>
          <w:color w:val="auto"/>
        </w:rPr>
      </w:pPr>
      <w:r>
        <w:rPr>
          <w:rFonts w:ascii="Times New Roman" w:cs="Times New Roman" w:eastAsia="Times New Roman" w:hAnsi="Times New Roman"/>
          <w:sz w:val="20"/>
          <w:szCs w:val="20"/>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Regulatory Process and Other Legal Compliance Matters</w:t>
      </w:r>
    </w:p>
    <w:p>
      <w:pPr>
        <w:spacing w:after="0" w:line="24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7"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rezatapopt, we must demonstrate through lengthy, complex and expensive preclinical studies and clinical trials that our product candidates are both safe and effective for each targeted indication.</w:t>
      </w:r>
    </w:p>
    <w:p>
      <w:pPr>
        <w:spacing w:after="0" w:line="200" w:lineRule="exact"/>
        <w:rPr>
          <w:sz w:val="20"/>
          <w:szCs w:val="20"/>
          <w:color w:val="auto"/>
        </w:rPr>
      </w:pPr>
    </w:p>
    <w:p>
      <w:pPr>
        <w:ind w:right="160" w:firstLine="619"/>
        <w:spacing w:after="0" w:line="252" w:lineRule="auto"/>
        <w:rPr>
          <w:sz w:val="20"/>
          <w:szCs w:val="20"/>
          <w:color w:val="auto"/>
        </w:rPr>
      </w:pPr>
      <w:r>
        <w:rPr>
          <w:rFonts w:ascii="Times New Roman" w:cs="Times New Roman" w:eastAsia="Times New Roman" w:hAnsi="Times New Roman"/>
          <w:sz w:val="20"/>
          <w:szCs w:val="20"/>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93"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the FDA issued various COVID-19 related guidance documents for trial sponsors and manufacturers during the COVID-19 national and public health emergencies, and may do so in response to other public health concerns in the future.</w:t>
      </w:r>
    </w:p>
    <w:p>
      <w:pPr>
        <w:spacing w:after="0" w:line="203" w:lineRule="exact"/>
        <w:rPr>
          <w:sz w:val="20"/>
          <w:szCs w:val="20"/>
          <w:color w:val="auto"/>
        </w:rPr>
      </w:pPr>
    </w:p>
    <w:p>
      <w:pPr>
        <w:ind w:right="240" w:firstLine="619"/>
        <w:spacing w:after="0" w:line="245" w:lineRule="auto"/>
        <w:rPr>
          <w:sz w:val="20"/>
          <w:szCs w:val="20"/>
          <w:color w:val="auto"/>
        </w:rPr>
      </w:pPr>
      <w:r>
        <w:rPr>
          <w:rFonts w:ascii="Times New Roman" w:cs="Times New Roman" w:eastAsia="Times New Roman" w:hAnsi="Times New Roman"/>
          <w:sz w:val="20"/>
          <w:szCs w:val="20"/>
          <w:color w:val="auto"/>
        </w:rPr>
        <w:t>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The FDA and comparable authorities in other countries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following:</w:t>
      </w:r>
    </w:p>
    <w:p>
      <w:pPr>
        <w:spacing w:after="0" w:line="96" w:lineRule="exact"/>
        <w:rPr>
          <w:sz w:val="20"/>
          <w:szCs w:val="20"/>
          <w:color w:val="auto"/>
        </w:rPr>
      </w:pPr>
    </w:p>
    <w:p>
      <w:pPr>
        <w:jc w:val="both"/>
        <w:ind w:left="900" w:right="60" w:hanging="281"/>
        <w:spacing w:after="0" w:line="252" w:lineRule="auto"/>
        <w:tabs>
          <w:tab w:leader="none" w:pos="9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the design or implementation of our clinical trials, including our Phase 1/2 clinical trial design for rezatapopt, or require us to modify the design of our clinical trials, including additional procedures and contingency measures in response to the COVID-19 pandemic or as required by clinical sites, IRBs, FDA or other regulatory authorities;</w:t>
      </w:r>
    </w:p>
    <w:p>
      <w:pPr>
        <w:spacing w:after="0" w:line="86" w:lineRule="exact"/>
        <w:rPr>
          <w:rFonts w:ascii="Arial" w:cs="Arial" w:eastAsia="Arial" w:hAnsi="Arial"/>
          <w:sz w:val="20"/>
          <w:szCs w:val="20"/>
          <w:color w:val="auto"/>
        </w:rPr>
      </w:pPr>
    </w:p>
    <w:p>
      <w:pPr>
        <w:ind w:left="900" w:hanging="281"/>
        <w:spacing w:after="0" w:line="277" w:lineRule="auto"/>
        <w:tabs>
          <w:tab w:leader="none" w:pos="9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our tumor-agnostic development strategy;</w:t>
      </w:r>
    </w:p>
    <w:p>
      <w:pPr>
        <w:spacing w:after="0" w:line="63" w:lineRule="exact"/>
        <w:rPr>
          <w:rFonts w:ascii="Arial" w:cs="Arial" w:eastAsia="Arial" w:hAnsi="Arial"/>
          <w:sz w:val="20"/>
          <w:szCs w:val="20"/>
          <w:color w:val="auto"/>
        </w:rPr>
      </w:pPr>
    </w:p>
    <w:p>
      <w:pPr>
        <w:ind w:left="900" w:right="620" w:hanging="281"/>
        <w:spacing w:after="0" w:line="276" w:lineRule="auto"/>
        <w:tabs>
          <w:tab w:leader="none" w:pos="9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population studied in the clinical trial may not be sufficiently broad or representative to assure efficacy and safety in the full population for which we seek approval;</w:t>
      </w:r>
    </w:p>
    <w:p>
      <w:pPr>
        <w:spacing w:after="0" w:line="64" w:lineRule="exact"/>
        <w:rPr>
          <w:rFonts w:ascii="Arial" w:cs="Arial" w:eastAsia="Arial" w:hAnsi="Arial"/>
          <w:sz w:val="20"/>
          <w:szCs w:val="20"/>
          <w:color w:val="auto"/>
        </w:rPr>
      </w:pPr>
    </w:p>
    <w:p>
      <w:pPr>
        <w:ind w:left="900" w:right="160" w:hanging="281"/>
        <w:spacing w:after="0" w:line="258" w:lineRule="auto"/>
        <w:tabs>
          <w:tab w:leader="none" w:pos="9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81" w:lineRule="exact"/>
        <w:rPr>
          <w:rFonts w:ascii="Arial" w:cs="Arial" w:eastAsia="Arial" w:hAnsi="Arial"/>
          <w:sz w:val="20"/>
          <w:szCs w:val="20"/>
          <w:color w:val="auto"/>
        </w:rPr>
      </w:pPr>
    </w:p>
    <w:p>
      <w:pPr>
        <w:ind w:left="900" w:right="160" w:hanging="281"/>
        <w:spacing w:after="0" w:line="276" w:lineRule="auto"/>
        <w:tabs>
          <w:tab w:leader="none" w:pos="9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other comparable regulatory authorities may fail to approve companion diagnostic tests that may be required for our product candidates;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1420" w:right="1440" w:bottom="175" w:gutter="0" w:footer="0" w:header="0"/>
        </w:sectPr>
      </w:pPr>
    </w:p>
    <w:bookmarkStart w:id="53" w:name="page54"/>
    <w:bookmarkEnd w:id="53"/>
    <w:p>
      <w:pPr>
        <w:ind w:left="900" w:right="500" w:hanging="281"/>
        <w:spacing w:after="0" w:line="276" w:lineRule="auto"/>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clinical trials may not meet the level of statistical significance required by the FDA or comparable foreign regulatory authorities for approval;</w:t>
      </w:r>
    </w:p>
    <w:p>
      <w:pPr>
        <w:spacing w:after="0" w:line="64" w:lineRule="exact"/>
        <w:rPr>
          <w:rFonts w:ascii="Arial" w:cs="Arial" w:eastAsia="Arial" w:hAnsi="Arial"/>
          <w:sz w:val="20"/>
          <w:szCs w:val="20"/>
          <w:color w:val="auto"/>
        </w:rPr>
      </w:pPr>
    </w:p>
    <w:p>
      <w:pPr>
        <w:ind w:left="900" w:right="280" w:hanging="281"/>
        <w:spacing w:after="0" w:line="305" w:lineRule="auto"/>
        <w:tabs>
          <w:tab w:leader="none" w:pos="900" w:val="left"/>
        </w:tabs>
        <w:numPr>
          <w:ilvl w:val="0"/>
          <w:numId w:val="37"/>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unable to demonstrate that a product candidate’s clinical and other benefits outweigh its safety risks, or that a product candidate has an acceptable benefit-risk ratio for its proposed indication;</w:t>
      </w:r>
    </w:p>
    <w:p>
      <w:pPr>
        <w:spacing w:after="0" w:line="37" w:lineRule="exact"/>
        <w:rPr>
          <w:rFonts w:ascii="Arial" w:cs="Arial" w:eastAsia="Arial" w:hAnsi="Arial"/>
          <w:sz w:val="19"/>
          <w:szCs w:val="19"/>
          <w:color w:val="auto"/>
        </w:rPr>
      </w:pPr>
    </w:p>
    <w:p>
      <w:pPr>
        <w:ind w:left="900" w:right="180" w:hanging="281"/>
        <w:spacing w:after="0" w:line="277" w:lineRule="auto"/>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our interpretation of data from preclinical studies or clinical trials;</w:t>
      </w:r>
    </w:p>
    <w:p>
      <w:pPr>
        <w:spacing w:after="0" w:line="62" w:lineRule="exact"/>
        <w:rPr>
          <w:rFonts w:ascii="Arial" w:cs="Arial" w:eastAsia="Arial" w:hAnsi="Arial"/>
          <w:sz w:val="20"/>
          <w:szCs w:val="20"/>
          <w:color w:val="auto"/>
        </w:rPr>
      </w:pPr>
    </w:p>
    <w:p>
      <w:pPr>
        <w:jc w:val="both"/>
        <w:ind w:left="900" w:right="560" w:hanging="281"/>
        <w:spacing w:after="0" w:line="259" w:lineRule="auto"/>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data collected from clinical trials of our product candidates may not be sufficient to support the submission of an NDA or other submission or to obtain regulatory approval in the United States or elsewhere;</w:t>
      </w:r>
    </w:p>
    <w:p>
      <w:pPr>
        <w:spacing w:after="0" w:line="78" w:lineRule="exact"/>
        <w:rPr>
          <w:rFonts w:ascii="Arial" w:cs="Arial" w:eastAsia="Arial" w:hAnsi="Arial"/>
          <w:sz w:val="20"/>
          <w:szCs w:val="20"/>
          <w:color w:val="auto"/>
        </w:rPr>
      </w:pPr>
    </w:p>
    <w:p>
      <w:pPr>
        <w:ind w:left="900" w:right="200" w:hanging="281"/>
        <w:spacing w:after="0" w:line="259" w:lineRule="auto"/>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78" w:lineRule="exact"/>
        <w:rPr>
          <w:rFonts w:ascii="Arial" w:cs="Arial" w:eastAsia="Arial" w:hAnsi="Arial"/>
          <w:sz w:val="20"/>
          <w:szCs w:val="20"/>
          <w:color w:val="auto"/>
        </w:rPr>
      </w:pPr>
    </w:p>
    <w:p>
      <w:pPr>
        <w:ind w:left="900" w:right="20" w:hanging="281"/>
        <w:spacing w:after="0" w:line="259" w:lineRule="auto"/>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contractors may fail to comply with regulatory requirements or otherwise fail or be unable to adequately perform their obligations to allow for the conduct of our planned or future clinical studies; and</w:t>
      </w:r>
    </w:p>
    <w:p>
      <w:pPr>
        <w:spacing w:after="0" w:line="78" w:lineRule="exact"/>
        <w:rPr>
          <w:rFonts w:ascii="Arial" w:cs="Arial" w:eastAsia="Arial" w:hAnsi="Arial"/>
          <w:sz w:val="20"/>
          <w:szCs w:val="20"/>
          <w:color w:val="auto"/>
        </w:rPr>
      </w:pPr>
    </w:p>
    <w:p>
      <w:pPr>
        <w:ind w:left="900" w:right="700" w:hanging="281"/>
        <w:spacing w:after="0" w:line="277" w:lineRule="auto"/>
        <w:tabs>
          <w:tab w:leader="none" w:pos="9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approval policies or regulations of the FDA or comparable foreign regulatory authorities may significantly change in a manner rendering our clinical data insufficient for approval.</w:t>
      </w:r>
    </w:p>
    <w:p>
      <w:pPr>
        <w:spacing w:after="0" w:line="168" w:lineRule="exact"/>
        <w:rPr>
          <w:sz w:val="20"/>
          <w:szCs w:val="20"/>
          <w:color w:val="auto"/>
        </w:rPr>
      </w:pPr>
    </w:p>
    <w:p>
      <w:pPr>
        <w:ind w:right="280" w:firstLine="619"/>
        <w:spacing w:after="0" w:line="270" w:lineRule="auto"/>
        <w:rPr>
          <w:sz w:val="20"/>
          <w:szCs w:val="20"/>
          <w:color w:val="auto"/>
        </w:rPr>
      </w:pPr>
      <w:r>
        <w:rPr>
          <w:rFonts w:ascii="Times New Roman" w:cs="Times New Roman" w:eastAsia="Times New Roman" w:hAnsi="Times New Roman"/>
          <w:sz w:val="19"/>
          <w:szCs w:val="19"/>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77"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20"/>
          <w:szCs w:val="20"/>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3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Although we have received orphan drug designation (ODD) for rezatapopt, we may not be able to maintain the benefits associated with ODD, such as orphan drug exclusivity and, even if we do, that exclusivity may not prevent the FDA or other comparable foreign regulatory authorities from approving competing products.</w:t>
      </w:r>
    </w:p>
    <w:p>
      <w:pPr>
        <w:spacing w:after="0" w:line="30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As part of our business strategy, we sought and received ODD for rezatapopt for the treatment of TP53 Y220C positive ovarian cancer, fallopian tube cancer, and primary peritoneal cancer, and we may seek ODD for any eligible product candidates we develop in the future.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209"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9"/>
          <w:szCs w:val="19"/>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1435" w:right="1440" w:bottom="175" w:gutter="0" w:footer="0" w:header="0"/>
        </w:sectPr>
      </w:pPr>
    </w:p>
    <w:bookmarkStart w:id="54" w:name="page55"/>
    <w:bookmarkEnd w:id="54"/>
    <w:p>
      <w:pPr>
        <w:ind w:right="20"/>
        <w:spacing w:after="0" w:line="246" w:lineRule="auto"/>
        <w:rPr>
          <w:sz w:val="20"/>
          <w:szCs w:val="20"/>
          <w:color w:val="auto"/>
        </w:rPr>
      </w:pPr>
      <w:r>
        <w:rPr>
          <w:rFonts w:ascii="Times New Roman" w:cs="Times New Roman" w:eastAsia="Times New Roman" w:hAnsi="Times New Roman"/>
          <w:sz w:val="20"/>
          <w:szCs w:val="20"/>
          <w:color w:val="auto"/>
        </w:rPr>
        <w:t>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99" w:lineRule="exact"/>
        <w:rPr>
          <w:sz w:val="20"/>
          <w:szCs w:val="20"/>
          <w:color w:val="auto"/>
        </w:rPr>
      </w:pPr>
    </w:p>
    <w:p>
      <w:pPr>
        <w:ind w:right="80" w:firstLine="619"/>
        <w:spacing w:after="0" w:line="242" w:lineRule="auto"/>
        <w:rPr>
          <w:sz w:val="20"/>
          <w:szCs w:val="20"/>
          <w:color w:val="auto"/>
        </w:rPr>
      </w:pPr>
      <w:r>
        <w:rPr>
          <w:rFonts w:ascii="Times New Roman" w:cs="Times New Roman" w:eastAsia="Times New Roman" w:hAnsi="Times New Roman"/>
          <w:sz w:val="20"/>
          <w:szCs w:val="20"/>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 -designated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212" w:lineRule="exact"/>
        <w:rPr>
          <w:sz w:val="20"/>
          <w:szCs w:val="20"/>
          <w:color w:val="auto"/>
        </w:rPr>
      </w:pPr>
    </w:p>
    <w:p>
      <w:pPr>
        <w:ind w:right="40" w:firstLine="620"/>
        <w:spacing w:after="0" w:line="244" w:lineRule="auto"/>
        <w:rPr>
          <w:sz w:val="20"/>
          <w:szCs w:val="20"/>
          <w:color w:val="auto"/>
        </w:rPr>
      </w:pPr>
      <w:r>
        <w:rPr>
          <w:rFonts w:ascii="Times New Roman" w:cs="Times New Roman" w:eastAsia="Times New Roman" w:hAnsi="Times New Roman"/>
          <w:sz w:val="20"/>
          <w:szCs w:val="20"/>
          <w:color w:val="auto"/>
        </w:rPr>
        <w:t xml:space="preserve">Further, in </w:t>
      </w:r>
      <w:r>
        <w:rPr>
          <w:rFonts w:ascii="Times New Roman" w:cs="Times New Roman" w:eastAsia="Times New Roman" w:hAnsi="Times New Roman"/>
          <w:sz w:val="20"/>
          <w:szCs w:val="20"/>
          <w:i w:val="1"/>
          <w:iCs w:val="1"/>
          <w:color w:val="auto"/>
        </w:rPr>
        <w:t>Catalyst Pharms., Inc. v. Becerra</w:t>
      </w:r>
      <w:r>
        <w:rPr>
          <w:rFonts w:ascii="Times New Roman" w:cs="Times New Roman" w:eastAsia="Times New Roman" w:hAnsi="Times New Roman"/>
          <w:sz w:val="20"/>
          <w:szCs w:val="20"/>
          <w:color w:val="auto"/>
        </w:rPr>
        <w:t xml:space="preserve">, 14 F.4th 1299 (11th Cir. 2021), the court disagreed with the FDA’s longstanding position that the orphan drug exclusivity only applies to the approved use or indication within an eligible disease. However, on January 24, 2023, the FDA published a notice in the Federal Register to clarify that while the agency complies with the court’s order in </w:t>
      </w:r>
      <w:r>
        <w:rPr>
          <w:rFonts w:ascii="Times New Roman" w:cs="Times New Roman" w:eastAsia="Times New Roman" w:hAnsi="Times New Roman"/>
          <w:sz w:val="20"/>
          <w:szCs w:val="20"/>
          <w:i w:val="1"/>
          <w:iCs w:val="1"/>
          <w:color w:val="auto"/>
        </w:rPr>
        <w:t>Catalyst</w:t>
      </w:r>
      <w:r>
        <w:rPr>
          <w:rFonts w:ascii="Times New Roman" w:cs="Times New Roman" w:eastAsia="Times New Roman" w:hAnsi="Times New Roman"/>
          <w:sz w:val="20"/>
          <w:szCs w:val="20"/>
          <w:color w:val="auto"/>
        </w:rPr>
        <w:t xml:space="preserve">, FDA intends to continue to apply its longstanding interpretation of the regulations to matters outside of the scope of the </w:t>
      </w:r>
      <w:r>
        <w:rPr>
          <w:rFonts w:ascii="Times New Roman" w:cs="Times New Roman" w:eastAsia="Times New Roman" w:hAnsi="Times New Roman"/>
          <w:sz w:val="20"/>
          <w:szCs w:val="20"/>
          <w:i w:val="1"/>
          <w:iCs w:val="1"/>
          <w:color w:val="auto"/>
        </w:rPr>
        <w:t>Catalyst</w:t>
      </w:r>
      <w:r>
        <w:rPr>
          <w:rFonts w:ascii="Times New Roman" w:cs="Times New Roman" w:eastAsia="Times New Roman" w:hAnsi="Times New Roman"/>
          <w:sz w:val="20"/>
          <w:szCs w:val="20"/>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spacing w:after="0" w:line="32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may seek and fail to obtain or maintain breakthrough therapy or Fast Track designations for our current or future product candidates. Even if we are successful, such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78"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color w:val="auto"/>
        </w:rPr>
        <w:t>If a product is intended for the treatment of a serious or life-threatening condition and preclinical or clinical data demonstrate the potential to address an unmet medical need for this condition, the product sponsor may apply for Fast Track designation. In October 2020, we received Fast Track designation for rezatapopt from the FDA. The FDA has broad discretion whether or not to grant this designation, so even if we believe a particular future product candidate is eligible for this designation, we cannot assure you that the FDA would decide to grant it. Further, even though we have received Fast Track designation for rezatapopt,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02"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1420" w:right="1440" w:bottom="175" w:gutter="0" w:footer="0" w:header="0"/>
        </w:sectPr>
      </w:pPr>
    </w:p>
    <w:bookmarkStart w:id="55" w:name="page56"/>
    <w:bookmarkEnd w:id="55"/>
    <w:p>
      <w:pPr>
        <w:ind w:right="100"/>
        <w:spacing w:after="0" w:line="247" w:lineRule="auto"/>
        <w:rPr>
          <w:sz w:val="20"/>
          <w:szCs w:val="20"/>
          <w:color w:val="auto"/>
        </w:rPr>
      </w:pPr>
      <w:r>
        <w:rPr>
          <w:rFonts w:ascii="Times New Roman" w:cs="Times New Roman" w:eastAsia="Times New Roman" w:hAnsi="Times New Roman"/>
          <w:sz w:val="20"/>
          <w:szCs w:val="20"/>
          <w:color w:val="auto"/>
        </w:rPr>
        <w:t>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200" w:lineRule="exact"/>
        <w:rPr>
          <w:sz w:val="20"/>
          <w:szCs w:val="20"/>
          <w:color w:val="auto"/>
        </w:rPr>
      </w:pPr>
    </w:p>
    <w:p>
      <w:pPr>
        <w:ind w:right="20" w:firstLine="620"/>
        <w:spacing w:after="0" w:line="242" w:lineRule="auto"/>
        <w:rPr>
          <w:sz w:val="20"/>
          <w:szCs w:val="20"/>
          <w:color w:val="auto"/>
        </w:rPr>
      </w:pPr>
      <w:r>
        <w:rPr>
          <w:rFonts w:ascii="Times New Roman" w:cs="Times New Roman" w:eastAsia="Times New Roman" w:hAnsi="Times New Roman"/>
          <w:sz w:val="20"/>
          <w:szCs w:val="20"/>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 approval clinical studies to verify and describe the anticipated effect on irreversible morbidity or mortality or other clinical benefit. In addition, the FDA currently requires pre -approval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 In addition, the Food and Drug Omnibus Reform Act made several changes to the FDA’s authorities and its regulatory framework, including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32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47"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09"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20"/>
          <w:szCs w:val="20"/>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1420" w:right="1440" w:bottom="175" w:gutter="0" w:footer="0" w:header="0"/>
        </w:sectPr>
      </w:pPr>
    </w:p>
    <w:bookmarkStart w:id="56" w:name="page57"/>
    <w:bookmarkEnd w:id="56"/>
    <w:p>
      <w:pPr>
        <w:ind w:right="6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80"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Our lead product candidate, rezatapopt, is in clinical development and all of our other product candidates are in discovery or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clinical trials may not be successful.</w:t>
      </w:r>
    </w:p>
    <w:p>
      <w:pPr>
        <w:spacing w:after="0" w:line="205"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20"/>
          <w:szCs w:val="20"/>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 years to complete, and its outcome is inherently uncertain. Human clinical trials are expensive and difficult to design and implement, in part because they are subject to rigorous regulatory requirements. Failure or delay can occur at any time during the clinical trial process.</w:t>
      </w:r>
    </w:p>
    <w:p>
      <w:pPr>
        <w:spacing w:after="0" w:line="200" w:lineRule="exact"/>
        <w:rPr>
          <w:sz w:val="20"/>
          <w:szCs w:val="20"/>
          <w:color w:val="auto"/>
        </w:rPr>
      </w:pPr>
    </w:p>
    <w:p>
      <w:pPr>
        <w:ind w:firstLine="620"/>
        <w:spacing w:after="0" w:line="243" w:lineRule="auto"/>
        <w:rPr>
          <w:sz w:val="20"/>
          <w:szCs w:val="20"/>
          <w:color w:val="auto"/>
        </w:rPr>
      </w:pPr>
      <w:r>
        <w:rPr>
          <w:rFonts w:ascii="Times New Roman" w:cs="Times New Roman" w:eastAsia="Times New Roman" w:hAnsi="Times New Roman"/>
          <w:sz w:val="20"/>
          <w:szCs w:val="20"/>
          <w:color w:val="auto"/>
        </w:rPr>
        <w:t>Additionally, our rezatapopt Phase 1/2 clinical trial is, and other clinical trials we conduct in the future may be, open-label in study design and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04"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We may experience delays in obtaining the FDA’s authorization to initiate clinical trials, completing ongoing clinical trials of rezatapopt and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95" w:lineRule="exact"/>
        <w:rPr>
          <w:sz w:val="20"/>
          <w:szCs w:val="20"/>
          <w:color w:val="auto"/>
        </w:rPr>
      </w:pPr>
    </w:p>
    <w:p>
      <w:pPr>
        <w:ind w:left="900" w:hanging="281"/>
        <w:spacing w:after="0"/>
        <w:tabs>
          <w:tab w:leader="none" w:pos="9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financial resources to commence and complete clinical trials;</w:t>
      </w:r>
    </w:p>
    <w:p>
      <w:pPr>
        <w:spacing w:after="0" w:line="132" w:lineRule="exact"/>
        <w:rPr>
          <w:rFonts w:ascii="Arial" w:cs="Arial" w:eastAsia="Arial" w:hAnsi="Arial"/>
          <w:sz w:val="20"/>
          <w:szCs w:val="20"/>
          <w:color w:val="auto"/>
        </w:rPr>
      </w:pPr>
    </w:p>
    <w:p>
      <w:pPr>
        <w:ind w:left="900" w:right="180" w:hanging="281"/>
        <w:spacing w:after="0" w:line="277" w:lineRule="auto"/>
        <w:tabs>
          <w:tab w:leader="none" w:pos="9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disagreeing as to the design or implementation of our clinical trials;</w:t>
      </w:r>
    </w:p>
    <w:p>
      <w:pPr>
        <w:spacing w:after="0" w:line="62" w:lineRule="exact"/>
        <w:rPr>
          <w:rFonts w:ascii="Arial" w:cs="Arial" w:eastAsia="Arial" w:hAnsi="Arial"/>
          <w:sz w:val="20"/>
          <w:szCs w:val="20"/>
          <w:color w:val="auto"/>
        </w:rPr>
      </w:pPr>
    </w:p>
    <w:p>
      <w:pPr>
        <w:ind w:left="900" w:right="140" w:hanging="281"/>
        <w:spacing w:after="0" w:line="277" w:lineRule="auto"/>
        <w:tabs>
          <w:tab w:leader="none" w:pos="9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disagreeing with our tumor-agnostic development strategy;</w:t>
      </w:r>
    </w:p>
    <w:p>
      <w:pPr>
        <w:spacing w:after="0" w:line="63" w:lineRule="exact"/>
        <w:rPr>
          <w:rFonts w:ascii="Arial" w:cs="Arial" w:eastAsia="Arial" w:hAnsi="Arial"/>
          <w:sz w:val="20"/>
          <w:szCs w:val="20"/>
          <w:color w:val="auto"/>
        </w:rPr>
      </w:pPr>
    </w:p>
    <w:p>
      <w:pPr>
        <w:ind w:left="900" w:right="100" w:hanging="281"/>
        <w:spacing w:after="0" w:line="276" w:lineRule="auto"/>
        <w:tabs>
          <w:tab w:leader="none" w:pos="9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obtaining regulatory approval or authorization to commence a clinical trial, including delays or issues relating to any future companion diagnostics which we may develop;</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1420" w:right="1440" w:bottom="175" w:gutter="0" w:footer="0" w:header="0"/>
        </w:sectPr>
      </w:pPr>
    </w:p>
    <w:bookmarkStart w:id="57" w:name="page58"/>
    <w:bookmarkEnd w:id="57"/>
    <w:p>
      <w:pPr>
        <w:ind w:left="900" w:right="440" w:hanging="281"/>
        <w:spacing w:after="0" w:line="258" w:lineRule="auto"/>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81" w:lineRule="exact"/>
        <w:rPr>
          <w:rFonts w:ascii="Arial" w:cs="Arial" w:eastAsia="Arial" w:hAnsi="Arial"/>
          <w:sz w:val="20"/>
          <w:szCs w:val="20"/>
          <w:color w:val="auto"/>
        </w:rPr>
      </w:pPr>
    </w:p>
    <w:p>
      <w:pPr>
        <w:ind w:left="900" w:hanging="281"/>
        <w:spacing w:after="0"/>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IRB or ethics committee approval at each clinical trial site;</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recruiting an adequate number of suitable patients to participate in a clinical trial;</w:t>
      </w:r>
    </w:p>
    <w:p>
      <w:pPr>
        <w:spacing w:after="0" w:line="133" w:lineRule="exact"/>
        <w:rPr>
          <w:rFonts w:ascii="Arial" w:cs="Arial" w:eastAsia="Arial" w:hAnsi="Arial"/>
          <w:sz w:val="20"/>
          <w:szCs w:val="20"/>
          <w:color w:val="auto"/>
        </w:rPr>
      </w:pPr>
    </w:p>
    <w:p>
      <w:pPr>
        <w:ind w:left="900" w:right="660" w:hanging="281"/>
        <w:spacing w:after="0" w:line="276" w:lineRule="auto"/>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patients required for clinical trials of our product candidates may be larger than we anticipate;</w:t>
      </w:r>
    </w:p>
    <w:p>
      <w:pPr>
        <w:spacing w:after="0" w:line="64" w:lineRule="exact"/>
        <w:rPr>
          <w:rFonts w:ascii="Arial" w:cs="Arial" w:eastAsia="Arial" w:hAnsi="Arial"/>
          <w:sz w:val="20"/>
          <w:szCs w:val="20"/>
          <w:color w:val="auto"/>
        </w:rPr>
      </w:pPr>
    </w:p>
    <w:p>
      <w:pPr>
        <w:ind w:left="900" w:right="120" w:hanging="281"/>
        <w:spacing w:after="0" w:line="252" w:lineRule="auto"/>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clinical trials of our product candidates may be greater than we anticipate, for example, if we experience delays or challenges in identifying patients with the mutations required for our clinical trials, we may have to reimburse sites for genomic sequencing costs in order to encourage sequencing of additional patients;</w:t>
      </w:r>
    </w:p>
    <w:p>
      <w:pPr>
        <w:spacing w:after="0" w:line="88" w:lineRule="exact"/>
        <w:rPr>
          <w:rFonts w:ascii="Arial" w:cs="Arial" w:eastAsia="Arial" w:hAnsi="Arial"/>
          <w:sz w:val="20"/>
          <w:szCs w:val="20"/>
          <w:color w:val="auto"/>
        </w:rPr>
      </w:pPr>
    </w:p>
    <w:p>
      <w:pPr>
        <w:ind w:left="900" w:hanging="281"/>
        <w:spacing w:after="0"/>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having subjects complete a clinical trial or return for post-treatment follow-up;</w:t>
      </w:r>
    </w:p>
    <w:p>
      <w:pPr>
        <w:spacing w:after="0" w:line="132" w:lineRule="exact"/>
        <w:rPr>
          <w:rFonts w:ascii="Arial" w:cs="Arial" w:eastAsia="Arial" w:hAnsi="Arial"/>
          <w:sz w:val="20"/>
          <w:szCs w:val="20"/>
          <w:color w:val="auto"/>
        </w:rPr>
      </w:pPr>
    </w:p>
    <w:p>
      <w:pPr>
        <w:ind w:left="900" w:hanging="282"/>
        <w:spacing w:after="0"/>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 sites deviating from clinical trial protocol or dropping out of a clinical trial;</w:t>
      </w:r>
    </w:p>
    <w:p>
      <w:pPr>
        <w:spacing w:after="0" w:line="133" w:lineRule="exact"/>
        <w:rPr>
          <w:rFonts w:ascii="Arial" w:cs="Arial" w:eastAsia="Arial" w:hAnsi="Arial"/>
          <w:sz w:val="20"/>
          <w:szCs w:val="20"/>
          <w:color w:val="auto"/>
        </w:rPr>
      </w:pPr>
    </w:p>
    <w:p>
      <w:pPr>
        <w:ind w:left="900" w:right="220" w:hanging="282"/>
        <w:spacing w:after="0" w:line="276" w:lineRule="auto"/>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having third-party contractors fail to complete their obligations in a timely manner or failing to comply with applicable regulatory requirements;</w:t>
      </w:r>
    </w:p>
    <w:p>
      <w:pPr>
        <w:spacing w:after="0" w:line="64" w:lineRule="exact"/>
        <w:rPr>
          <w:rFonts w:ascii="Arial" w:cs="Arial" w:eastAsia="Arial" w:hAnsi="Arial"/>
          <w:sz w:val="20"/>
          <w:szCs w:val="20"/>
          <w:color w:val="auto"/>
        </w:rPr>
      </w:pPr>
    </w:p>
    <w:p>
      <w:pPr>
        <w:ind w:left="900" w:hanging="282"/>
        <w:spacing w:after="0"/>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addressing subject safety concerns that arise during the course of a clinical trial;</w:t>
      </w:r>
    </w:p>
    <w:p>
      <w:pPr>
        <w:spacing w:after="0" w:line="133" w:lineRule="exact"/>
        <w:rPr>
          <w:rFonts w:ascii="Arial" w:cs="Arial" w:eastAsia="Arial" w:hAnsi="Arial"/>
          <w:sz w:val="20"/>
          <w:szCs w:val="20"/>
          <w:color w:val="auto"/>
        </w:rPr>
      </w:pPr>
    </w:p>
    <w:p>
      <w:pPr>
        <w:ind w:left="900" w:hanging="282"/>
        <w:spacing w:after="0"/>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adding a sufficient number of clinical trial sites; or</w:t>
      </w:r>
    </w:p>
    <w:p>
      <w:pPr>
        <w:spacing w:after="0" w:line="132" w:lineRule="exact"/>
        <w:rPr>
          <w:rFonts w:ascii="Arial" w:cs="Arial" w:eastAsia="Arial" w:hAnsi="Arial"/>
          <w:sz w:val="20"/>
          <w:szCs w:val="20"/>
          <w:color w:val="auto"/>
        </w:rPr>
      </w:pPr>
    </w:p>
    <w:p>
      <w:pPr>
        <w:ind w:left="900" w:right="360" w:hanging="282"/>
        <w:spacing w:after="0" w:line="277" w:lineRule="auto"/>
        <w:tabs>
          <w:tab w:leader="none" w:pos="9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sufficient product supply of product candidate for use in preclinical studies or clinical trials from third-party suppliers.</w:t>
      </w:r>
    </w:p>
    <w:p>
      <w:pPr>
        <w:spacing w:after="0" w:line="169"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205"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206"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1435" w:right="1440" w:bottom="175" w:gutter="0" w:footer="0" w:header="0"/>
        </w:sectPr>
      </w:pPr>
    </w:p>
    <w:bookmarkStart w:id="58" w:name="page59"/>
    <w:bookmarkEnd w:id="58"/>
    <w:p>
      <w:pPr>
        <w:ind w:right="60"/>
        <w:spacing w:after="0" w:line="252" w:lineRule="auto"/>
        <w:rPr>
          <w:sz w:val="20"/>
          <w:szCs w:val="20"/>
          <w:color w:val="auto"/>
        </w:rPr>
      </w:pPr>
      <w:r>
        <w:rPr>
          <w:rFonts w:ascii="Times New Roman" w:cs="Times New Roman" w:eastAsia="Times New Roman" w:hAnsi="Times New Roman"/>
          <w:sz w:val="20"/>
          <w:szCs w:val="20"/>
          <w:color w:val="auto"/>
        </w:rPr>
        <w:t>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193"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In addition, the FDA and other regulatory authorities may change their policies, issue additional regulations or revise existing regulations, or take other actions, such as those implemented by the Department of Government Efficiency,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In view of the Loper Bright Enterprises v. Raimondo decision, this landmark Supreme Court decision may invite various stakeholders to bring lawsuits against the FDA to challenge longstanding decisions and policies. Additionally, changes in the leadership of the FDA and other federal agencies under the current administration may also lead to new policies and changes in the regulations and operations of the FDA, which may impact our clinical development plans.</w:t>
      </w:r>
    </w:p>
    <w:p>
      <w:pPr>
        <w:spacing w:after="0" w:line="323"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Changes in funding or disruptions at the FDA, the SEC and other government agencies caused by funding shortages or global health concerns, government shutdown, or a lapse of U.S. government appropriations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80" w:lineRule="exact"/>
        <w:rPr>
          <w:sz w:val="20"/>
          <w:szCs w:val="20"/>
          <w:color w:val="auto"/>
        </w:rPr>
      </w:pPr>
    </w:p>
    <w:p>
      <w:pPr>
        <w:ind w:right="20" w:firstLine="620"/>
        <w:spacing w:after="0" w:line="244" w:lineRule="auto"/>
        <w:rPr>
          <w:sz w:val="20"/>
          <w:szCs w:val="20"/>
          <w:color w:val="auto"/>
        </w:rPr>
      </w:pPr>
      <w:r>
        <w:rPr>
          <w:rFonts w:ascii="Times New Roman" w:cs="Times New Roman" w:eastAsia="Times New Roman" w:hAnsi="Times New Roman"/>
          <w:sz w:val="20"/>
          <w:szCs w:val="20"/>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Changes in the leadership of the FDA and other federal agencies under the current administration, including return-to-office policy, hiring freeze, layoffs, government shutdown, or a lapse of U.S. government appropriations may also lead to changes in the operations of the FDA, which may have a material impact on the industry.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6"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color w:val="auto"/>
        </w:rPr>
        <w:t>If a prolonged government shutdown, furlough or other disruption occurs, including delays or disruptions due to travel restrictions, foreign COVID-19 -related policies, staffing shortages or public health reasons,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spacing w:after="0" w:line="322"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4" w:lineRule="exact"/>
        <w:rPr>
          <w:sz w:val="20"/>
          <w:szCs w:val="20"/>
          <w:color w:val="auto"/>
        </w:rPr>
      </w:pPr>
    </w:p>
    <w:p>
      <w:pPr>
        <w:ind w:right="60" w:firstLine="619"/>
        <w:spacing w:after="0" w:line="252" w:lineRule="auto"/>
        <w:rPr>
          <w:sz w:val="20"/>
          <w:szCs w:val="20"/>
          <w:color w:val="auto"/>
        </w:rPr>
      </w:pPr>
      <w:r>
        <w:rPr>
          <w:rFonts w:ascii="Times New Roman" w:cs="Times New Roman" w:eastAsia="Times New Roman" w:hAnsi="Times New Roman"/>
          <w:sz w:val="20"/>
          <w:szCs w:val="20"/>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95" w:lineRule="exact"/>
        <w:rPr>
          <w:sz w:val="20"/>
          <w:szCs w:val="20"/>
          <w:color w:val="auto"/>
        </w:rPr>
      </w:pPr>
    </w:p>
    <w:p>
      <w:pPr>
        <w:ind w:right="140" w:firstLine="620"/>
        <w:spacing w:after="0" w:line="252" w:lineRule="auto"/>
        <w:rPr>
          <w:sz w:val="20"/>
          <w:szCs w:val="20"/>
          <w:color w:val="auto"/>
        </w:rPr>
      </w:pPr>
      <w:r>
        <w:rPr>
          <w:rFonts w:ascii="Times New Roman" w:cs="Times New Roman" w:eastAsia="Times New Roman" w:hAnsi="Times New Roman"/>
          <w:sz w:val="20"/>
          <w:szCs w:val="20"/>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time-consuming post-approval studies, post-market surveillance or clinical trials to monitor the safety and efficacy of the product. The FDA may also require a risk</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1420" w:right="1440" w:bottom="175" w:gutter="0" w:footer="0" w:header="0"/>
        </w:sectPr>
      </w:pPr>
    </w:p>
    <w:bookmarkStart w:id="59" w:name="page60"/>
    <w:bookmarkEnd w:id="59"/>
    <w:p>
      <w:pPr>
        <w:ind w:right="40"/>
        <w:spacing w:after="0" w:line="243" w:lineRule="auto"/>
        <w:rPr>
          <w:sz w:val="20"/>
          <w:szCs w:val="20"/>
          <w:color w:val="auto"/>
        </w:rPr>
      </w:pPr>
      <w:r>
        <w:rPr>
          <w:rFonts w:ascii="Times New Roman" w:cs="Times New Roman" w:eastAsia="Times New Roman" w:hAnsi="Times New Roman"/>
          <w:sz w:val="20"/>
          <w:szCs w:val="20"/>
          <w:color w:val="auto"/>
        </w:rPr>
        <w:t>evaluation and mitigation strategy, or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GLP requirements and good clinical practice, or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03" w:lineRule="exact"/>
        <w:rPr>
          <w:sz w:val="20"/>
          <w:szCs w:val="20"/>
          <w:color w:val="auto"/>
        </w:rPr>
      </w:pPr>
    </w:p>
    <w:p>
      <w:pPr>
        <w:ind w:left="900" w:right="40" w:hanging="281"/>
        <w:spacing w:after="0" w:line="276" w:lineRule="auto"/>
        <w:tabs>
          <w:tab w:leader="none" w:pos="9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our product candidates, withdrawal of the product from the market or voluntary or mandatory product recalls;</w:t>
      </w:r>
    </w:p>
    <w:p>
      <w:pPr>
        <w:spacing w:after="0" w:line="64" w:lineRule="exact"/>
        <w:rPr>
          <w:rFonts w:ascii="Arial" w:cs="Arial" w:eastAsia="Arial" w:hAnsi="Arial"/>
          <w:sz w:val="20"/>
          <w:szCs w:val="20"/>
          <w:color w:val="auto"/>
        </w:rPr>
      </w:pPr>
    </w:p>
    <w:p>
      <w:pPr>
        <w:ind w:left="900" w:right="560" w:hanging="281"/>
        <w:spacing w:after="0" w:line="277" w:lineRule="auto"/>
        <w:tabs>
          <w:tab w:leader="none" w:pos="9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delays and supply disruptions where regulatory inspections identify observations of noncompliance requiring remediation;</w:t>
      </w:r>
    </w:p>
    <w:p>
      <w:pPr>
        <w:spacing w:after="0" w:line="62" w:lineRule="exact"/>
        <w:rPr>
          <w:rFonts w:ascii="Arial" w:cs="Arial" w:eastAsia="Arial" w:hAnsi="Arial"/>
          <w:sz w:val="20"/>
          <w:szCs w:val="20"/>
          <w:color w:val="auto"/>
        </w:rPr>
      </w:pPr>
    </w:p>
    <w:p>
      <w:pPr>
        <w:ind w:left="900" w:right="320" w:hanging="281"/>
        <w:spacing w:after="0" w:line="277" w:lineRule="auto"/>
        <w:tabs>
          <w:tab w:leader="none" w:pos="9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revisions to the labeling, including limitation on approved uses or the addition of additional warnings, contraindications or other safety information, including boxed warnings;</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imposition of a REMS, which may include distribution or use restrictions;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requirements to conduct additional post-market clinical trials to assess the safety of the product;</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or untitled letters or holds on clinical trials;</w:t>
      </w:r>
    </w:p>
    <w:p>
      <w:pPr>
        <w:spacing w:after="0" w:line="132" w:lineRule="exact"/>
        <w:rPr>
          <w:rFonts w:ascii="Arial" w:cs="Arial" w:eastAsia="Arial" w:hAnsi="Arial"/>
          <w:sz w:val="20"/>
          <w:szCs w:val="20"/>
          <w:color w:val="auto"/>
        </w:rPr>
      </w:pPr>
    </w:p>
    <w:p>
      <w:pPr>
        <w:ind w:left="900" w:right="140" w:hanging="281"/>
        <w:spacing w:after="0" w:line="277" w:lineRule="auto"/>
        <w:tabs>
          <w:tab w:leader="none" w:pos="9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refusal by the FDA to approve pending applications or supplements to approved applications filed by us or suspension or revocation of approvals;</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our product candidates; and</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39"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The FDA’s and other regulatory authorities’ policies may change, and additional government regulations may be enacted that could prevent, limit or delay regulatory approval of our product candidates. The U.S. Supreme Court’s overturn of the Chevron doctrine in Loper Bright Enterprises v. Raimondo may invite various stakeholders to bring lawsuits against the FDA and other federal agencies to challenge longstanding decisions and policies, which could lead to uncertainty in the industry. Further, changes to the leadership of the FDA and other federal agencies under the current administration may result in changes in agencies’ funding, operations, and policies, which may impact our clinical development plans and timelines. We cannot predict the likelihood, nature or extent of government regulation that may arise from future legislation or administrative action, either in the United States or abroad. FDA’s “real-time” release of newly issued Complete Response Letters associated with withdrawn or abandoned applications, if applicable to any of our product candidates, can materially impact our competitive advantage and intellectual property. To the extent any current or future executive or legislative actions impose significant changes in or burdens on, or otherwise materially delay, FDA’s ability to engage in routine oversight activities, such as implementing regulations through rulemaking, issuance of guidance, and agency review and approval of marketing applications on a timely basis, our business and clinical development plans could be negatively impacted. If we, as well as our contractors, are slow or unable to adapt to changes in existing requirements or the adoption of new requirements or policies, or are not able to maintain regulatory compliance, we may be delayed in obtaining regulatory approval, lose any marketing approval that we may have obtained, and we may not achieve or sustain profitability.</w:t>
      </w:r>
    </w:p>
    <w:p>
      <w:pPr>
        <w:spacing w:after="0" w:line="207" w:lineRule="exact"/>
        <w:rPr>
          <w:sz w:val="20"/>
          <w:szCs w:val="20"/>
          <w:color w:val="auto"/>
        </w:rPr>
      </w:pPr>
    </w:p>
    <w:p>
      <w:pPr>
        <w:ind w:firstLine="619"/>
        <w:spacing w:after="0" w:line="277" w:lineRule="auto"/>
        <w:rPr>
          <w:sz w:val="20"/>
          <w:szCs w:val="20"/>
          <w:color w:val="auto"/>
        </w:rPr>
      </w:pPr>
      <w:r>
        <w:rPr>
          <w:rFonts w:ascii="Times New Roman" w:cs="Times New Roman" w:eastAsia="Times New Roman" w:hAnsi="Times New Roman"/>
          <w:sz w:val="20"/>
          <w:szCs w:val="20"/>
          <w:color w:val="auto"/>
        </w:rPr>
        <w:t>The occurrence of any event or penalty described above may inhibit our ability to commercialize our product candidates, if approved, and generate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1420" w:right="1440" w:bottom="175" w:gutter="0" w:footer="0" w:header="0"/>
        </w:sectPr>
      </w:pPr>
    </w:p>
    <w:bookmarkStart w:id="60" w:name="page61"/>
    <w:bookmarkEnd w:id="60"/>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Healthcare legislative measures aimed at reducing healthcare costs may have a material adverse effect on our business and results of operations.</w:t>
      </w:r>
    </w:p>
    <w:p>
      <w:pPr>
        <w:spacing w:after="0" w:line="49"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20"/>
          <w:szCs w:val="20"/>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202"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 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204"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current administration will impact the ACA and our business.</w:t>
      </w:r>
    </w:p>
    <w:p>
      <w:pPr>
        <w:spacing w:after="0" w:line="209"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in the United States since the ACA was enacted. For example,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will remain in effect through 2032, unless additional Congressional action is taken.</w:t>
      </w:r>
    </w:p>
    <w:p>
      <w:pPr>
        <w:spacing w:after="0" w:line="199"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for example,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1420" w:right="1440" w:bottom="175" w:gutter="0" w:footer="0" w:header="0"/>
        </w:sectPr>
      </w:pPr>
    </w:p>
    <w:bookmarkStart w:id="61" w:name="page62"/>
    <w:bookmarkEnd w:id="61"/>
    <w:p>
      <w:pPr>
        <w:ind w:right="60"/>
        <w:spacing w:after="0" w:line="242" w:lineRule="auto"/>
        <w:rPr>
          <w:sz w:val="20"/>
          <w:szCs w:val="20"/>
          <w:color w:val="auto"/>
        </w:rPr>
      </w:pPr>
      <w:r>
        <w:rPr>
          <w:rFonts w:ascii="Times New Roman" w:cs="Times New Roman" w:eastAsia="Times New Roman" w:hAnsi="Times New Roman"/>
          <w:sz w:val="20"/>
          <w:szCs w:val="20"/>
          <w:color w:val="auto"/>
        </w:rPr>
        <w:t>including allowing the federal government to negotiate a maximum fair price for certain high -priced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 expenditure single-source drugs that have been approved for at least 7 years (11 years for single-source biologics) can qualify for negotiation, with the negotiated price taking effect two years after the selection year. For 2026,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certain pharmaceutical companies and the Pharmaceutical Research and Manufacturers of America, have initiated lawsuits against the federal government asserting that the price negotiation provisions of the Inflation Reduction Act of 2022 are unconstitutional. The impact of these judicial challenges, legislative, executive, and administrative actions and any future healthcare measures and agency rules implemented by the current administration us and the pharmaceutical industry as a whole is unclear.</w:t>
      </w:r>
    </w:p>
    <w:p>
      <w:pPr>
        <w:spacing w:after="0" w:line="210"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Further, the current administration has issued executive orders focused on decreasing prescription drug prices. Government contracts with pharmaceutical companies and other government measures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implementation of cost containment measures or other healthcare reforms may prevent us from being able to generate revenue, attain profitability, or commercialize our product candidates if approved.</w:t>
      </w:r>
    </w:p>
    <w:p>
      <w:pPr>
        <w:spacing w:after="0" w:line="209"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FDA has authorized the state of Florida to develop Section 804 Importation Programs to import certain prescription drugs from Canada for a limited period, provided that Florida’s Agency for Health Care Administration meets the requirements set forth by the FDA. Other states may follow Florida.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4"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20"/>
          <w:szCs w:val="20"/>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97" w:lineRule="exact"/>
        <w:rPr>
          <w:sz w:val="20"/>
          <w:szCs w:val="20"/>
          <w:color w:val="auto"/>
        </w:rPr>
      </w:pPr>
    </w:p>
    <w:p>
      <w:pPr>
        <w:ind w:right="260" w:firstLine="619"/>
        <w:spacing w:after="0" w:line="247" w:lineRule="auto"/>
        <w:rPr>
          <w:sz w:val="20"/>
          <w:szCs w:val="20"/>
          <w:color w:val="auto"/>
        </w:rPr>
      </w:pPr>
      <w:r>
        <w:rPr>
          <w:rFonts w:ascii="Times New Roman" w:cs="Times New Roman" w:eastAsia="Times New Roman" w:hAnsi="Times New Roman"/>
          <w:sz w:val="20"/>
          <w:szCs w:val="20"/>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1420" w:right="1440" w:bottom="175" w:gutter="0" w:footer="0" w:header="0"/>
        </w:sectPr>
      </w:pPr>
    </w:p>
    <w:bookmarkStart w:id="62" w:name="page63"/>
    <w:bookmarkEnd w:id="62"/>
    <w:p>
      <w:pPr>
        <w:ind w:left="900" w:hanging="281"/>
        <w:spacing w:after="0"/>
        <w:tabs>
          <w:tab w:leader="none" w:pos="9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demand for our product candidates, if we obtain regulatory approval;</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set a price that we believe is fair for our products;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coverage and reimbursement approval for a product;</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generate revenue and achieve or maintain profitability;</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taxes that we are required to pay; and</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capital.</w:t>
      </w:r>
    </w:p>
    <w:p>
      <w:pPr>
        <w:spacing w:after="0" w:line="238" w:lineRule="exact"/>
        <w:rPr>
          <w:sz w:val="20"/>
          <w:szCs w:val="20"/>
          <w:color w:val="auto"/>
        </w:rPr>
      </w:pPr>
    </w:p>
    <w:p>
      <w:pPr>
        <w:ind w:right="560" w:firstLine="619"/>
        <w:spacing w:after="0" w:line="278" w:lineRule="auto"/>
        <w:rPr>
          <w:sz w:val="20"/>
          <w:szCs w:val="20"/>
          <w:color w:val="auto"/>
        </w:rPr>
      </w:pPr>
      <w:r>
        <w:rPr>
          <w:rFonts w:ascii="Times New Roman" w:cs="Times New Roman" w:eastAsia="Times New Roman" w:hAnsi="Times New Roman"/>
          <w:sz w:val="20"/>
          <w:szCs w:val="20"/>
          <w:color w:val="auto"/>
        </w:rPr>
        <w:t>Any reduction in reimbursement from Medicare or other government programs may result in a similar reduction in payments from private payors, which may adversely affect our future profitability.</w:t>
      </w:r>
    </w:p>
    <w:p>
      <w:pPr>
        <w:spacing w:after="0" w:line="288"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FDA and other regulatory agencies actively enforce the laws and regulations prohibiting the promotion of off-label uses.</w:t>
      </w:r>
    </w:p>
    <w:p>
      <w:pPr>
        <w:spacing w:after="0" w:line="49" w:lineRule="exact"/>
        <w:rPr>
          <w:sz w:val="20"/>
          <w:szCs w:val="20"/>
          <w:color w:val="auto"/>
        </w:rPr>
      </w:pPr>
    </w:p>
    <w:p>
      <w:pPr>
        <w:ind w:right="120" w:firstLine="619"/>
        <w:spacing w:after="0" w:line="257" w:lineRule="auto"/>
        <w:rPr>
          <w:sz w:val="20"/>
          <w:szCs w:val="20"/>
          <w:color w:val="auto"/>
        </w:rPr>
      </w:pPr>
      <w:r>
        <w:rPr>
          <w:rFonts w:ascii="Times New Roman" w:cs="Times New Roman" w:eastAsia="Times New Roman" w:hAnsi="Times New Roman"/>
          <w:sz w:val="19"/>
          <w:szCs w:val="19"/>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31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68"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1435" w:right="1440" w:bottom="175" w:gutter="0" w:footer="0" w:header="0"/>
        </w:sectPr>
      </w:pPr>
    </w:p>
    <w:bookmarkStart w:id="63" w:name="page64"/>
    <w:bookmarkEnd w:id="63"/>
    <w:p>
      <w:pPr>
        <w:ind w:right="5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69"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20"/>
          <w:szCs w:val="20"/>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91" w:lineRule="exact"/>
        <w:rPr>
          <w:sz w:val="20"/>
          <w:szCs w:val="20"/>
          <w:color w:val="auto"/>
        </w:rPr>
      </w:pPr>
    </w:p>
    <w:p>
      <w:pPr>
        <w:ind w:left="900" w:right="20" w:hanging="281"/>
        <w:spacing w:after="0" w:line="244" w:lineRule="auto"/>
        <w:tabs>
          <w:tab w:leader="none" w:pos="9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95" w:lineRule="exact"/>
        <w:rPr>
          <w:rFonts w:ascii="Arial" w:cs="Arial" w:eastAsia="Arial" w:hAnsi="Arial"/>
          <w:sz w:val="20"/>
          <w:szCs w:val="20"/>
          <w:color w:val="auto"/>
        </w:rPr>
      </w:pPr>
    </w:p>
    <w:p>
      <w:pPr>
        <w:ind w:left="900" w:right="60" w:hanging="281"/>
        <w:spacing w:after="0" w:line="242" w:lineRule="auto"/>
        <w:tabs>
          <w:tab w:leader="none" w:pos="9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104" w:lineRule="exact"/>
        <w:rPr>
          <w:rFonts w:ascii="Arial" w:cs="Arial" w:eastAsia="Arial" w:hAnsi="Arial"/>
          <w:sz w:val="20"/>
          <w:szCs w:val="20"/>
          <w:color w:val="auto"/>
        </w:rPr>
      </w:pPr>
    </w:p>
    <w:p>
      <w:pPr>
        <w:ind w:left="900" w:right="100" w:hanging="281"/>
        <w:spacing w:after="0" w:line="244" w:lineRule="auto"/>
        <w:tabs>
          <w:tab w:leader="none" w:pos="9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95" w:lineRule="exact"/>
        <w:rPr>
          <w:rFonts w:ascii="Arial" w:cs="Arial" w:eastAsia="Arial" w:hAnsi="Arial"/>
          <w:sz w:val="20"/>
          <w:szCs w:val="20"/>
          <w:color w:val="auto"/>
        </w:rPr>
      </w:pPr>
    </w:p>
    <w:p>
      <w:pPr>
        <w:ind w:left="900" w:hanging="281"/>
        <w:spacing w:after="0" w:line="245" w:lineRule="auto"/>
        <w:tabs>
          <w:tab w:leader="none" w:pos="9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Payment Sunshine Act, created under the ACA and its implementing regulations, which require applicable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covered recipients, including physicians (defined to include doctors, dentists, optometrists, podiatrists and chiropractors), other non-physician healthcare providers (such as physician assistants and nurse practitioners, among others), and teaching hospitals, as well as ownership and investment interests held by physicians, as defined by law, and their immediate family members;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1420" w:right="1440" w:bottom="175" w:gutter="0" w:footer="0" w:header="0"/>
        </w:sectPr>
      </w:pPr>
    </w:p>
    <w:bookmarkStart w:id="64" w:name="page65"/>
    <w:bookmarkEnd w:id="64"/>
    <w:p>
      <w:pPr>
        <w:ind w:left="900" w:right="200" w:hanging="281"/>
        <w:spacing w:after="0" w:line="276" w:lineRule="auto"/>
        <w:tabs>
          <w:tab w:leader="none" w:pos="9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consumers; and</w:t>
      </w:r>
    </w:p>
    <w:p>
      <w:pPr>
        <w:spacing w:after="0" w:line="64" w:lineRule="exact"/>
        <w:rPr>
          <w:rFonts w:ascii="Arial" w:cs="Arial" w:eastAsia="Arial" w:hAnsi="Arial"/>
          <w:sz w:val="20"/>
          <w:szCs w:val="20"/>
          <w:color w:val="auto"/>
        </w:rPr>
      </w:pPr>
    </w:p>
    <w:p>
      <w:pPr>
        <w:ind w:left="900" w:right="80" w:hanging="281"/>
        <w:spacing w:after="0" w:line="243" w:lineRule="auto"/>
        <w:tabs>
          <w:tab w:leader="none" w:pos="9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208"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1435" w:right="1440" w:bottom="175" w:gutter="0" w:footer="0" w:header="0"/>
        </w:sectPr>
      </w:pPr>
    </w:p>
    <w:bookmarkStart w:id="65" w:name="page66"/>
    <w:bookmarkEnd w:id="65"/>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Data collection is governed by restrictive regulations governing the use, processing and cross-border transfer of personal information.</w:t>
      </w:r>
    </w:p>
    <w:p>
      <w:pPr>
        <w:spacing w:after="0" w:line="49"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20"/>
          <w:szCs w:val="20"/>
          <w:color w:val="auto"/>
        </w:rPr>
        <w:t>In connection with our clinical trials or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220"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208"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In November 2020, California passed the California Privacy Rights Act, or CPRA, which amends and expands the CCPA. Although the CCPA includes exemptions for certain clinical trial data, the law may increase our compliance costs and potential liability with respect to other personal information. The CCPA and CPRA may impact our business activities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1420" w:right="1440" w:bottom="175" w:gutter="0" w:footer="0" w:header="0"/>
        </w:sectPr>
      </w:pPr>
    </w:p>
    <w:bookmarkStart w:id="66" w:name="page67"/>
    <w:bookmarkEnd w:id="66"/>
    <w:p>
      <w:pPr>
        <w:ind w:right="360"/>
        <w:spacing w:after="0" w:line="277" w:lineRule="auto"/>
        <w:rPr>
          <w:sz w:val="20"/>
          <w:szCs w:val="20"/>
          <w:color w:val="auto"/>
        </w:rPr>
      </w:pPr>
      <w:r>
        <w:rPr>
          <w:rFonts w:ascii="Times New Roman" w:cs="Times New Roman" w:eastAsia="Times New Roman" w:hAnsi="Times New Roman"/>
          <w:sz w:val="20"/>
          <w:szCs w:val="20"/>
          <w:color w:val="auto"/>
        </w:rPr>
        <w:t>exemplifies the vulnerability of our business to the evolving regulatory environment related to personal data and protected health information.</w:t>
      </w:r>
    </w:p>
    <w:p>
      <w:pPr>
        <w:spacing w:after="0" w:line="169"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auto"/>
        </w:rPr>
        <w:t>Further, national security concerns or changing geopolitical tensions could spur regulations that limit our ability to transfer certain types of data abroad. For example, the Department of Justice issued a final rule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w:t>
      </w:r>
    </w:p>
    <w:p>
      <w:pPr>
        <w:spacing w:after="0" w:line="201"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322"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7"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6" w:lineRule="exact"/>
        <w:rPr>
          <w:sz w:val="20"/>
          <w:szCs w:val="20"/>
          <w:color w:val="auto"/>
        </w:rPr>
      </w:pPr>
    </w:p>
    <w:p>
      <w:pPr>
        <w:ind w:right="80" w:firstLine="619"/>
        <w:spacing w:after="0" w:line="252"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31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certain U.S. and foreign anti-corruption, anti-money laundering, export control, sanctions, foreign investment and other trade laws and regulations. We can face serious consequences for violations.</w:t>
      </w:r>
    </w:p>
    <w:p>
      <w:pPr>
        <w:spacing w:after="0" w:line="49"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0"/>
          <w:szCs w:val="20"/>
          <w:color w:val="auto"/>
        </w:rPr>
        <w:t>Among other matters, we may be subject to U.S. and foreign anti-corruption, anti-money laundering, export control, sanctions, foreign investment and other trade laws and regulations, which are collectively referred to as Trade Laws. Anti-bribery and anti-corruption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1420" w:right="1440" w:bottom="175" w:gutter="0" w:footer="0" w:header="0"/>
        </w:sectPr>
      </w:pPr>
    </w:p>
    <w:bookmarkStart w:id="67" w:name="page68"/>
    <w:bookmarkEnd w:id="67"/>
    <w:p>
      <w:pPr>
        <w:ind w:right="60" w:firstLine="619"/>
        <w:spacing w:after="0" w:line="249" w:lineRule="auto"/>
        <w:rPr>
          <w:sz w:val="20"/>
          <w:szCs w:val="20"/>
          <w:color w:val="auto"/>
        </w:rPr>
      </w:pPr>
      <w:r>
        <w:rPr>
          <w:rFonts w:ascii="Times New Roman" w:cs="Times New Roman" w:eastAsia="Times New Roman" w:hAnsi="Times New Roman"/>
          <w:sz w:val="20"/>
          <w:szCs w:val="20"/>
          <w:color w:val="auto"/>
        </w:rPr>
        <w:t>We have direct or indirect interactions with officials and employees of government agencies or government - 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7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Our products candidates and technology, in some cases, may be subject to export control laws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regulations, including the Export Administration Regulations administered by the U.S. Department of Commerce, and our product candidates, technology, and activities are subject to trade and economic sanctions, including those administered by the U.S. Treasury Department’s Office of Foreign Assets Control, or OFAC. As such, licenses and notices may be required to export, import or re- export our product candidates or technology to certain countries and end users and for certain end uses. The process for obtaining necessary licenses and making required notices may be time-consuming or unsuccessful, potentially causing delays in sales or losses of sales opportunities. Export controls and sanctions are complex and dynamic regimes and monitoring and ensuring compliance can be challenging. Any failure to comply with these regimes could subject us to both civil and criminal penalties, including substantial fines, possible incarceration of responsible individuals for willful violations, possible loss of our export or import privileges, and reputational harm. In addition, investigating or defending against any such allegations, actions or investigations will likely result in a materially significant diversion of management’s attention and resources and significant defense costs and other professional fees.</w:t>
      </w:r>
    </w:p>
    <w:p>
      <w:pPr>
        <w:spacing w:after="0" w:line="92"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20"/>
          <w:szCs w:val="20"/>
          <w:color w:val="auto"/>
        </w:rPr>
        <w:t>We also may be subject to review under U.S. or other national-security or foreign-investment laws and regulations when foreign persons invest in us or when we engage in certain cross-border transactions. Such review may delay or prevent proposed investments or transactions, impose material conditions or require divestiture, and failure to comply with or to obtain required clearance could have a material adverse effect on our business, financial condition and results of operations.</w:t>
      </w:r>
    </w:p>
    <w:p>
      <w:pPr>
        <w:spacing w:after="0" w:line="78"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20"/>
          <w:szCs w:val="20"/>
          <w:color w:val="auto"/>
        </w:rPr>
        <w:t>Violations of Trade Laws can result in substantial criminal fines and civil penalties, imprisonment, the loss of trade privileges, debarment, tax reassessments, breach of contract and fraud litigation, reputational harm and other consequences.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Employee Matters, Managing Our Growth and Other Risks Related to Our Business</w:t>
      </w:r>
    </w:p>
    <w:p>
      <w:pPr>
        <w:spacing w:after="0" w:line="243"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66"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President, our Chief Financial Officer, our Chief Development Officer and our General Counsel and Chief Operating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202"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1420" w:right="1440" w:bottom="175" w:gutter="0" w:footer="0" w:header="0"/>
        </w:sectPr>
      </w:pPr>
    </w:p>
    <w:bookmarkStart w:id="68" w:name="page69"/>
    <w:bookmarkEnd w:id="68"/>
    <w:p>
      <w:pPr>
        <w:ind w:firstLine="619"/>
        <w:spacing w:after="0" w:line="259" w:lineRule="auto"/>
        <w:rPr>
          <w:sz w:val="20"/>
          <w:szCs w:val="20"/>
          <w:color w:val="auto"/>
        </w:rPr>
      </w:pPr>
      <w:r>
        <w:rPr>
          <w:rFonts w:ascii="Times New Roman" w:cs="Times New Roman" w:eastAsia="Times New Roman" w:hAnsi="Times New Roman"/>
          <w:sz w:val="19"/>
          <w:szCs w:val="19"/>
          <w:color w:val="auto"/>
        </w:rPr>
        <w:t>Additionally, we rely on our founders, members of our board of directors,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materially adversely affected.</w:t>
      </w:r>
    </w:p>
    <w:p>
      <w:pPr>
        <w:spacing w:after="0" w:line="309"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 order to successfully implement our plans and strategies, we will need to grow the size of our organization, and we may experience difficulties in managing this growth.</w:t>
      </w:r>
    </w:p>
    <w:p>
      <w:pPr>
        <w:spacing w:after="0" w:line="49" w:lineRule="exact"/>
        <w:rPr>
          <w:sz w:val="20"/>
          <w:szCs w:val="20"/>
          <w:color w:val="auto"/>
        </w:rPr>
      </w:pPr>
    </w:p>
    <w:p>
      <w:pPr>
        <w:ind w:right="400" w:firstLine="619"/>
        <w:spacing w:after="0" w:line="252" w:lineRule="auto"/>
        <w:rPr>
          <w:sz w:val="20"/>
          <w:szCs w:val="20"/>
          <w:color w:val="auto"/>
        </w:rPr>
      </w:pPr>
      <w:r>
        <w:rPr>
          <w:rFonts w:ascii="Times New Roman" w:cs="Times New Roman" w:eastAsia="Times New Roman" w:hAnsi="Times New Roman"/>
          <w:sz w:val="20"/>
          <w:szCs w:val="20"/>
          <w:color w:val="auto"/>
        </w:rPr>
        <w:t>As of March 6, 2026, we had 54 full-time employees, including 41 employees engaged in research and development activities.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88" w:lineRule="exact"/>
        <w:rPr>
          <w:sz w:val="20"/>
          <w:szCs w:val="20"/>
          <w:color w:val="auto"/>
        </w:rPr>
      </w:pPr>
    </w:p>
    <w:p>
      <w:pPr>
        <w:ind w:left="900" w:hanging="281"/>
        <w:spacing w:after="0"/>
        <w:tabs>
          <w:tab w:leader="none" w:pos="9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identifying, recruiting, integrating, maintaining and motivating additional employees;</w:t>
      </w:r>
    </w:p>
    <w:p>
      <w:pPr>
        <w:spacing w:after="0" w:line="133" w:lineRule="exact"/>
        <w:rPr>
          <w:rFonts w:ascii="Arial" w:cs="Arial" w:eastAsia="Arial" w:hAnsi="Arial"/>
          <w:sz w:val="20"/>
          <w:szCs w:val="20"/>
          <w:color w:val="auto"/>
        </w:rPr>
      </w:pPr>
    </w:p>
    <w:p>
      <w:pPr>
        <w:ind w:left="900" w:right="60" w:hanging="281"/>
        <w:spacing w:after="0" w:line="258" w:lineRule="auto"/>
        <w:tabs>
          <w:tab w:leader="none" w:pos="9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managing our internal development efforts effectively, including the clinical, FDA and other comparable foreign regulatory agencies’ review process for rezatapopt and any future product candidates, while complying with any contractual obligations to contractors and other third parties we may have; and</w:t>
      </w:r>
    </w:p>
    <w:p>
      <w:pPr>
        <w:spacing w:after="0" w:line="81" w:lineRule="exact"/>
        <w:rPr>
          <w:rFonts w:ascii="Arial" w:cs="Arial" w:eastAsia="Arial" w:hAnsi="Arial"/>
          <w:sz w:val="20"/>
          <w:szCs w:val="20"/>
          <w:color w:val="auto"/>
        </w:rPr>
      </w:pPr>
    </w:p>
    <w:p>
      <w:pPr>
        <w:ind w:left="900" w:hanging="281"/>
        <w:spacing w:after="0"/>
        <w:tabs>
          <w:tab w:leader="none" w:pos="9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improving our operational, financial and management controls, reporting systems and procedures.</w:t>
      </w:r>
    </w:p>
    <w:p>
      <w:pPr>
        <w:spacing w:after="0" w:line="239"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20"/>
          <w:szCs w:val="20"/>
          <w:color w:val="auto"/>
        </w:rPr>
        <w:t>Our future financial performance and our ability to successfully develop and, if approved, commercialize rezatapopt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93"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rezatapopt and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203" w:lineRule="exact"/>
        <w:rPr>
          <w:sz w:val="20"/>
          <w:szCs w:val="20"/>
          <w:color w:val="auto"/>
        </w:rPr>
      </w:pPr>
    </w:p>
    <w:p>
      <w:pPr>
        <w:ind w:right="60" w:firstLine="619"/>
        <w:spacing w:after="0" w:line="252" w:lineRule="auto"/>
        <w:rPr>
          <w:sz w:val="20"/>
          <w:szCs w:val="20"/>
          <w:color w:val="auto"/>
        </w:rPr>
      </w:pPr>
      <w:r>
        <w:rPr>
          <w:rFonts w:ascii="Times New Roman" w:cs="Times New Roman" w:eastAsia="Times New Roman" w:hAnsi="Times New Roman"/>
          <w:sz w:val="20"/>
          <w:szCs w:val="20"/>
          <w:color w:val="auto"/>
        </w:rPr>
        <w:t>If we are not able to effectively expand our organization by hiring new employees and/or engaging additional third-party service providers, we may not be able to successfully implement the tasks necessary to further develop and commercialize rezatapopt and future product candidates and, accordingly, may not achieve our research, development and commercialization goals.</w:t>
      </w:r>
    </w:p>
    <w:p>
      <w:pPr>
        <w:spacing w:after="0" w:line="19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8" w:lineRule="exact"/>
        <w:rPr>
          <w:sz w:val="20"/>
          <w:szCs w:val="20"/>
          <w:color w:val="auto"/>
        </w:rPr>
      </w:pPr>
    </w:p>
    <w:p>
      <w:pPr>
        <w:ind w:right="160" w:firstLine="619"/>
        <w:spacing w:after="0" w:line="252" w:lineRule="auto"/>
        <w:rPr>
          <w:sz w:val="20"/>
          <w:szCs w:val="20"/>
          <w:color w:val="auto"/>
        </w:rPr>
      </w:pPr>
      <w:r>
        <w:rPr>
          <w:rFonts w:ascii="Times New Roman" w:cs="Times New Roman" w:eastAsia="Times New Roman" w:hAnsi="Times New Roman"/>
          <w:sz w:val="20"/>
          <w:szCs w:val="20"/>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1420" w:right="1440" w:bottom="175" w:gutter="0" w:footer="0" w:header="0"/>
        </w:sectPr>
      </w:pPr>
    </w:p>
    <w:bookmarkStart w:id="69" w:name="page70"/>
    <w:bookmarkEnd w:id="69"/>
    <w:p>
      <w:pPr>
        <w:ind w:right="20"/>
        <w:spacing w:after="0" w:line="241" w:lineRule="auto"/>
        <w:rPr>
          <w:sz w:val="20"/>
          <w:szCs w:val="20"/>
          <w:color w:val="auto"/>
        </w:rPr>
      </w:pPr>
      <w:r>
        <w:rPr>
          <w:rFonts w:ascii="Times New Roman" w:cs="Times New Roman" w:eastAsia="Times New Roman" w:hAnsi="Times New Roman"/>
          <w:sz w:val="20"/>
          <w:szCs w:val="20"/>
          <w:color w:val="auto"/>
        </w:rPr>
        <w:t>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15"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206" w:lineRule="exact"/>
        <w:rPr>
          <w:sz w:val="20"/>
          <w:szCs w:val="20"/>
          <w:color w:val="auto"/>
        </w:rPr>
      </w:pPr>
    </w:p>
    <w:p>
      <w:pPr>
        <w:ind w:right="120" w:firstLine="619"/>
        <w:spacing w:after="0" w:line="247" w:lineRule="auto"/>
        <w:rPr>
          <w:sz w:val="20"/>
          <w:szCs w:val="20"/>
          <w:color w:val="auto"/>
        </w:rPr>
      </w:pPr>
      <w:r>
        <w:rPr>
          <w:rFonts w:ascii="Times New Roman" w:cs="Times New Roman" w:eastAsia="Times New Roman" w:hAnsi="Times New Roman"/>
          <w:sz w:val="20"/>
          <w:szCs w:val="20"/>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1420" w:right="1440" w:bottom="175" w:gutter="0" w:footer="0" w:header="0"/>
        </w:sectPr>
      </w:pPr>
    </w:p>
    <w:bookmarkStart w:id="70" w:name="page71"/>
    <w:bookmarkEnd w:id="70"/>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Business disruptions could materially adversely affect our future revenue and financial condition and increase our costs and expenses.</w:t>
      </w:r>
    </w:p>
    <w:p>
      <w:pPr>
        <w:spacing w:after="0" w:line="49"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20"/>
          <w:szCs w:val="20"/>
          <w:color w:val="auto"/>
        </w:rPr>
        <w:t>Our operations, and those of our CROs, CMOs and other contractors, consultants and third parties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32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ability to utilize our net operating loss carryforwards and certain other tax attributes to offset future taxable income may be limited.</w:t>
      </w:r>
    </w:p>
    <w:p>
      <w:pPr>
        <w:spacing w:after="0" w:line="47"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As of December 31, 2025, we had federal and state net operating loss, or NOL, carryforwards of $290.0 million and $109.3 million, respectively, and federal and state research and development credit carryforwards of approximately $14.1 million and $2.0 million, respectively. Our federal NOLs generated in tax years beginning before January 1, 2018 are only permitted to be carried forward for 20 taxable years, and therefore could expire unused. Under the Tax Cuts and Jobs Act of 2017, or TCJA, as modified by the Coronavirus Aid, Relief, and Economic Stability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 Our federal NOL carryforwards will begin to expire in 2033, and our federal research and development credit carryforwards will begin to expire in 2034, if not fully utilized. Some of our state NOL carryforwards and state credit carryforwards may also expire unused.</w:t>
      </w:r>
    </w:p>
    <w:p>
      <w:pPr>
        <w:spacing w:after="0" w:line="210" w:lineRule="exact"/>
        <w:rPr>
          <w:sz w:val="20"/>
          <w:szCs w:val="20"/>
          <w:color w:val="auto"/>
        </w:rPr>
      </w:pPr>
    </w:p>
    <w:p>
      <w:pPr>
        <w:ind w:right="20" w:firstLine="620"/>
        <w:spacing w:after="0" w:line="243" w:lineRule="auto"/>
        <w:rPr>
          <w:sz w:val="20"/>
          <w:szCs w:val="20"/>
          <w:color w:val="auto"/>
        </w:rPr>
      </w:pPr>
      <w:r>
        <w:rPr>
          <w:rFonts w:ascii="Times New Roman" w:cs="Times New Roman" w:eastAsia="Times New Roman" w:hAnsi="Times New Roman"/>
          <w:sz w:val="20"/>
          <w:szCs w:val="20"/>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 change NOLs and certain other pre-change tax attributes to offset its post-change taxable income or tax liabilities may be limited. Similar rules or other limitations may apply under state tax laws. We have experienced such ownership changes in the past, and we may experience ownership changes in the future as a result of shifts in our stock ownership, some of which are outside our control. At this time, we have not conducted any studies to determine the annual limitations, if any, that resulted from such an ownership change.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There is also a risk that due to federal or state regulatory changes, such as suspensions on the use of NOLs, our existing NOLs could expire or otherwise be unavailable to offset future income tax liabilities.</w:t>
      </w:r>
    </w:p>
    <w:p>
      <w:pPr>
        <w:spacing w:after="0" w:line="323"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or regulations that are applied adversely to us could have a material adverse effect on our business, financial condition and results of operations.</w:t>
      </w:r>
    </w:p>
    <w:p>
      <w:pPr>
        <w:spacing w:after="0" w:line="47"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New income, sales, use or other tax laws or regulations could be enacted at any time, which could affect our tax profile and our business and financial performance. Further, existing tax laws, statutes, rules, regulations or ordinances could be interpreted, changed, modified or applied adversely to us. For example, the TCJA eliminated the option to deduct research and development expenditures currently and requires taxpayers to capitalize and amortize such expenditures over five or 15 years pursuant to Section 174 of the Code, beginning in 2022. On July 4, 2025, the U.S. federal tax legislation commonly referred to as the One Big Beautiful Bill Act, or the OBBB Act, was enacted, which makes a number of changes to U.S. federal income tax law, including permanently suspending the requirement to capitalize and amortize domestic research and development expenditures and permitting such deductions on a current basis. We are currently evaluating the full impact of the OBBB Act on us. Further, the Inflation Reduction Act of 2022, among other changes, imposes a one-percent excise tax on stock repurchases made on or after January 1, 2023. Any further changes in tax laws or regulations that are applied adversely to us could have a material adverse effect on our business, financial condition and results of operations.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1420" w:right="1440" w:bottom="175" w:gutter="0" w:footer="0" w:header="0"/>
        </w:sectPr>
      </w:pPr>
    </w:p>
    <w:bookmarkStart w:id="71" w:name="page72"/>
    <w:bookmarkEnd w:id="71"/>
    <w:p>
      <w:pPr>
        <w:jc w:val="both"/>
        <w:ind w:right="1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74" w:lineRule="exact"/>
        <w:rPr>
          <w:sz w:val="20"/>
          <w:szCs w:val="20"/>
          <w:color w:val="auto"/>
        </w:rPr>
      </w:pPr>
    </w:p>
    <w:p>
      <w:pPr>
        <w:ind w:firstLine="620"/>
        <w:spacing w:after="0" w:line="241" w:lineRule="auto"/>
        <w:rPr>
          <w:sz w:val="20"/>
          <w:szCs w:val="20"/>
          <w:color w:val="auto"/>
        </w:rPr>
      </w:pPr>
      <w:r>
        <w:rPr>
          <w:rFonts w:ascii="Times New Roman" w:cs="Times New Roman" w:eastAsia="Times New Roman" w:hAnsi="Times New Roman"/>
          <w:sz w:val="20"/>
          <w:szCs w:val="20"/>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 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and active pharmaceuticals ingredients we use that are manufactured in China. Beginning in February 2025, the United States imposed an additional 10-20% tariff on most imports from China. Since April 2025, the United States and China have imposed significant additional reciprocal tariffs of 10-125% on a large proportion of imports from the respective trading partner; though currently these reciprocal tariffs are limited to 10% through November 2026, both countries may continue to pursue new and/or retaliatory tariff and trade policies as bilateral trade negotiations progress. Moreover, the United States also implemented additional reciprocal tariffs of 10% on the import of a large proportion of imports from most U.S. trading partners beginning in April 2025, and which increased to elevated, country-specific rates for certain trading partners beginning in August 2025. Although certain products have been exempted from some of these reciprocal tariffs, including many pharmaceutical products, these policies are subject to change. In addition, the United States initiated an investigation into pharmaceuticals and pharmaceutical products in April 2025, the results of which could result in additional tariffs on pharmaceutical and pharmaceutical products under authorities provided in Section 232 of the Trade Expansion Act of 1962; whether, when, which products, and at what level such items may become subject to these additional tariffs is uncertain. Though announcements in September 2025 indicated that a 100% Section 232 tariff on branded or patented pharmaceutical products would be forthcoming, with a possible exemption for manufacturers who have broken ground or begun construction on U.S. manufacturing facilities, this policy has not been formalized in an executive action and details and timing are currently unclear. These and other changes in tariffs and trade policies of the United States or its trading partners may affect our products or our customers, and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09" w:lineRule="exact"/>
        <w:rPr>
          <w:sz w:val="20"/>
          <w:szCs w:val="20"/>
          <w:color w:val="auto"/>
        </w:rPr>
      </w:pPr>
    </w:p>
    <w:p>
      <w:pPr>
        <w:ind w:right="40" w:firstLine="620"/>
        <w:spacing w:after="0" w:line="243" w:lineRule="auto"/>
        <w:rPr>
          <w:sz w:val="20"/>
          <w:szCs w:val="20"/>
          <w:color w:val="auto"/>
        </w:rPr>
      </w:pPr>
      <w:r>
        <w:rPr>
          <w:rFonts w:ascii="Times New Roman" w:cs="Times New Roman" w:eastAsia="Times New Roman" w:hAnsi="Times New Roman"/>
          <w:sz w:val="20"/>
          <w:szCs w:val="20"/>
          <w:color w:val="auto"/>
        </w:rPr>
        <w:t>In addition to the use of tariffs and other traditional trade tools, the U.S. government has made and continues to make significant additional changes in U.S. trade policy and may continue to take future actions that could negatively impact U.S. trade. In particular, the U.S. has made or considered making a broad set of trade-related or security-related policy changes with respect to specific counterparty countries, most significantly China, to create various limitations on cross-border operations.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financial condition, and results of operations would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1420" w:right="1440" w:bottom="175"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Reliance on Third Parties</w:t>
      </w:r>
    </w:p>
    <w:p>
      <w:pPr>
        <w:spacing w:after="0" w:line="243"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75"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200"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20"/>
          <w:szCs w:val="20"/>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20"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210" w:lineRule="exact"/>
        <w:rPr>
          <w:sz w:val="20"/>
          <w:szCs w:val="20"/>
          <w:color w:val="auto"/>
        </w:rPr>
      </w:pPr>
    </w:p>
    <w:p>
      <w:pPr>
        <w:ind w:right="120" w:firstLine="619"/>
        <w:spacing w:after="0" w:line="252" w:lineRule="auto"/>
        <w:rPr>
          <w:sz w:val="20"/>
          <w:szCs w:val="20"/>
          <w:color w:val="auto"/>
        </w:rPr>
      </w:pPr>
      <w:r>
        <w:rPr>
          <w:rFonts w:ascii="Times New Roman" w:cs="Times New Roman" w:eastAsia="Times New Roman" w:hAnsi="Times New Roman"/>
          <w:sz w:val="20"/>
          <w:szCs w:val="20"/>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1416" w:right="1440" w:bottom="175" w:gutter="0" w:footer="0" w:header="0"/>
        </w:sectPr>
      </w:pPr>
    </w:p>
    <w:bookmarkStart w:id="73" w:name="page74"/>
    <w:bookmarkEnd w:id="73"/>
    <w:p>
      <w:pPr>
        <w:jc w:val="both"/>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77" w:lineRule="exact"/>
        <w:rPr>
          <w:sz w:val="20"/>
          <w:szCs w:val="20"/>
          <w:color w:val="auto"/>
        </w:rPr>
      </w:pPr>
    </w:p>
    <w:p>
      <w:pPr>
        <w:ind w:right="80" w:firstLine="619"/>
        <w:spacing w:after="0" w:line="246" w:lineRule="auto"/>
        <w:rPr>
          <w:sz w:val="20"/>
          <w:szCs w:val="20"/>
          <w:color w:val="auto"/>
        </w:rPr>
      </w:pPr>
      <w:r>
        <w:rPr>
          <w:rFonts w:ascii="Times New Roman" w:cs="Times New Roman" w:eastAsia="Times New Roman" w:hAnsi="Times New Roman"/>
          <w:sz w:val="20"/>
          <w:szCs w:val="20"/>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199"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9"/>
          <w:szCs w:val="19"/>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adversely affected.</w:t>
      </w:r>
    </w:p>
    <w:p>
      <w:pPr>
        <w:spacing w:after="0" w:line="199" w:lineRule="exact"/>
        <w:rPr>
          <w:sz w:val="20"/>
          <w:szCs w:val="20"/>
          <w:color w:val="auto"/>
        </w:rPr>
      </w:pPr>
    </w:p>
    <w:p>
      <w:pPr>
        <w:ind w:right="220" w:firstLine="619"/>
        <w:spacing w:after="0" w:line="277" w:lineRule="auto"/>
        <w:rPr>
          <w:sz w:val="20"/>
          <w:szCs w:val="20"/>
          <w:color w:val="auto"/>
        </w:rPr>
      </w:pPr>
      <w:r>
        <w:rPr>
          <w:rFonts w:ascii="Times New Roman" w:cs="Times New Roman" w:eastAsia="Times New Roman" w:hAnsi="Times New Roman"/>
          <w:sz w:val="20"/>
          <w:szCs w:val="20"/>
          <w:color w:val="auto"/>
        </w:rPr>
        <w:t>Our anticipated reliance on a limited number of third-party manufacturers exposes us to a number of risks, including the following:</w:t>
      </w:r>
    </w:p>
    <w:p>
      <w:pPr>
        <w:spacing w:after="0" w:line="63" w:lineRule="exact"/>
        <w:rPr>
          <w:sz w:val="20"/>
          <w:szCs w:val="20"/>
          <w:color w:val="auto"/>
        </w:rPr>
      </w:pPr>
    </w:p>
    <w:p>
      <w:pPr>
        <w:ind w:left="900" w:right="40" w:hanging="281"/>
        <w:spacing w:after="0" w:line="258"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81" w:lineRule="exact"/>
        <w:rPr>
          <w:rFonts w:ascii="Arial" w:cs="Arial" w:eastAsia="Arial" w:hAnsi="Arial"/>
          <w:sz w:val="20"/>
          <w:szCs w:val="20"/>
          <w:color w:val="auto"/>
        </w:rPr>
      </w:pPr>
    </w:p>
    <w:p>
      <w:pPr>
        <w:ind w:left="900" w:right="160" w:hanging="281"/>
        <w:spacing w:after="0" w:line="276"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a new manufacturer would have to be educated in, or develop substantially equivalent processes for, the production of our product candidates;</w:t>
      </w:r>
    </w:p>
    <w:p>
      <w:pPr>
        <w:spacing w:after="0" w:line="64" w:lineRule="exact"/>
        <w:rPr>
          <w:rFonts w:ascii="Arial" w:cs="Arial" w:eastAsia="Arial" w:hAnsi="Arial"/>
          <w:sz w:val="20"/>
          <w:szCs w:val="20"/>
          <w:color w:val="auto"/>
        </w:rPr>
      </w:pPr>
    </w:p>
    <w:p>
      <w:pPr>
        <w:ind w:left="900" w:right="160" w:hanging="281"/>
        <w:spacing w:after="0" w:line="277"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manufacturers might be unable to timely manufacture our product candidates or produce the quantity and quality required to meet our clinical and commercial needs, if any;</w:t>
      </w:r>
    </w:p>
    <w:p>
      <w:pPr>
        <w:spacing w:after="0" w:line="62" w:lineRule="exact"/>
        <w:rPr>
          <w:rFonts w:ascii="Arial" w:cs="Arial" w:eastAsia="Arial" w:hAnsi="Arial"/>
          <w:sz w:val="20"/>
          <w:szCs w:val="20"/>
          <w:color w:val="auto"/>
        </w:rPr>
      </w:pPr>
    </w:p>
    <w:p>
      <w:pPr>
        <w:ind w:left="900" w:right="400" w:hanging="281"/>
        <w:spacing w:after="0" w:line="277"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contract manufacturers may not be able to execute our manufacturing procedures and other logistical support requirements appropriately;</w:t>
      </w:r>
    </w:p>
    <w:p>
      <w:pPr>
        <w:spacing w:after="0" w:line="63" w:lineRule="exact"/>
        <w:rPr>
          <w:rFonts w:ascii="Arial" w:cs="Arial" w:eastAsia="Arial" w:hAnsi="Arial"/>
          <w:sz w:val="20"/>
          <w:szCs w:val="20"/>
          <w:color w:val="auto"/>
        </w:rPr>
      </w:pPr>
    </w:p>
    <w:p>
      <w:pPr>
        <w:ind w:left="900" w:right="120" w:hanging="281"/>
        <w:spacing w:after="0" w:line="258"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80" w:lineRule="exact"/>
        <w:rPr>
          <w:rFonts w:ascii="Arial" w:cs="Arial" w:eastAsia="Arial" w:hAnsi="Arial"/>
          <w:sz w:val="20"/>
          <w:szCs w:val="20"/>
          <w:color w:val="auto"/>
        </w:rPr>
      </w:pPr>
    </w:p>
    <w:p>
      <w:pPr>
        <w:ind w:left="900" w:right="20" w:hanging="281"/>
        <w:spacing w:after="0" w:line="252"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88" w:lineRule="exact"/>
        <w:rPr>
          <w:rFonts w:ascii="Arial" w:cs="Arial" w:eastAsia="Arial" w:hAnsi="Arial"/>
          <w:sz w:val="20"/>
          <w:szCs w:val="20"/>
          <w:color w:val="auto"/>
        </w:rPr>
      </w:pPr>
    </w:p>
    <w:p>
      <w:pPr>
        <w:ind w:left="900" w:right="60" w:hanging="281"/>
        <w:spacing w:after="0" w:line="277" w:lineRule="auto"/>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own, or may have to share, the intellectual property rights to any improvements made by our third-party manufacturers in the manufacturing process for our product candidates;</w:t>
      </w:r>
    </w:p>
    <w:p>
      <w:pPr>
        <w:spacing w:after="0" w:line="62" w:lineRule="exact"/>
        <w:rPr>
          <w:rFonts w:ascii="Arial" w:cs="Arial" w:eastAsia="Arial" w:hAnsi="Arial"/>
          <w:sz w:val="20"/>
          <w:szCs w:val="20"/>
          <w:color w:val="auto"/>
        </w:rPr>
      </w:pPr>
    </w:p>
    <w:p>
      <w:pPr>
        <w:ind w:left="900" w:hanging="282"/>
        <w:spacing w:after="0"/>
        <w:tabs>
          <w:tab w:leader="none" w:pos="9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manufacturers could breach or terminate their agreements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1420" w:right="1440" w:bottom="175" w:gutter="0" w:footer="0" w:header="0"/>
        </w:sectPr>
      </w:pPr>
    </w:p>
    <w:bookmarkStart w:id="74" w:name="page75"/>
    <w:bookmarkEnd w:id="74"/>
    <w:p>
      <w:pPr>
        <w:ind w:left="900" w:right="220" w:hanging="281"/>
        <w:spacing w:after="0" w:line="258" w:lineRule="auto"/>
        <w:tabs>
          <w:tab w:leader="none" w:pos="9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81" w:lineRule="exact"/>
        <w:rPr>
          <w:rFonts w:ascii="Arial" w:cs="Arial" w:eastAsia="Arial" w:hAnsi="Arial"/>
          <w:sz w:val="20"/>
          <w:szCs w:val="20"/>
          <w:color w:val="auto"/>
        </w:rPr>
      </w:pPr>
    </w:p>
    <w:p>
      <w:pPr>
        <w:ind w:left="900" w:right="100" w:hanging="281"/>
        <w:spacing w:after="0" w:line="276" w:lineRule="auto"/>
        <w:tabs>
          <w:tab w:leader="none" w:pos="9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our contract manufacturers and critical reagent suppliers may be subject to inclement weather, as well as natural or man-made disasters; and</w:t>
      </w:r>
    </w:p>
    <w:p>
      <w:pPr>
        <w:spacing w:after="0" w:line="64" w:lineRule="exact"/>
        <w:rPr>
          <w:rFonts w:ascii="Arial" w:cs="Arial" w:eastAsia="Arial" w:hAnsi="Arial"/>
          <w:sz w:val="20"/>
          <w:szCs w:val="20"/>
          <w:color w:val="auto"/>
        </w:rPr>
      </w:pPr>
    </w:p>
    <w:p>
      <w:pPr>
        <w:ind w:left="900" w:right="500" w:hanging="281"/>
        <w:spacing w:after="0" w:line="258" w:lineRule="auto"/>
        <w:tabs>
          <w:tab w:leader="none" w:pos="9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187" w:lineRule="exact"/>
        <w:rPr>
          <w:sz w:val="20"/>
          <w:szCs w:val="20"/>
          <w:color w:val="auto"/>
        </w:rPr>
      </w:pPr>
    </w:p>
    <w:p>
      <w:pPr>
        <w:ind w:right="100" w:firstLine="619"/>
        <w:spacing w:after="0" w:line="245" w:lineRule="auto"/>
        <w:rPr>
          <w:sz w:val="20"/>
          <w:szCs w:val="20"/>
          <w:color w:val="auto"/>
        </w:rPr>
      </w:pPr>
      <w:r>
        <w:rPr>
          <w:rFonts w:ascii="Times New Roman" w:cs="Times New Roman" w:eastAsia="Times New Roman" w:hAnsi="Times New Roman"/>
          <w:sz w:val="20"/>
          <w:szCs w:val="20"/>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322" w:lineRule="exact"/>
        <w:rPr>
          <w:sz w:val="20"/>
          <w:szCs w:val="20"/>
          <w:color w:val="auto"/>
        </w:rPr>
      </w:pPr>
    </w:p>
    <w:p>
      <w:pPr>
        <w:ind w:right="16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24"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204"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1435" w:right="1440" w:bottom="175" w:gutter="0" w:footer="0" w:header="0"/>
        </w:sectPr>
      </w:pPr>
    </w:p>
    <w:bookmarkStart w:id="75" w:name="page76"/>
    <w:bookmarkEnd w:id="75"/>
    <w:p>
      <w:pPr>
        <w:ind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our third-party manufacturers use hazardous and biological materials in a manner that causes injury or violates applicable law, we may be liable for damages.</w:t>
      </w:r>
    </w:p>
    <w:p>
      <w:pPr>
        <w:spacing w:after="0" w:line="49"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32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69"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 -compliance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331" w:lineRule="exact"/>
        <w:rPr>
          <w:sz w:val="20"/>
          <w:szCs w:val="20"/>
          <w:color w:val="auto"/>
        </w:rPr>
      </w:pPr>
    </w:p>
    <w:p>
      <w:pPr>
        <w:ind w:right="34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26" w:lineRule="exact"/>
        <w:rPr>
          <w:sz w:val="20"/>
          <w:szCs w:val="20"/>
          <w:color w:val="auto"/>
        </w:rPr>
      </w:pPr>
    </w:p>
    <w:p>
      <w:pPr>
        <w:ind w:right="200" w:firstLine="620"/>
        <w:spacing w:after="0" w:line="247" w:lineRule="auto"/>
        <w:rPr>
          <w:sz w:val="20"/>
          <w:szCs w:val="20"/>
          <w:color w:val="auto"/>
        </w:rPr>
      </w:pPr>
      <w:r>
        <w:rPr>
          <w:rFonts w:ascii="Times New Roman" w:cs="Times New Roman" w:eastAsia="Times New Roman" w:hAnsi="Times New Roman"/>
          <w:sz w:val="20"/>
          <w:szCs w:val="20"/>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200" w:lineRule="exact"/>
        <w:rPr>
          <w:sz w:val="20"/>
          <w:szCs w:val="20"/>
          <w:color w:val="auto"/>
        </w:rPr>
      </w:pPr>
    </w:p>
    <w:p>
      <w:pPr>
        <w:ind w:right="200" w:firstLine="619"/>
        <w:spacing w:after="0" w:line="249" w:lineRule="auto"/>
        <w:rPr>
          <w:sz w:val="20"/>
          <w:szCs w:val="20"/>
          <w:color w:val="auto"/>
        </w:rPr>
      </w:pPr>
      <w:r>
        <w:rPr>
          <w:rFonts w:ascii="Times New Roman" w:cs="Times New Roman" w:eastAsia="Times New Roman" w:hAnsi="Times New Roman"/>
          <w:sz w:val="20"/>
          <w:szCs w:val="20"/>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1420" w:right="1440" w:bottom="175" w:gutter="0" w:footer="0" w:header="0"/>
        </w:sectPr>
      </w:pPr>
    </w:p>
    <w:bookmarkStart w:id="76" w:name="page77"/>
    <w:bookmarkEnd w:id="76"/>
    <w:p>
      <w:pPr>
        <w:ind w:right="220" w:firstLine="619"/>
        <w:spacing w:after="0" w:line="277" w:lineRule="auto"/>
        <w:rPr>
          <w:sz w:val="20"/>
          <w:szCs w:val="20"/>
          <w:color w:val="auto"/>
        </w:rPr>
      </w:pPr>
      <w:r>
        <w:rPr>
          <w:rFonts w:ascii="Times New Roman" w:cs="Times New Roman" w:eastAsia="Times New Roman" w:hAnsi="Times New Roman"/>
          <w:sz w:val="20"/>
          <w:szCs w:val="20"/>
          <w:color w:val="auto"/>
        </w:rPr>
        <w:t>Further, collaborations involving our product candidates are subject to numerous risks, which may include the following:</w:t>
      </w:r>
    </w:p>
    <w:p>
      <w:pPr>
        <w:spacing w:after="0" w:line="63" w:lineRule="exact"/>
        <w:rPr>
          <w:sz w:val="20"/>
          <w:szCs w:val="20"/>
          <w:color w:val="auto"/>
        </w:rPr>
      </w:pPr>
    </w:p>
    <w:p>
      <w:pPr>
        <w:ind w:left="900" w:right="80" w:hanging="281"/>
        <w:spacing w:after="0" w:line="277" w:lineRule="auto"/>
        <w:tabs>
          <w:tab w:leader="none" w:pos="9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have significant discretion in determining the efforts and resources that they will apply to a collaboration;</w:t>
      </w:r>
    </w:p>
    <w:p>
      <w:pPr>
        <w:spacing w:after="0" w:line="62" w:lineRule="exact"/>
        <w:rPr>
          <w:rFonts w:ascii="Arial" w:cs="Arial" w:eastAsia="Arial" w:hAnsi="Arial"/>
          <w:sz w:val="20"/>
          <w:szCs w:val="20"/>
          <w:color w:val="auto"/>
        </w:rPr>
      </w:pPr>
    </w:p>
    <w:p>
      <w:pPr>
        <w:ind w:left="900" w:right="60" w:hanging="281"/>
        <w:spacing w:after="0" w:line="249" w:lineRule="auto"/>
        <w:tabs>
          <w:tab w:leader="none" w:pos="9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0" w:lineRule="exact"/>
        <w:rPr>
          <w:rFonts w:ascii="Arial" w:cs="Arial" w:eastAsia="Arial" w:hAnsi="Arial"/>
          <w:sz w:val="20"/>
          <w:szCs w:val="20"/>
          <w:color w:val="auto"/>
        </w:rPr>
      </w:pPr>
    </w:p>
    <w:p>
      <w:pPr>
        <w:ind w:left="900" w:right="40" w:hanging="281"/>
        <w:spacing w:after="0" w:line="259" w:lineRule="auto"/>
        <w:tabs>
          <w:tab w:leader="none" w:pos="9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78" w:lineRule="exact"/>
        <w:rPr>
          <w:rFonts w:ascii="Arial" w:cs="Arial" w:eastAsia="Arial" w:hAnsi="Arial"/>
          <w:sz w:val="20"/>
          <w:szCs w:val="20"/>
          <w:color w:val="auto"/>
        </w:rPr>
      </w:pPr>
    </w:p>
    <w:p>
      <w:pPr>
        <w:ind w:left="900" w:right="160" w:hanging="281"/>
        <w:spacing w:after="0" w:line="277" w:lineRule="auto"/>
        <w:tabs>
          <w:tab w:leader="none" w:pos="9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 candidates;</w:t>
      </w:r>
    </w:p>
    <w:p>
      <w:pPr>
        <w:spacing w:after="0" w:line="63" w:lineRule="exact"/>
        <w:rPr>
          <w:rFonts w:ascii="Arial" w:cs="Arial" w:eastAsia="Arial" w:hAnsi="Arial"/>
          <w:sz w:val="20"/>
          <w:szCs w:val="20"/>
          <w:color w:val="auto"/>
        </w:rPr>
      </w:pPr>
    </w:p>
    <w:p>
      <w:pPr>
        <w:ind w:left="900" w:right="160" w:hanging="281"/>
        <w:spacing w:after="0" w:line="276" w:lineRule="auto"/>
        <w:tabs>
          <w:tab w:leader="none" w:pos="9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 collaborator with marketing and distribution rights to one or more products may not commit sufficient resources to their marketing and distribution;</w:t>
      </w:r>
    </w:p>
    <w:p>
      <w:pPr>
        <w:spacing w:after="0" w:line="64" w:lineRule="exact"/>
        <w:rPr>
          <w:rFonts w:ascii="Arial" w:cs="Arial" w:eastAsia="Arial" w:hAnsi="Arial"/>
          <w:sz w:val="20"/>
          <w:szCs w:val="20"/>
          <w:color w:val="auto"/>
        </w:rPr>
      </w:pPr>
    </w:p>
    <w:p>
      <w:pPr>
        <w:ind w:left="900" w:right="200" w:hanging="281"/>
        <w:spacing w:after="0" w:line="252" w:lineRule="auto"/>
        <w:tabs>
          <w:tab w:leader="none" w:pos="9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6" w:lineRule="exact"/>
        <w:rPr>
          <w:rFonts w:ascii="Arial" w:cs="Arial" w:eastAsia="Arial" w:hAnsi="Arial"/>
          <w:sz w:val="20"/>
          <w:szCs w:val="20"/>
          <w:color w:val="auto"/>
        </w:rPr>
      </w:pPr>
    </w:p>
    <w:p>
      <w:pPr>
        <w:ind w:left="900" w:right="460" w:hanging="281"/>
        <w:spacing w:after="0" w:line="259" w:lineRule="auto"/>
        <w:tabs>
          <w:tab w:leader="none" w:pos="9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78" w:lineRule="exact"/>
        <w:rPr>
          <w:rFonts w:ascii="Arial" w:cs="Arial" w:eastAsia="Arial" w:hAnsi="Arial"/>
          <w:sz w:val="20"/>
          <w:szCs w:val="20"/>
          <w:color w:val="auto"/>
        </w:rPr>
      </w:pPr>
    </w:p>
    <w:p>
      <w:pPr>
        <w:ind w:left="900" w:right="120" w:hanging="281"/>
        <w:spacing w:after="0" w:line="277" w:lineRule="auto"/>
        <w:tabs>
          <w:tab w:leader="none" w:pos="9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collaborations may be terminated and, if terminated, may result in a need for additional capital to pursue further development or commercialization of the applicable product candidates; and</w:t>
      </w:r>
    </w:p>
    <w:p>
      <w:pPr>
        <w:spacing w:after="0" w:line="63" w:lineRule="exact"/>
        <w:rPr>
          <w:rFonts w:ascii="Arial" w:cs="Arial" w:eastAsia="Arial" w:hAnsi="Arial"/>
          <w:sz w:val="20"/>
          <w:szCs w:val="20"/>
          <w:color w:val="auto"/>
        </w:rPr>
      </w:pPr>
    </w:p>
    <w:p>
      <w:pPr>
        <w:ind w:left="900" w:right="80" w:hanging="281"/>
        <w:spacing w:after="0" w:line="258" w:lineRule="auto"/>
        <w:tabs>
          <w:tab w:leader="none" w:pos="9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87"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20"/>
          <w:szCs w:val="20"/>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32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49"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9"/>
          <w:szCs w:val="19"/>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1420" w:right="1440" w:bottom="175" w:gutter="0" w:footer="0" w:header="0"/>
        </w:sectPr>
      </w:pPr>
    </w:p>
    <w:bookmarkStart w:id="77" w:name="page78"/>
    <w:bookmarkEnd w:id="77"/>
    <w:p>
      <w:pPr>
        <w:ind w:right="80"/>
        <w:spacing w:after="0" w:line="277" w:lineRule="auto"/>
        <w:rPr>
          <w:sz w:val="20"/>
          <w:szCs w:val="20"/>
          <w:color w:val="auto"/>
        </w:rPr>
      </w:pPr>
      <w:r>
        <w:rPr>
          <w:rFonts w:ascii="Times New Roman" w:cs="Times New Roman" w:eastAsia="Times New Roman" w:hAnsi="Times New Roman"/>
          <w:sz w:val="20"/>
          <w:szCs w:val="20"/>
          <w:color w:val="auto"/>
        </w:rPr>
        <w:t>resources to the development and commercialization of products. Any of these developments could adversely affect our product development efforts.</w:t>
      </w:r>
    </w:p>
    <w:p>
      <w:pPr>
        <w:spacing w:after="0" w:line="289"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47" w:lineRule="exact"/>
        <w:rPr>
          <w:sz w:val="20"/>
          <w:szCs w:val="20"/>
          <w:color w:val="auto"/>
        </w:rPr>
      </w:pPr>
    </w:p>
    <w:p>
      <w:pPr>
        <w:jc w:val="both"/>
        <w:ind w:right="620" w:firstLine="619"/>
        <w:spacing w:after="0" w:line="259" w:lineRule="auto"/>
        <w:rPr>
          <w:sz w:val="20"/>
          <w:szCs w:val="20"/>
          <w:color w:val="auto"/>
        </w:rPr>
      </w:pPr>
      <w:r>
        <w:rPr>
          <w:rFonts w:ascii="Times New Roman" w:cs="Times New Roman" w:eastAsia="Times New Roman" w:hAnsi="Times New Roman"/>
          <w:sz w:val="20"/>
          <w:szCs w:val="20"/>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80" w:lineRule="exact"/>
        <w:rPr>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operating expenses and cash requirements;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assumption of additional indebtedness or contingent liabilities;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issuance of our equity securities;</w:t>
      </w:r>
    </w:p>
    <w:p>
      <w:pPr>
        <w:spacing w:after="0" w:line="133" w:lineRule="exact"/>
        <w:rPr>
          <w:rFonts w:ascii="Arial" w:cs="Arial" w:eastAsia="Arial" w:hAnsi="Arial"/>
          <w:sz w:val="20"/>
          <w:szCs w:val="20"/>
          <w:color w:val="auto"/>
        </w:rPr>
      </w:pPr>
    </w:p>
    <w:p>
      <w:pPr>
        <w:ind w:left="900" w:right="780" w:hanging="282"/>
        <w:spacing w:after="0" w:line="277" w:lineRule="auto"/>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20"/>
          <w:szCs w:val="20"/>
          <w:color w:val="auto"/>
        </w:rPr>
      </w:pPr>
    </w:p>
    <w:p>
      <w:pPr>
        <w:ind w:left="900" w:right="140" w:hanging="282"/>
        <w:spacing w:after="0" w:line="277" w:lineRule="auto"/>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the diversion of our management’s attention from our existing programs and initiatives in pursuing such a strategic merger or acquisition;</w:t>
      </w:r>
    </w:p>
    <w:p>
      <w:pPr>
        <w:spacing w:after="0" w:line="63" w:lineRule="exact"/>
        <w:rPr>
          <w:rFonts w:ascii="Arial" w:cs="Arial" w:eastAsia="Arial" w:hAnsi="Arial"/>
          <w:sz w:val="20"/>
          <w:szCs w:val="20"/>
          <w:color w:val="auto"/>
        </w:rPr>
      </w:pPr>
    </w:p>
    <w:p>
      <w:pPr>
        <w:ind w:left="900" w:right="420" w:hanging="282"/>
        <w:spacing w:after="0" w:line="276" w:lineRule="auto"/>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retention of key employees, the loss of key personnel and uncertainties in our ability to maintain key business relationships;</w:t>
      </w:r>
    </w:p>
    <w:p>
      <w:pPr>
        <w:spacing w:after="0" w:line="64" w:lineRule="exact"/>
        <w:rPr>
          <w:rFonts w:ascii="Arial" w:cs="Arial" w:eastAsia="Arial" w:hAnsi="Arial"/>
          <w:sz w:val="20"/>
          <w:szCs w:val="20"/>
          <w:color w:val="auto"/>
        </w:rPr>
      </w:pPr>
    </w:p>
    <w:p>
      <w:pPr>
        <w:ind w:left="900" w:right="320" w:hanging="282"/>
        <w:spacing w:after="0" w:line="276" w:lineRule="auto"/>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risks and uncertainties associated with the other party to such a transaction, including the prospects of that party and their existing products or product candidates and marketing approvals; and</w:t>
      </w:r>
    </w:p>
    <w:p>
      <w:pPr>
        <w:spacing w:after="0" w:line="64" w:lineRule="exact"/>
        <w:rPr>
          <w:rFonts w:ascii="Arial" w:cs="Arial" w:eastAsia="Arial" w:hAnsi="Arial"/>
          <w:sz w:val="20"/>
          <w:szCs w:val="20"/>
          <w:color w:val="auto"/>
        </w:rPr>
      </w:pPr>
    </w:p>
    <w:p>
      <w:pPr>
        <w:ind w:left="900" w:right="380" w:hanging="282"/>
        <w:spacing w:after="0" w:line="258" w:lineRule="auto"/>
        <w:tabs>
          <w:tab w:leader="none" w:pos="9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generate revenue from acquired technology and/or products sufficient to meet our objectives in undertaking the acquisition or even to offset the associated acquisition and maintenance costs.</w:t>
      </w:r>
    </w:p>
    <w:p>
      <w:pPr>
        <w:spacing w:after="0" w:line="187"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20"/>
          <w:szCs w:val="20"/>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244"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74" w:lineRule="exact"/>
        <w:rPr>
          <w:sz w:val="20"/>
          <w:szCs w:val="20"/>
          <w:color w:val="auto"/>
        </w:rPr>
      </w:pPr>
    </w:p>
    <w:p>
      <w:pPr>
        <w:ind w:right="100" w:firstLine="619"/>
        <w:spacing w:after="0" w:line="247" w:lineRule="auto"/>
        <w:rPr>
          <w:sz w:val="20"/>
          <w:szCs w:val="20"/>
          <w:color w:val="auto"/>
        </w:rPr>
      </w:pPr>
      <w:r>
        <w:rPr>
          <w:rFonts w:ascii="Times New Roman" w:cs="Times New Roman" w:eastAsia="Times New Roman" w:hAnsi="Times New Roman"/>
          <w:sz w:val="20"/>
          <w:szCs w:val="20"/>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200" w:lineRule="exact"/>
        <w:rPr>
          <w:sz w:val="20"/>
          <w:szCs w:val="20"/>
          <w:color w:val="auto"/>
        </w:rPr>
      </w:pPr>
    </w:p>
    <w:p>
      <w:pPr>
        <w:ind w:right="280" w:firstLine="620"/>
        <w:spacing w:after="0" w:line="245" w:lineRule="auto"/>
        <w:rPr>
          <w:sz w:val="20"/>
          <w:szCs w:val="20"/>
          <w:color w:val="auto"/>
        </w:rPr>
      </w:pPr>
      <w:r>
        <w:rPr>
          <w:rFonts w:ascii="Times New Roman" w:cs="Times New Roman" w:eastAsia="Times New Roman" w:hAnsi="Times New Roman"/>
          <w:sz w:val="20"/>
          <w:szCs w:val="20"/>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1420" w:right="1440" w:bottom="175" w:gutter="0" w:footer="0" w:header="0"/>
        </w:sectPr>
      </w:pPr>
    </w:p>
    <w:bookmarkStart w:id="78" w:name="page79"/>
    <w:bookmarkEnd w:id="78"/>
    <w:p>
      <w:pPr>
        <w:ind w:right="20" w:firstLine="619"/>
        <w:spacing w:after="0" w:line="243" w:lineRule="auto"/>
        <w:rPr>
          <w:sz w:val="20"/>
          <w:szCs w:val="20"/>
          <w:color w:val="auto"/>
        </w:rPr>
      </w:pPr>
      <w:r>
        <w:rPr>
          <w:rFonts w:ascii="Times New Roman" w:cs="Times New Roman" w:eastAsia="Times New Roman" w:hAnsi="Times New Roman"/>
          <w:sz w:val="20"/>
          <w:szCs w:val="20"/>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 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203" w:lineRule="exact"/>
        <w:rPr>
          <w:sz w:val="20"/>
          <w:szCs w:val="20"/>
          <w:color w:val="auto"/>
        </w:rPr>
      </w:pPr>
    </w:p>
    <w:p>
      <w:pPr>
        <w:ind w:firstLine="620"/>
        <w:spacing w:after="0" w:line="242" w:lineRule="auto"/>
        <w:rPr>
          <w:sz w:val="20"/>
          <w:szCs w:val="20"/>
          <w:color w:val="auto"/>
        </w:rPr>
      </w:pPr>
      <w:r>
        <w:rPr>
          <w:rFonts w:ascii="Times New Roman" w:cs="Times New Roman" w:eastAsia="Times New Roman" w:hAnsi="Times New Roman"/>
          <w:sz w:val="20"/>
          <w:szCs w:val="20"/>
          <w:color w:val="auto"/>
        </w:rPr>
        <w:t>In addition to the protection afforded by patents, we seek to rely on trade secret protection and confidentiality agreements to protect proprietary know -how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32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69"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auto"/>
        </w:rPr>
        <w:t>Our commercial success will depend in large part on obtaining and maintaining patent, trademark and trade secret protection of our proprietary technologies and our product candidates. These candidates include rezatapopt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201"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1420" w:right="1440" w:bottom="175" w:gutter="0" w:footer="0" w:header="0"/>
        </w:sectPr>
      </w:pPr>
    </w:p>
    <w:bookmarkStart w:id="79" w:name="page80"/>
    <w:bookmarkEnd w:id="79"/>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206"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 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205"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211"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20"/>
          <w:szCs w:val="20"/>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202"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1420" w:right="1440" w:bottom="175" w:gutter="0" w:footer="0" w:header="0"/>
        </w:sectPr>
      </w:pPr>
    </w:p>
    <w:bookmarkStart w:id="80" w:name="page81"/>
    <w:bookmarkEnd w:id="80"/>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97"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are highly uncertain.</w:t>
      </w:r>
    </w:p>
    <w:p>
      <w:pPr>
        <w:spacing w:after="0" w:line="210"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w:t>
      </w:r>
    </w:p>
    <w:p>
      <w:pPr>
        <w:spacing w:after="0" w:line="212"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206"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 from practicing these inventions. The expiration of these patents could also have a similar material adverse effect on our business, results of operations, financial condition and prospects.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1420" w:right="1440" w:bottom="175" w:gutter="0" w:footer="0" w:header="0"/>
        </w:sectPr>
      </w:pPr>
    </w:p>
    <w:bookmarkStart w:id="81" w:name="page82"/>
    <w:bookmarkEnd w:id="81"/>
    <w:p>
      <w:pPr>
        <w:ind w:right="100" w:firstLine="619"/>
        <w:spacing w:after="0" w:line="244" w:lineRule="auto"/>
        <w:rPr>
          <w:sz w:val="20"/>
          <w:szCs w:val="20"/>
          <w:color w:val="auto"/>
        </w:rPr>
      </w:pPr>
      <w:r>
        <w:rPr>
          <w:rFonts w:ascii="Times New Roman" w:cs="Times New Roman" w:eastAsia="Times New Roman" w:hAnsi="Times New Roman"/>
          <w:sz w:val="20"/>
          <w:szCs w:val="20"/>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202"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320"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66"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 -compliance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3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68"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1420" w:right="1440" w:bottom="175" w:gutter="0" w:footer="0" w:header="0"/>
        </w:sectPr>
      </w:pPr>
    </w:p>
    <w:bookmarkStart w:id="82" w:name="page83"/>
    <w:bookmarkEnd w:id="82"/>
    <w:p>
      <w:pPr>
        <w:ind w:right="240"/>
        <w:spacing w:after="0" w:line="277" w:lineRule="auto"/>
        <w:rPr>
          <w:sz w:val="20"/>
          <w:szCs w:val="20"/>
          <w:color w:val="auto"/>
        </w:rPr>
      </w:pPr>
      <w:r>
        <w:rPr>
          <w:rFonts w:ascii="Times New Roman" w:cs="Times New Roman" w:eastAsia="Times New Roman" w:hAnsi="Times New Roman"/>
          <w:sz w:val="20"/>
          <w:szCs w:val="20"/>
          <w:color w:val="auto"/>
        </w:rPr>
        <w:t>conducted our patent prosecution in accordance with the duty of candor and in good faith. The outcome following such a challenge is unpredictable.</w:t>
      </w:r>
    </w:p>
    <w:p>
      <w:pPr>
        <w:spacing w:after="0" w:line="169"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0"/>
          <w:szCs w:val="20"/>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326"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49"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209"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20"/>
          <w:szCs w:val="20"/>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197"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3" w:lineRule="exact"/>
        <w:rPr>
          <w:sz w:val="20"/>
          <w:szCs w:val="20"/>
          <w:color w:val="auto"/>
        </w:rPr>
      </w:pPr>
    </w:p>
    <w:p>
      <w:pPr>
        <w:ind w:right="80" w:firstLine="619"/>
        <w:spacing w:after="0" w:line="278" w:lineRule="auto"/>
        <w:rPr>
          <w:sz w:val="20"/>
          <w:szCs w:val="20"/>
          <w:color w:val="auto"/>
        </w:rPr>
      </w:pPr>
      <w:r>
        <w:rPr>
          <w:rFonts w:ascii="Times New Roman" w:cs="Times New Roman" w:eastAsia="Times New Roman" w:hAnsi="Times New Roman"/>
          <w:sz w:val="19"/>
          <w:szCs w:val="19"/>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71"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20"/>
          <w:szCs w:val="20"/>
          <w:color w:val="auto"/>
        </w:rPr>
        <w:t xml:space="preserve">We may be required to protect our patents through procedures created to attack the validity of a patent at the USPTO. The USPTO hears post-grant proceedings, including post-grant review,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1420" w:right="1440" w:bottom="175" w:gutter="0" w:footer="0" w:header="0"/>
        </w:sectPr>
      </w:pPr>
    </w:p>
    <w:bookmarkStart w:id="83" w:name="page84"/>
    <w:bookmarkEnd w:id="83"/>
    <w:p>
      <w:pPr>
        <w:ind w:right="40"/>
        <w:spacing w:after="0" w:line="249" w:lineRule="auto"/>
        <w:rPr>
          <w:sz w:val="20"/>
          <w:szCs w:val="20"/>
          <w:color w:val="auto"/>
        </w:rPr>
      </w:pPr>
      <w:r>
        <w:rPr>
          <w:rFonts w:ascii="Times New Roman" w:cs="Times New Roman" w:eastAsia="Times New Roman" w:hAnsi="Times New Roman"/>
          <w:sz w:val="20"/>
          <w:szCs w:val="20"/>
          <w:color w:val="auto"/>
        </w:rPr>
        <w:t>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possibility of post-grant proceedings could have a material adverse effect on our business, financial condition, results of operations and prospects.</w:t>
      </w:r>
    </w:p>
    <w:p>
      <w:pPr>
        <w:spacing w:after="0" w:line="317"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on our product candidates for an adequate amount of time.</w:t>
      </w:r>
    </w:p>
    <w:p>
      <w:pPr>
        <w:spacing w:after="0" w:line="47"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206"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207"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32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U.S. patent law, or laws in other countries, could diminish the value of patents in general, thereby impairing our ability to protect our product candidates.</w:t>
      </w:r>
    </w:p>
    <w:p>
      <w:pPr>
        <w:spacing w:after="0" w:line="49" w:lineRule="exact"/>
        <w:rPr>
          <w:sz w:val="20"/>
          <w:szCs w:val="20"/>
          <w:color w:val="auto"/>
        </w:rPr>
      </w:pPr>
    </w:p>
    <w:p>
      <w:pPr>
        <w:ind w:right="80" w:firstLine="619"/>
        <w:spacing w:after="0" w:line="266" w:lineRule="auto"/>
        <w:rPr>
          <w:sz w:val="20"/>
          <w:szCs w:val="20"/>
          <w:color w:val="auto"/>
        </w:rPr>
      </w:pPr>
      <w:r>
        <w:rPr>
          <w:rFonts w:ascii="Times New Roman" w:cs="Times New Roman" w:eastAsia="Times New Roman" w:hAnsi="Times New Roman"/>
          <w:sz w:val="19"/>
          <w:szCs w:val="19"/>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1420" w:right="1440" w:bottom="175" w:gutter="0" w:footer="0" w:header="0"/>
        </w:sectPr>
      </w:pPr>
    </w:p>
    <w:bookmarkStart w:id="84" w:name="page85"/>
    <w:bookmarkEnd w:id="84"/>
    <w:p>
      <w:pPr>
        <w:ind w:right="40"/>
        <w:spacing w:after="0" w:line="243" w:lineRule="auto"/>
        <w:rPr>
          <w:sz w:val="20"/>
          <w:szCs w:val="20"/>
          <w:color w:val="auto"/>
        </w:rPr>
      </w:pPr>
      <w:r>
        <w:rPr>
          <w:rFonts w:ascii="Times New Roman" w:cs="Times New Roman" w:eastAsia="Times New Roman" w:hAnsi="Times New Roman"/>
          <w:sz w:val="20"/>
          <w:szCs w:val="20"/>
          <w:color w:val="auto"/>
        </w:rPr>
        <w:t>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right="100" w:firstLine="619"/>
        <w:spacing w:after="0" w:line="242" w:lineRule="auto"/>
        <w:rPr>
          <w:sz w:val="20"/>
          <w:szCs w:val="20"/>
          <w:color w:val="auto"/>
        </w:rPr>
      </w:pPr>
      <w:r>
        <w:rPr>
          <w:rFonts w:ascii="Times New Roman" w:cs="Times New Roman" w:eastAsia="Times New Roman" w:hAnsi="Times New Roman"/>
          <w:sz w:val="20"/>
          <w:szCs w:val="20"/>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332" w:lineRule="exact"/>
        <w:rPr>
          <w:sz w:val="20"/>
          <w:szCs w:val="20"/>
          <w:color w:val="auto"/>
        </w:rPr>
      </w:pPr>
    </w:p>
    <w:p>
      <w:pPr>
        <w:ind w:right="8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7"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1420" w:right="1440" w:bottom="175" w:gutter="0" w:footer="0" w:header="0"/>
        </w:sectPr>
      </w:pPr>
    </w:p>
    <w:bookmarkStart w:id="85" w:name="page86"/>
    <w:bookmarkEnd w:id="85"/>
    <w:p>
      <w:pPr>
        <w:ind w:right="1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lawsuits will be costly and time consuming, and an unfavorable outcome in that litigation would have a material adverse effect on our business.</w:t>
      </w:r>
    </w:p>
    <w:p>
      <w:pPr>
        <w:spacing w:after="0" w:line="74" w:lineRule="exact"/>
        <w:rPr>
          <w:sz w:val="20"/>
          <w:szCs w:val="20"/>
          <w:color w:val="auto"/>
        </w:rPr>
      </w:pPr>
    </w:p>
    <w:p>
      <w:pPr>
        <w:ind w:right="120" w:firstLine="619"/>
        <w:spacing w:after="0" w:line="244" w:lineRule="auto"/>
        <w:rPr>
          <w:sz w:val="20"/>
          <w:szCs w:val="20"/>
          <w:color w:val="auto"/>
        </w:rPr>
      </w:pPr>
      <w:r>
        <w:rPr>
          <w:rFonts w:ascii="Times New Roman" w:cs="Times New Roman" w:eastAsia="Times New Roman" w:hAnsi="Times New Roman"/>
          <w:sz w:val="20"/>
          <w:szCs w:val="20"/>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206" w:lineRule="exact"/>
        <w:rPr>
          <w:sz w:val="20"/>
          <w:szCs w:val="20"/>
          <w:color w:val="auto"/>
        </w:rPr>
      </w:pPr>
    </w:p>
    <w:p>
      <w:pPr>
        <w:ind w:right="40" w:firstLine="619"/>
        <w:spacing w:after="0" w:line="245" w:lineRule="auto"/>
        <w:rPr>
          <w:sz w:val="20"/>
          <w:szCs w:val="20"/>
          <w:color w:val="auto"/>
        </w:rPr>
      </w:pPr>
      <w:r>
        <w:rPr>
          <w:rFonts w:ascii="Times New Roman" w:cs="Times New Roman" w:eastAsia="Times New Roman" w:hAnsi="Times New Roman"/>
          <w:sz w:val="20"/>
          <w:szCs w:val="20"/>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202" w:lineRule="exact"/>
        <w:rPr>
          <w:sz w:val="20"/>
          <w:szCs w:val="20"/>
          <w:color w:val="auto"/>
        </w:rPr>
      </w:pPr>
    </w:p>
    <w:p>
      <w:pPr>
        <w:ind w:right="160" w:firstLine="619"/>
        <w:spacing w:after="0" w:line="252" w:lineRule="auto"/>
        <w:rPr>
          <w:sz w:val="20"/>
          <w:szCs w:val="20"/>
          <w:color w:val="auto"/>
        </w:rPr>
      </w:pPr>
      <w:r>
        <w:rPr>
          <w:rFonts w:ascii="Times New Roman" w:cs="Times New Roman" w:eastAsia="Times New Roman" w:hAnsi="Times New Roman"/>
          <w:sz w:val="20"/>
          <w:szCs w:val="20"/>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195" w:lineRule="exact"/>
        <w:rPr>
          <w:sz w:val="20"/>
          <w:szCs w:val="20"/>
          <w:color w:val="auto"/>
        </w:rPr>
      </w:pPr>
    </w:p>
    <w:p>
      <w:pPr>
        <w:ind w:right="120" w:firstLine="619"/>
        <w:spacing w:after="0" w:line="243" w:lineRule="auto"/>
        <w:rPr>
          <w:sz w:val="20"/>
          <w:szCs w:val="20"/>
          <w:color w:val="auto"/>
        </w:rPr>
      </w:pPr>
      <w:r>
        <w:rPr>
          <w:rFonts w:ascii="Times New Roman" w:cs="Times New Roman" w:eastAsia="Times New Roman" w:hAnsi="Times New Roman"/>
          <w:sz w:val="20"/>
          <w:szCs w:val="20"/>
          <w:color w:val="auto"/>
        </w:rPr>
        <w:t>If a third party claims that we infringe its intellectual property rights, we may face a number of issues, including, but not limited to: infringement and other intellectual property claims which, regardless of merit, may be expensive and time- 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206"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20"/>
          <w:szCs w:val="20"/>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97"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20"/>
          <w:szCs w:val="20"/>
          <w:i w:val="1"/>
          <w:iCs w:val="1"/>
          <w:color w:val="auto"/>
        </w:rPr>
        <w:t>ex-parte</w:t>
      </w:r>
      <w:r>
        <w:rPr>
          <w:rFonts w:ascii="Times New Roman" w:cs="Times New Roman" w:eastAsia="Times New Roman" w:hAnsi="Times New Roman"/>
          <w:sz w:val="20"/>
          <w:szCs w:val="20"/>
          <w:color w:val="auto"/>
        </w:rPr>
        <w:t xml:space="preserve"> re-exam,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or post -grant review proceedings. These proceedings are expensive and may consume our time or other resources. We may choose to challenge a third 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1420" w:right="1440" w:bottom="175" w:gutter="0" w:footer="0" w:header="0"/>
        </w:sectPr>
      </w:pPr>
    </w:p>
    <w:bookmarkStart w:id="86" w:name="page87"/>
    <w:bookmarkEnd w:id="86"/>
    <w:p>
      <w:pPr>
        <w:jc w:val="both"/>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69" w:lineRule="exact"/>
        <w:rPr>
          <w:sz w:val="20"/>
          <w:szCs w:val="20"/>
          <w:color w:val="auto"/>
        </w:rPr>
      </w:pPr>
    </w:p>
    <w:p>
      <w:pPr>
        <w:ind w:right="60" w:firstLine="619"/>
        <w:spacing w:after="0" w:line="242" w:lineRule="auto"/>
        <w:rPr>
          <w:sz w:val="20"/>
          <w:szCs w:val="20"/>
          <w:color w:val="auto"/>
        </w:rPr>
      </w:pPr>
      <w:r>
        <w:rPr>
          <w:rFonts w:ascii="Times New Roman" w:cs="Times New Roman" w:eastAsia="Times New Roman" w:hAnsi="Times New Roman"/>
          <w:sz w:val="20"/>
          <w:szCs w:val="20"/>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00" w:lineRule="exact"/>
        <w:rPr>
          <w:sz w:val="20"/>
          <w:szCs w:val="20"/>
          <w:color w:val="auto"/>
        </w:rPr>
      </w:pPr>
    </w:p>
    <w:p>
      <w:pPr>
        <w:spacing w:after="0" w:line="23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69"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0"/>
          <w:szCs w:val="20"/>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 -related proceedings, the licensor may have the right to terminate the license, in which event we would not be able to market products covered by the license.</w:t>
      </w:r>
    </w:p>
    <w:p>
      <w:pPr>
        <w:spacing w:after="0" w:line="200"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20"/>
          <w:szCs w:val="20"/>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99"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1420" w:right="1440" w:bottom="175" w:gutter="0" w:footer="0" w:header="0"/>
        </w:sectPr>
      </w:pPr>
    </w:p>
    <w:bookmarkStart w:id="87" w:name="page88"/>
    <w:bookmarkEnd w:id="87"/>
    <w:p>
      <w:pPr>
        <w:ind w:left="900" w:hanging="281"/>
        <w:spacing w:after="0"/>
        <w:tabs>
          <w:tab w:leader="none" w:pos="9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132" w:lineRule="exact"/>
        <w:rPr>
          <w:rFonts w:ascii="Arial" w:cs="Arial" w:eastAsia="Arial" w:hAnsi="Arial"/>
          <w:sz w:val="20"/>
          <w:szCs w:val="20"/>
          <w:color w:val="auto"/>
        </w:rPr>
      </w:pPr>
    </w:p>
    <w:p>
      <w:pPr>
        <w:ind w:left="900" w:right="380" w:hanging="281"/>
        <w:spacing w:after="0" w:line="277" w:lineRule="auto"/>
        <w:tabs>
          <w:tab w:leader="none" w:pos="9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our right to sublicense patents and other rights to third parties;</w:t>
      </w:r>
    </w:p>
    <w:p>
      <w:pPr>
        <w:spacing w:after="0" w:line="133" w:lineRule="exact"/>
        <w:rPr>
          <w:rFonts w:ascii="Arial" w:cs="Arial" w:eastAsia="Arial" w:hAnsi="Arial"/>
          <w:sz w:val="20"/>
          <w:szCs w:val="20"/>
          <w:color w:val="auto"/>
        </w:rPr>
      </w:pPr>
    </w:p>
    <w:p>
      <w:pPr>
        <w:ind w:left="900" w:right="20" w:hanging="281"/>
        <w:spacing w:after="0" w:line="305" w:lineRule="auto"/>
        <w:tabs>
          <w:tab w:leader="none" w:pos="900" w:val="left"/>
        </w:tabs>
        <w:numPr>
          <w:ilvl w:val="0"/>
          <w:numId w:val="49"/>
        </w:numPr>
        <w:rPr>
          <w:rFonts w:ascii="Arial" w:cs="Arial" w:eastAsia="Arial" w:hAnsi="Arial"/>
          <w:sz w:val="19"/>
          <w:szCs w:val="19"/>
          <w:color w:val="auto"/>
        </w:rPr>
      </w:pPr>
      <w:r>
        <w:rPr>
          <w:rFonts w:ascii="Times New Roman" w:cs="Times New Roman" w:eastAsia="Times New Roman" w:hAnsi="Times New Roman"/>
          <w:sz w:val="19"/>
          <w:szCs w:val="19"/>
          <w:color w:val="auto"/>
        </w:rPr>
        <w:t>our diligence obligations with respect to the use of the licensed technology in relation to our development and commercialization of our product candidates, and what activities satisfy those diligence obligations;</w:t>
      </w:r>
    </w:p>
    <w:p>
      <w:pPr>
        <w:spacing w:after="0" w:line="37" w:lineRule="exact"/>
        <w:rPr>
          <w:rFonts w:ascii="Arial" w:cs="Arial" w:eastAsia="Arial" w:hAnsi="Arial"/>
          <w:sz w:val="19"/>
          <w:szCs w:val="19"/>
          <w:color w:val="auto"/>
        </w:rPr>
      </w:pPr>
    </w:p>
    <w:p>
      <w:pPr>
        <w:ind w:left="900" w:hanging="281"/>
        <w:spacing w:after="0"/>
        <w:tabs>
          <w:tab w:leader="none" w:pos="9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our right to transfer or assign the license; and</w:t>
      </w:r>
    </w:p>
    <w:p>
      <w:pPr>
        <w:spacing w:after="0" w:line="133" w:lineRule="exact"/>
        <w:rPr>
          <w:rFonts w:ascii="Arial" w:cs="Arial" w:eastAsia="Arial" w:hAnsi="Arial"/>
          <w:sz w:val="20"/>
          <w:szCs w:val="20"/>
          <w:color w:val="auto"/>
        </w:rPr>
      </w:pPr>
    </w:p>
    <w:p>
      <w:pPr>
        <w:ind w:left="900" w:right="720" w:hanging="281"/>
        <w:spacing w:after="0" w:line="277" w:lineRule="auto"/>
        <w:tabs>
          <w:tab w:leader="none" w:pos="9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ownership of inventions and know-how resulting from the joint creation or use of intellectual property by our licensors and us and our partners.</w:t>
      </w:r>
    </w:p>
    <w:p>
      <w:pPr>
        <w:spacing w:after="0" w:line="168" w:lineRule="exact"/>
        <w:rPr>
          <w:sz w:val="20"/>
          <w:szCs w:val="20"/>
          <w:color w:val="auto"/>
        </w:rPr>
      </w:pPr>
    </w:p>
    <w:p>
      <w:pPr>
        <w:ind w:right="120" w:firstLine="619"/>
        <w:spacing w:after="0" w:line="259" w:lineRule="auto"/>
        <w:rPr>
          <w:sz w:val="20"/>
          <w:szCs w:val="20"/>
          <w:color w:val="auto"/>
        </w:rPr>
      </w:pPr>
      <w:r>
        <w:rPr>
          <w:rFonts w:ascii="Times New Roman" w:cs="Times New Roman" w:eastAsia="Times New Roman" w:hAnsi="Times New Roman"/>
          <w:sz w:val="20"/>
          <w:szCs w:val="20"/>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186" w:lineRule="exact"/>
        <w:rPr>
          <w:sz w:val="20"/>
          <w:szCs w:val="20"/>
          <w:color w:val="auto"/>
        </w:rPr>
      </w:pPr>
    </w:p>
    <w:p>
      <w:pPr>
        <w:ind w:right="120" w:firstLine="619"/>
        <w:spacing w:after="0" w:line="252" w:lineRule="auto"/>
        <w:rPr>
          <w:sz w:val="20"/>
          <w:szCs w:val="20"/>
          <w:color w:val="auto"/>
        </w:rPr>
      </w:pPr>
      <w:r>
        <w:rPr>
          <w:rFonts w:ascii="Times New Roman" w:cs="Times New Roman" w:eastAsia="Times New Roman" w:hAnsi="Times New Roman"/>
          <w:sz w:val="20"/>
          <w:szCs w:val="20"/>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stock may be volatile, and you could lose all or part of your investment.</w:t>
      </w:r>
    </w:p>
    <w:p>
      <w:pPr>
        <w:spacing w:after="0" w:line="120" w:lineRule="exact"/>
        <w:rPr>
          <w:sz w:val="20"/>
          <w:szCs w:val="20"/>
          <w:color w:val="auto"/>
        </w:rPr>
      </w:pPr>
    </w:p>
    <w:p>
      <w:pPr>
        <w:ind w:right="40" w:firstLine="619"/>
        <w:spacing w:after="0" w:line="252" w:lineRule="auto"/>
        <w:rPr>
          <w:sz w:val="20"/>
          <w:szCs w:val="20"/>
          <w:color w:val="auto"/>
        </w:rPr>
      </w:pPr>
      <w:r>
        <w:rPr>
          <w:rFonts w:ascii="Times New Roman" w:cs="Times New Roman" w:eastAsia="Times New Roman" w:hAnsi="Times New Roman"/>
          <w:sz w:val="20"/>
          <w:szCs w:val="20"/>
          <w:color w:val="auto"/>
        </w:rPr>
        <w:t>The trading price of our common stock may be highly volatile and could be subject to wide fluctuations in response to various factors, some of which are beyond our control, including limited trading volume. In addition to the factors discussed in this “Risk Factors” section and elsewhere in this Annual Report on Form 10-K, these factors include:</w:t>
      </w:r>
    </w:p>
    <w:p>
      <w:pPr>
        <w:spacing w:after="0" w:line="89" w:lineRule="exact"/>
        <w:rPr>
          <w:sz w:val="20"/>
          <w:szCs w:val="20"/>
          <w:color w:val="auto"/>
        </w:rPr>
      </w:pPr>
    </w:p>
    <w:p>
      <w:pPr>
        <w:ind w:left="900" w:right="20" w:hanging="282"/>
        <w:spacing w:after="0" w:line="276" w:lineRule="auto"/>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our ongoing, planned or any future preclinical studies, clinical trials or clinical development programs;</w:t>
      </w:r>
    </w:p>
    <w:p>
      <w:pPr>
        <w:spacing w:after="0" w:line="64" w:lineRule="exact"/>
        <w:rPr>
          <w:rFonts w:ascii="Arial" w:cs="Arial" w:eastAsia="Arial" w:hAnsi="Arial"/>
          <w:sz w:val="20"/>
          <w:szCs w:val="20"/>
          <w:color w:val="auto"/>
        </w:rPr>
      </w:pPr>
    </w:p>
    <w:p>
      <w:pPr>
        <w:ind w:left="900" w:right="620" w:hanging="282"/>
        <w:spacing w:after="0" w:line="305" w:lineRule="auto"/>
        <w:tabs>
          <w:tab w:leader="none" w:pos="900" w:val="left"/>
        </w:tabs>
        <w:numPr>
          <w:ilvl w:val="0"/>
          <w:numId w:val="50"/>
        </w:numPr>
        <w:rPr>
          <w:rFonts w:ascii="Arial" w:cs="Arial" w:eastAsia="Arial" w:hAnsi="Arial"/>
          <w:sz w:val="19"/>
          <w:szCs w:val="19"/>
          <w:color w:val="auto"/>
        </w:rPr>
      </w:pPr>
      <w:r>
        <w:rPr>
          <w:rFonts w:ascii="Times New Roman" w:cs="Times New Roman" w:eastAsia="Times New Roman" w:hAnsi="Times New Roman"/>
          <w:sz w:val="19"/>
          <w:szCs w:val="19"/>
          <w:color w:val="auto"/>
        </w:rPr>
        <w:t>the commencement, enrollment, or results of clinical trials of our product candidates or any future clinical trials we may conduct, or changes in the development status of our product candidates;</w:t>
      </w:r>
    </w:p>
    <w:p>
      <w:pPr>
        <w:spacing w:after="0" w:line="37" w:lineRule="exact"/>
        <w:rPr>
          <w:rFonts w:ascii="Arial" w:cs="Arial" w:eastAsia="Arial" w:hAnsi="Arial"/>
          <w:sz w:val="19"/>
          <w:szCs w:val="19"/>
          <w:color w:val="auto"/>
        </w:rPr>
      </w:pPr>
    </w:p>
    <w:p>
      <w:pPr>
        <w:ind w:left="900" w:hanging="282"/>
        <w:spacing w:after="0"/>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adverse results or delays in preclinical studies and clinical trials;</w:t>
      </w:r>
    </w:p>
    <w:p>
      <w:pPr>
        <w:spacing w:after="0" w:line="133" w:lineRule="exact"/>
        <w:rPr>
          <w:rFonts w:ascii="Arial" w:cs="Arial" w:eastAsia="Arial" w:hAnsi="Arial"/>
          <w:sz w:val="20"/>
          <w:szCs w:val="20"/>
          <w:color w:val="auto"/>
        </w:rPr>
      </w:pPr>
    </w:p>
    <w:p>
      <w:pPr>
        <w:ind w:left="900" w:right="360" w:hanging="282"/>
        <w:spacing w:after="0" w:line="303" w:lineRule="auto"/>
        <w:tabs>
          <w:tab w:leader="none" w:pos="900" w:val="left"/>
        </w:tabs>
        <w:numPr>
          <w:ilvl w:val="0"/>
          <w:numId w:val="50"/>
        </w:numPr>
        <w:rPr>
          <w:rFonts w:ascii="Arial" w:cs="Arial" w:eastAsia="Arial" w:hAnsi="Arial"/>
          <w:sz w:val="19"/>
          <w:szCs w:val="19"/>
          <w:color w:val="auto"/>
        </w:rPr>
      </w:pPr>
      <w:r>
        <w:rPr>
          <w:rFonts w:ascii="Times New Roman" w:cs="Times New Roman" w:eastAsia="Times New Roman" w:hAnsi="Times New Roman"/>
          <w:sz w:val="19"/>
          <w:szCs w:val="19"/>
          <w:color w:val="auto"/>
        </w:rPr>
        <w:t>our decision to initiate a clinical trial, not to initiate a clinical trial, or to terminate an existing clinical trial, including due to the suspension of a clinical trial by the FDA or other regulatory authorities;</w:t>
      </w:r>
    </w:p>
    <w:p>
      <w:pPr>
        <w:spacing w:after="0" w:line="41" w:lineRule="exact"/>
        <w:rPr>
          <w:rFonts w:ascii="Arial" w:cs="Arial" w:eastAsia="Arial" w:hAnsi="Arial"/>
          <w:sz w:val="19"/>
          <w:szCs w:val="19"/>
          <w:color w:val="auto"/>
        </w:rPr>
      </w:pPr>
    </w:p>
    <w:p>
      <w:pPr>
        <w:ind w:left="900" w:right="600" w:hanging="282"/>
        <w:spacing w:after="0" w:line="277" w:lineRule="auto"/>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any delay in our regulatory filings or any adverse regulatory decisions, including failure to receive regulatory approval of our product candidates;</w:t>
      </w:r>
    </w:p>
    <w:p>
      <w:pPr>
        <w:spacing w:after="0" w:line="62" w:lineRule="exact"/>
        <w:rPr>
          <w:rFonts w:ascii="Arial" w:cs="Arial" w:eastAsia="Arial" w:hAnsi="Arial"/>
          <w:sz w:val="20"/>
          <w:szCs w:val="20"/>
          <w:color w:val="auto"/>
        </w:rPr>
      </w:pPr>
    </w:p>
    <w:p>
      <w:pPr>
        <w:ind w:left="900" w:right="620" w:hanging="282"/>
        <w:spacing w:after="0" w:line="277" w:lineRule="auto"/>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laws or regulations applicable to our products, including but not limited to clinical trial requirements for approvals;</w:t>
      </w:r>
    </w:p>
    <w:p>
      <w:pPr>
        <w:spacing w:after="0" w:line="63" w:lineRule="exact"/>
        <w:rPr>
          <w:rFonts w:ascii="Arial" w:cs="Arial" w:eastAsia="Arial" w:hAnsi="Arial"/>
          <w:sz w:val="20"/>
          <w:szCs w:val="20"/>
          <w:color w:val="auto"/>
        </w:rPr>
      </w:pPr>
    </w:p>
    <w:p>
      <w:pPr>
        <w:ind w:left="900" w:hanging="282"/>
        <w:spacing w:after="0"/>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adverse developments concerning our manufacturers or our manufacturing plans;</w:t>
      </w:r>
    </w:p>
    <w:p>
      <w:pPr>
        <w:spacing w:after="0" w:line="132" w:lineRule="exact"/>
        <w:rPr>
          <w:rFonts w:ascii="Arial" w:cs="Arial" w:eastAsia="Arial" w:hAnsi="Arial"/>
          <w:sz w:val="20"/>
          <w:szCs w:val="20"/>
          <w:color w:val="auto"/>
        </w:rPr>
      </w:pPr>
    </w:p>
    <w:p>
      <w:pPr>
        <w:ind w:left="900" w:right="20" w:hanging="282"/>
        <w:spacing w:after="0" w:line="277" w:lineRule="auto"/>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obtain adequate product supply for any licensed product or inability to do so at acceptable prices;</w:t>
      </w:r>
    </w:p>
    <w:p>
      <w:pPr>
        <w:spacing w:after="0" w:line="63" w:lineRule="exact"/>
        <w:rPr>
          <w:rFonts w:ascii="Arial" w:cs="Arial" w:eastAsia="Arial" w:hAnsi="Arial"/>
          <w:sz w:val="20"/>
          <w:szCs w:val="20"/>
          <w:color w:val="auto"/>
        </w:rPr>
      </w:pPr>
    </w:p>
    <w:p>
      <w:pPr>
        <w:ind w:left="900" w:hanging="282"/>
        <w:spacing w:after="0"/>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establish collaborations if needed;</w:t>
      </w:r>
    </w:p>
    <w:p>
      <w:pPr>
        <w:spacing w:after="0" w:line="132" w:lineRule="exact"/>
        <w:rPr>
          <w:rFonts w:ascii="Arial" w:cs="Arial" w:eastAsia="Arial" w:hAnsi="Arial"/>
          <w:sz w:val="20"/>
          <w:szCs w:val="20"/>
          <w:color w:val="auto"/>
        </w:rPr>
      </w:pPr>
    </w:p>
    <w:p>
      <w:pPr>
        <w:ind w:left="900" w:hanging="282"/>
        <w:spacing w:after="0"/>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commercialize our product candidates;</w:t>
      </w:r>
    </w:p>
    <w:p>
      <w:pPr>
        <w:spacing w:after="0" w:line="133" w:lineRule="exact"/>
        <w:rPr>
          <w:rFonts w:ascii="Arial" w:cs="Arial" w:eastAsia="Arial" w:hAnsi="Arial"/>
          <w:sz w:val="20"/>
          <w:szCs w:val="20"/>
          <w:color w:val="auto"/>
        </w:rPr>
      </w:pPr>
    </w:p>
    <w:p>
      <w:pPr>
        <w:ind w:left="900" w:hanging="282"/>
        <w:spacing w:after="0"/>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additions or departures of key scientific or management personnel;</w:t>
      </w:r>
    </w:p>
    <w:p>
      <w:pPr>
        <w:spacing w:after="0" w:line="132" w:lineRule="exact"/>
        <w:rPr>
          <w:rFonts w:ascii="Arial" w:cs="Arial" w:eastAsia="Arial" w:hAnsi="Arial"/>
          <w:sz w:val="20"/>
          <w:szCs w:val="20"/>
          <w:color w:val="auto"/>
        </w:rPr>
      </w:pPr>
    </w:p>
    <w:p>
      <w:pPr>
        <w:ind w:left="900" w:hanging="282"/>
        <w:spacing w:after="0"/>
        <w:tabs>
          <w:tab w:leader="none" w:pos="9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unanticipated serious safety concerns related to the use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1435" w:right="1440" w:bottom="175" w:gutter="0" w:footer="0" w:header="0"/>
        </w:sectPr>
      </w:pPr>
    </w:p>
    <w:bookmarkStart w:id="88" w:name="page89"/>
    <w:bookmarkEnd w:id="88"/>
    <w:p>
      <w:pPr>
        <w:ind w:left="900" w:hanging="281"/>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introduction of new products or services offered by us or our competitors;</w:t>
      </w:r>
    </w:p>
    <w:p>
      <w:pPr>
        <w:spacing w:after="0" w:line="132" w:lineRule="exact"/>
        <w:rPr>
          <w:rFonts w:ascii="Arial" w:cs="Arial" w:eastAsia="Arial" w:hAnsi="Arial"/>
          <w:sz w:val="20"/>
          <w:szCs w:val="20"/>
          <w:color w:val="auto"/>
        </w:rPr>
      </w:pPr>
    </w:p>
    <w:p>
      <w:pPr>
        <w:ind w:left="900" w:right="160" w:hanging="281"/>
        <w:spacing w:after="0" w:line="277" w:lineRule="auto"/>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significant acquisitions, strategic partnerships, joint ventures or capital commitments by us or our competitors;</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effectively manage our growth;</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size and growth of our initial cancer target markets;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treat additional types of cancers or at different stages;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variations in quarterly operating results;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our cash position;</w:t>
      </w:r>
    </w:p>
    <w:p>
      <w:pPr>
        <w:spacing w:after="0" w:line="133" w:lineRule="exact"/>
        <w:rPr>
          <w:rFonts w:ascii="Arial" w:cs="Arial" w:eastAsia="Arial" w:hAnsi="Arial"/>
          <w:sz w:val="20"/>
          <w:szCs w:val="20"/>
          <w:color w:val="auto"/>
        </w:rPr>
      </w:pPr>
    </w:p>
    <w:p>
      <w:pPr>
        <w:ind w:left="900" w:right="140" w:hanging="282"/>
        <w:spacing w:after="0" w:line="276" w:lineRule="auto"/>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meet the estimates and projections of the investment community or that we may otherwise provide to the public;</w:t>
      </w:r>
    </w:p>
    <w:p>
      <w:pPr>
        <w:spacing w:after="0" w:line="64" w:lineRule="exact"/>
        <w:rPr>
          <w:rFonts w:ascii="Arial" w:cs="Arial" w:eastAsia="Arial" w:hAnsi="Arial"/>
          <w:sz w:val="20"/>
          <w:szCs w:val="20"/>
          <w:color w:val="auto"/>
        </w:rPr>
      </w:pPr>
    </w:p>
    <w:p>
      <w:pPr>
        <w:ind w:left="900" w:right="300" w:hanging="282"/>
        <w:spacing w:after="0" w:line="276" w:lineRule="auto"/>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publication of research reports about us or our industry, or immunotherapy in particular, or positive or negative recommendations or withdrawal of research coverage by securities analysts;</w:t>
      </w:r>
    </w:p>
    <w:p>
      <w:pPr>
        <w:spacing w:after="0" w:line="64" w:lineRule="exact"/>
        <w:rPr>
          <w:rFonts w:ascii="Arial" w:cs="Arial" w:eastAsia="Arial" w:hAnsi="Arial"/>
          <w:sz w:val="20"/>
          <w:szCs w:val="20"/>
          <w:color w:val="auto"/>
        </w:rPr>
      </w:pPr>
    </w:p>
    <w:p>
      <w:pPr>
        <w:ind w:left="900" w:hanging="282"/>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market valuations of similar companies;</w:t>
      </w:r>
    </w:p>
    <w:p>
      <w:pPr>
        <w:spacing w:after="0" w:line="133" w:lineRule="exact"/>
        <w:rPr>
          <w:rFonts w:ascii="Arial" w:cs="Arial" w:eastAsia="Arial" w:hAnsi="Arial"/>
          <w:sz w:val="20"/>
          <w:szCs w:val="20"/>
          <w:color w:val="auto"/>
        </w:rPr>
      </w:pPr>
    </w:p>
    <w:p>
      <w:pPr>
        <w:ind w:left="900" w:hanging="282"/>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overall performance of the equity markets;</w:t>
      </w:r>
    </w:p>
    <w:p>
      <w:pPr>
        <w:spacing w:after="0" w:line="132" w:lineRule="exact"/>
        <w:rPr>
          <w:rFonts w:ascii="Arial" w:cs="Arial" w:eastAsia="Arial" w:hAnsi="Arial"/>
          <w:sz w:val="20"/>
          <w:szCs w:val="20"/>
          <w:color w:val="auto"/>
        </w:rPr>
      </w:pPr>
    </w:p>
    <w:p>
      <w:pPr>
        <w:ind w:left="900" w:hanging="282"/>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sales of our common stock by us or our stockholders in the future;</w:t>
      </w:r>
    </w:p>
    <w:p>
      <w:pPr>
        <w:spacing w:after="0" w:line="133" w:lineRule="exact"/>
        <w:rPr>
          <w:rFonts w:ascii="Arial" w:cs="Arial" w:eastAsia="Arial" w:hAnsi="Arial"/>
          <w:sz w:val="20"/>
          <w:szCs w:val="20"/>
          <w:color w:val="auto"/>
        </w:rPr>
      </w:pPr>
    </w:p>
    <w:p>
      <w:pPr>
        <w:ind w:left="900" w:hanging="282"/>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trading volume of our common stock;</w:t>
      </w:r>
    </w:p>
    <w:p>
      <w:pPr>
        <w:spacing w:after="0" w:line="133" w:lineRule="exact"/>
        <w:rPr>
          <w:rFonts w:ascii="Arial" w:cs="Arial" w:eastAsia="Arial" w:hAnsi="Arial"/>
          <w:sz w:val="20"/>
          <w:szCs w:val="20"/>
          <w:color w:val="auto"/>
        </w:rPr>
      </w:pPr>
    </w:p>
    <w:p>
      <w:pPr>
        <w:ind w:left="900" w:hanging="282"/>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accounting practices;</w:t>
      </w:r>
    </w:p>
    <w:p>
      <w:pPr>
        <w:spacing w:after="0" w:line="132" w:lineRule="exact"/>
        <w:rPr>
          <w:rFonts w:ascii="Arial" w:cs="Arial" w:eastAsia="Arial" w:hAnsi="Arial"/>
          <w:sz w:val="20"/>
          <w:szCs w:val="20"/>
          <w:color w:val="auto"/>
        </w:rPr>
      </w:pPr>
    </w:p>
    <w:p>
      <w:pPr>
        <w:ind w:left="900" w:hanging="282"/>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ineffectiveness of our internal controls;</w:t>
      </w:r>
    </w:p>
    <w:p>
      <w:pPr>
        <w:spacing w:after="0" w:line="133" w:lineRule="exact"/>
        <w:rPr>
          <w:rFonts w:ascii="Arial" w:cs="Arial" w:eastAsia="Arial" w:hAnsi="Arial"/>
          <w:sz w:val="20"/>
          <w:szCs w:val="20"/>
          <w:color w:val="auto"/>
        </w:rPr>
      </w:pPr>
    </w:p>
    <w:p>
      <w:pPr>
        <w:ind w:left="900" w:right="260" w:hanging="282"/>
        <w:spacing w:after="0" w:line="276" w:lineRule="auto"/>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disputes or other developments relating to intellectual property or proprietary rights, including patents, litigation matters and our ability to obtain patent protection for our technologies;</w:t>
      </w:r>
    </w:p>
    <w:p>
      <w:pPr>
        <w:spacing w:after="0" w:line="64" w:lineRule="exact"/>
        <w:rPr>
          <w:rFonts w:ascii="Arial" w:cs="Arial" w:eastAsia="Arial" w:hAnsi="Arial"/>
          <w:sz w:val="20"/>
          <w:szCs w:val="20"/>
          <w:color w:val="auto"/>
        </w:rPr>
      </w:pPr>
    </w:p>
    <w:p>
      <w:pPr>
        <w:ind w:left="900" w:hanging="282"/>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lawsuits, including intellectual property or stockholder litigation;</w:t>
      </w:r>
    </w:p>
    <w:p>
      <w:pPr>
        <w:spacing w:after="0" w:line="133" w:lineRule="exact"/>
        <w:rPr>
          <w:rFonts w:ascii="Arial" w:cs="Arial" w:eastAsia="Arial" w:hAnsi="Arial"/>
          <w:sz w:val="20"/>
          <w:szCs w:val="20"/>
          <w:color w:val="auto"/>
        </w:rPr>
      </w:pPr>
    </w:p>
    <w:p>
      <w:pPr>
        <w:ind w:left="900" w:hanging="282"/>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any natural disasters or public health emergencies;</w:t>
      </w:r>
    </w:p>
    <w:p>
      <w:pPr>
        <w:spacing w:after="0" w:line="132" w:lineRule="exact"/>
        <w:rPr>
          <w:rFonts w:ascii="Arial" w:cs="Arial" w:eastAsia="Arial" w:hAnsi="Arial"/>
          <w:sz w:val="20"/>
          <w:szCs w:val="20"/>
          <w:color w:val="auto"/>
        </w:rPr>
      </w:pPr>
    </w:p>
    <w:p>
      <w:pPr>
        <w:ind w:left="900" w:right="180" w:hanging="282"/>
        <w:spacing w:after="0" w:line="249" w:lineRule="auto"/>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political, industry and market conditions, including the Ukraine-Russia war and the conflict in the Middle East, the impact of other disruptions resulting from public health epidemics, macroeconomic events such as future changes in trade regulations, tariff structures, global supply chain challenges, elevated inflation and interest rates and monetary policy changes (including the impact of changes to U.S. federal income tax law), instability in the global banking system; and</w:t>
      </w:r>
    </w:p>
    <w:p>
      <w:pPr>
        <w:spacing w:after="0" w:line="90" w:lineRule="exact"/>
        <w:rPr>
          <w:rFonts w:ascii="Arial" w:cs="Arial" w:eastAsia="Arial" w:hAnsi="Arial"/>
          <w:sz w:val="20"/>
          <w:szCs w:val="20"/>
          <w:color w:val="auto"/>
        </w:rPr>
      </w:pPr>
    </w:p>
    <w:p>
      <w:pPr>
        <w:ind w:left="900" w:hanging="282"/>
        <w:spacing w:after="0"/>
        <w:tabs>
          <w:tab w:leader="none" w:pos="9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other events or factors, many of which are beyond our control.</w:t>
      </w:r>
    </w:p>
    <w:p>
      <w:pPr>
        <w:spacing w:after="0" w:line="239" w:lineRule="exact"/>
        <w:rPr>
          <w:sz w:val="20"/>
          <w:szCs w:val="20"/>
          <w:color w:val="auto"/>
        </w:rPr>
      </w:pPr>
    </w:p>
    <w:p>
      <w:pPr>
        <w:ind w:right="140" w:firstLine="619"/>
        <w:spacing w:after="0" w:line="278" w:lineRule="auto"/>
        <w:rPr>
          <w:sz w:val="20"/>
          <w:szCs w:val="20"/>
          <w:color w:val="auto"/>
        </w:rPr>
      </w:pPr>
      <w:r>
        <w:rPr>
          <w:rFonts w:ascii="Times New Roman" w:cs="Times New Roman" w:eastAsia="Times New Roman" w:hAnsi="Times New Roman"/>
          <w:sz w:val="20"/>
          <w:szCs w:val="20"/>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67" w:lineRule="exact"/>
        <w:rPr>
          <w:sz w:val="20"/>
          <w:szCs w:val="20"/>
          <w:color w:val="auto"/>
        </w:rPr>
      </w:pPr>
    </w:p>
    <w:p>
      <w:pPr>
        <w:ind w:right="100" w:firstLine="619"/>
        <w:spacing w:after="0" w:line="245" w:lineRule="auto"/>
        <w:rPr>
          <w:sz w:val="20"/>
          <w:szCs w:val="20"/>
          <w:color w:val="auto"/>
        </w:rPr>
      </w:pPr>
      <w:r>
        <w:rPr>
          <w:rFonts w:ascii="Times New Roman" w:cs="Times New Roman" w:eastAsia="Times New Roman" w:hAnsi="Times New Roman"/>
          <w:sz w:val="20"/>
          <w:szCs w:val="20"/>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addition,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1435" w:right="1440" w:bottom="175"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i w:val="1"/>
          <w:iCs w:val="1"/>
          <w:color w:val="auto"/>
        </w:rPr>
        <w:t>An active trading market for our common stock may not be sustained.</w:t>
      </w:r>
    </w:p>
    <w:p>
      <w:pPr>
        <w:spacing w:after="0" w:line="119" w:lineRule="exact"/>
        <w:rPr>
          <w:sz w:val="20"/>
          <w:szCs w:val="20"/>
          <w:color w:val="auto"/>
        </w:rPr>
      </w:pPr>
    </w:p>
    <w:p>
      <w:pPr>
        <w:ind w:right="180" w:firstLine="619"/>
        <w:spacing w:after="0" w:line="247" w:lineRule="auto"/>
        <w:rPr>
          <w:sz w:val="20"/>
          <w:szCs w:val="20"/>
          <w:color w:val="auto"/>
        </w:rPr>
      </w:pPr>
      <w:r>
        <w:rPr>
          <w:rFonts w:ascii="Times New Roman" w:cs="Times New Roman" w:eastAsia="Times New Roman" w:hAnsi="Times New Roman"/>
          <w:sz w:val="20"/>
          <w:szCs w:val="20"/>
          <w:color w:val="auto"/>
        </w:rPr>
        <w:t>Prior to the closing of our initial public offering in September 2020, there was no public trading market for our common stock. Although our common stock is listed on the Nasdaq Global Select Market, the market for our shares has demonstrated varying levels of trading activity. Furthermore, an active trading market for our common stock may not be sustained in the future. The lack of an active market may impair investors’ ability to sell their shares at the time they wish to sell them or at a price that they consider reasonable may reduce the market value of their shares and may impair our ability to raise capital.</w:t>
      </w:r>
    </w:p>
    <w:p>
      <w:pPr>
        <w:spacing w:after="0" w:line="320"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48" w:lineRule="exact"/>
        <w:rPr>
          <w:sz w:val="20"/>
          <w:szCs w:val="20"/>
          <w:color w:val="auto"/>
        </w:rPr>
      </w:pPr>
    </w:p>
    <w:p>
      <w:pPr>
        <w:ind w:right="120" w:firstLine="619"/>
        <w:spacing w:after="0" w:line="246" w:lineRule="auto"/>
        <w:rPr>
          <w:sz w:val="20"/>
          <w:szCs w:val="20"/>
          <w:color w:val="auto"/>
        </w:rPr>
      </w:pPr>
      <w:r>
        <w:rPr>
          <w:rFonts w:ascii="Times New Roman" w:cs="Times New Roman" w:eastAsia="Times New Roman" w:hAnsi="Times New Roman"/>
          <w:sz w:val="20"/>
          <w:szCs w:val="20"/>
          <w:color w:val="auto"/>
        </w:rPr>
        <w:t>The trading market for our common stock will be influenced by the research and reports that securities or industry analysts publish about us, our business or our market. We do not have any control over these analysts.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23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existing stockholders, restrict our operations or require us to relinquish rights to our technologies or product candidates.</w:t>
      </w:r>
    </w:p>
    <w:p>
      <w:pPr>
        <w:spacing w:after="0" w:line="49"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323"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Sales of a substantial number of shares of our common stock by our existing stockholders in the public market could cause our stock price to fall.</w:t>
      </w:r>
    </w:p>
    <w:p>
      <w:pPr>
        <w:spacing w:after="0" w:line="49" w:lineRule="exact"/>
        <w:rPr>
          <w:sz w:val="20"/>
          <w:szCs w:val="20"/>
          <w:color w:val="auto"/>
        </w:rPr>
      </w:pPr>
    </w:p>
    <w:p>
      <w:pPr>
        <w:jc w:val="both"/>
        <w:ind w:right="180" w:firstLine="619"/>
        <w:spacing w:after="0" w:line="258"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on our capital stock, so any returns will be limited to the value of our stock.</w:t>
      </w:r>
    </w:p>
    <w:p>
      <w:pPr>
        <w:spacing w:after="0" w:line="119"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1420" w:right="1440" w:bottom="175" w:gutter="0" w:footer="0" w:header="0"/>
        </w:sectPr>
      </w:pPr>
    </w:p>
    <w:bookmarkStart w:id="90" w:name="page91"/>
    <w:bookmarkEnd w:id="90"/>
    <w:p>
      <w:pPr>
        <w:ind w:right="6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69" w:lineRule="exact"/>
        <w:rPr>
          <w:sz w:val="20"/>
          <w:szCs w:val="20"/>
          <w:color w:val="auto"/>
        </w:rPr>
      </w:pPr>
    </w:p>
    <w:p>
      <w:pPr>
        <w:ind w:right="200" w:firstLine="619"/>
        <w:spacing w:after="0" w:line="258"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contain provisions that could delay or prevent a change of control of our company or changes in our board of directors that our stockholders might consider favorable. These provisions, among other things:</w:t>
      </w:r>
    </w:p>
    <w:p>
      <w:pPr>
        <w:spacing w:after="0" w:line="83" w:lineRule="exact"/>
        <w:rPr>
          <w:sz w:val="20"/>
          <w:szCs w:val="20"/>
          <w:color w:val="auto"/>
        </w:rPr>
      </w:pPr>
    </w:p>
    <w:p>
      <w:pPr>
        <w:ind w:left="900" w:hanging="281"/>
        <w:spacing w:after="0"/>
        <w:tabs>
          <w:tab w:leader="none" w:pos="9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 classified board of directors so that not all members of our board are elected at one time;</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permit only the board of directors to establish the number of directors and fill vacancies on the board;</w:t>
      </w:r>
    </w:p>
    <w:p>
      <w:pPr>
        <w:spacing w:after="0" w:line="133" w:lineRule="exact"/>
        <w:rPr>
          <w:rFonts w:ascii="Arial" w:cs="Arial" w:eastAsia="Arial" w:hAnsi="Arial"/>
          <w:sz w:val="20"/>
          <w:szCs w:val="20"/>
          <w:color w:val="auto"/>
        </w:rPr>
      </w:pPr>
    </w:p>
    <w:p>
      <w:pPr>
        <w:ind w:left="900" w:right="200" w:hanging="281"/>
        <w:spacing w:after="0" w:line="276" w:lineRule="auto"/>
        <w:tabs>
          <w:tab w:leader="none" w:pos="9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provide that directors may only be removed “for cause” and only with the approval of two-thirds of our stockholders;</w:t>
      </w:r>
    </w:p>
    <w:p>
      <w:pPr>
        <w:spacing w:after="0" w:line="64" w:lineRule="exact"/>
        <w:rPr>
          <w:rFonts w:ascii="Arial" w:cs="Arial" w:eastAsia="Arial" w:hAnsi="Arial"/>
          <w:sz w:val="20"/>
          <w:szCs w:val="20"/>
          <w:color w:val="auto"/>
        </w:rPr>
      </w:pPr>
    </w:p>
    <w:p>
      <w:pPr>
        <w:ind w:left="900" w:right="800" w:hanging="281"/>
        <w:spacing w:after="0" w:line="277" w:lineRule="auto"/>
        <w:tabs>
          <w:tab w:leader="none" w:pos="9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eliminate the ability of our stockholders to call special meetings of stockholders;</w:t>
      </w:r>
    </w:p>
    <w:p>
      <w:pPr>
        <w:spacing w:after="0" w:line="133" w:lineRule="exact"/>
        <w:rPr>
          <w:rFonts w:ascii="Arial" w:cs="Arial" w:eastAsia="Arial" w:hAnsi="Arial"/>
          <w:sz w:val="20"/>
          <w:szCs w:val="20"/>
          <w:color w:val="auto"/>
        </w:rPr>
      </w:pPr>
    </w:p>
    <w:p>
      <w:pPr>
        <w:ind w:left="900" w:right="380" w:hanging="281"/>
        <w:spacing w:after="0" w:line="277" w:lineRule="auto"/>
        <w:tabs>
          <w:tab w:leader="none" w:pos="9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prohibit stockholder action by written consent, which requires all stockholder actions to be taken at a meeting of our stockholders;</w:t>
      </w:r>
    </w:p>
    <w:p>
      <w:pPr>
        <w:spacing w:after="0" w:line="62" w:lineRule="exact"/>
        <w:rPr>
          <w:rFonts w:ascii="Arial" w:cs="Arial" w:eastAsia="Arial" w:hAnsi="Arial"/>
          <w:sz w:val="20"/>
          <w:szCs w:val="20"/>
          <w:color w:val="auto"/>
        </w:rPr>
      </w:pPr>
    </w:p>
    <w:p>
      <w:pPr>
        <w:ind w:left="900" w:hanging="281"/>
        <w:spacing w:after="0"/>
        <w:tabs>
          <w:tab w:leader="none" w:pos="9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prohibit cumulative voting;</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our board of directors to amend the bylaws;</w:t>
      </w:r>
    </w:p>
    <w:p>
      <w:pPr>
        <w:spacing w:after="0" w:line="132" w:lineRule="exact"/>
        <w:rPr>
          <w:rFonts w:ascii="Arial" w:cs="Arial" w:eastAsia="Arial" w:hAnsi="Arial"/>
          <w:sz w:val="20"/>
          <w:szCs w:val="20"/>
          <w:color w:val="auto"/>
        </w:rPr>
      </w:pPr>
    </w:p>
    <w:p>
      <w:pPr>
        <w:ind w:left="900" w:right="120" w:hanging="281"/>
        <w:spacing w:after="0" w:line="277" w:lineRule="auto"/>
        <w:tabs>
          <w:tab w:leader="none" w:pos="9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advance notice requirements for nominations for election to our board or for proposing matters that can be acted upon by stockholders at annual stockholder meetings; and</w:t>
      </w:r>
    </w:p>
    <w:p>
      <w:pPr>
        <w:spacing w:after="0" w:line="63" w:lineRule="exact"/>
        <w:rPr>
          <w:rFonts w:ascii="Arial" w:cs="Arial" w:eastAsia="Arial" w:hAnsi="Arial"/>
          <w:sz w:val="20"/>
          <w:szCs w:val="20"/>
          <w:color w:val="auto"/>
        </w:rPr>
      </w:pPr>
    </w:p>
    <w:p>
      <w:pPr>
        <w:ind w:left="900" w:hanging="282"/>
        <w:spacing w:after="0"/>
        <w:tabs>
          <w:tab w:leader="none" w:pos="9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require a super-majority vote of stockholders to amend some provisions described above.</w:t>
      </w:r>
    </w:p>
    <w:p>
      <w:pPr>
        <w:spacing w:after="0" w:line="238" w:lineRule="exact"/>
        <w:rPr>
          <w:sz w:val="20"/>
          <w:szCs w:val="20"/>
          <w:color w:val="auto"/>
        </w:rPr>
      </w:pPr>
    </w:p>
    <w:p>
      <w:pPr>
        <w:ind w:right="320" w:firstLine="619"/>
        <w:spacing w:after="0" w:line="249" w:lineRule="auto"/>
        <w:rPr>
          <w:sz w:val="20"/>
          <w:szCs w:val="20"/>
          <w:color w:val="auto"/>
        </w:rPr>
      </w:pPr>
      <w:r>
        <w:rPr>
          <w:rFonts w:ascii="Times New Roman" w:cs="Times New Roman" w:eastAsia="Times New Roman" w:hAnsi="Times New Roman"/>
          <w:sz w:val="20"/>
          <w:szCs w:val="20"/>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98" w:lineRule="exact"/>
        <w:rPr>
          <w:sz w:val="20"/>
          <w:szCs w:val="20"/>
          <w:color w:val="auto"/>
        </w:rPr>
      </w:pPr>
    </w:p>
    <w:p>
      <w:pPr>
        <w:ind w:right="340" w:firstLine="619"/>
        <w:spacing w:after="0" w:line="252" w:lineRule="auto"/>
        <w:rPr>
          <w:sz w:val="20"/>
          <w:szCs w:val="20"/>
          <w:color w:val="auto"/>
        </w:rPr>
      </w:pPr>
      <w:r>
        <w:rPr>
          <w:rFonts w:ascii="Times New Roman" w:cs="Times New Roman" w:eastAsia="Times New Roman" w:hAnsi="Times New Roman"/>
          <w:sz w:val="20"/>
          <w:szCs w:val="20"/>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31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5" w:lineRule="exact"/>
        <w:rPr>
          <w:sz w:val="20"/>
          <w:szCs w:val="20"/>
          <w:color w:val="auto"/>
        </w:rPr>
      </w:pPr>
    </w:p>
    <w:p>
      <w:pPr>
        <w:ind w:right="220" w:firstLine="619"/>
        <w:spacing w:after="0" w:line="246" w:lineRule="auto"/>
        <w:rPr>
          <w:sz w:val="20"/>
          <w:szCs w:val="20"/>
          <w:color w:val="auto"/>
        </w:rPr>
      </w:pPr>
      <w:r>
        <w:rPr>
          <w:rFonts w:ascii="Times New Roman" w:cs="Times New Roman" w:eastAsia="Times New Roman" w:hAnsi="Times New Roman"/>
          <w:sz w:val="20"/>
          <w:szCs w:val="20"/>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94" w:lineRule="exact"/>
        <w:rPr>
          <w:sz w:val="20"/>
          <w:szCs w:val="20"/>
          <w:color w:val="auto"/>
        </w:rPr>
      </w:pPr>
    </w:p>
    <w:p>
      <w:pPr>
        <w:ind w:left="900" w:hanging="282"/>
        <w:spacing w:after="0"/>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any derivative action or proceeding brought on our behalf;</w:t>
      </w:r>
    </w:p>
    <w:p>
      <w:pPr>
        <w:spacing w:after="0" w:line="133" w:lineRule="exact"/>
        <w:rPr>
          <w:rFonts w:ascii="Arial" w:cs="Arial" w:eastAsia="Arial" w:hAnsi="Arial"/>
          <w:sz w:val="20"/>
          <w:szCs w:val="20"/>
          <w:color w:val="auto"/>
        </w:rPr>
      </w:pPr>
    </w:p>
    <w:p>
      <w:pPr>
        <w:ind w:left="900" w:hanging="282"/>
        <w:spacing w:after="0"/>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any action asserting a claim of breach of fiduciary duty;</w:t>
      </w:r>
    </w:p>
    <w:p>
      <w:pPr>
        <w:spacing w:after="0" w:line="132" w:lineRule="exact"/>
        <w:rPr>
          <w:rFonts w:ascii="Arial" w:cs="Arial" w:eastAsia="Arial" w:hAnsi="Arial"/>
          <w:sz w:val="20"/>
          <w:szCs w:val="20"/>
          <w:color w:val="auto"/>
        </w:rPr>
      </w:pPr>
    </w:p>
    <w:p>
      <w:pPr>
        <w:ind w:left="900" w:right="200" w:hanging="282"/>
        <w:spacing w:after="0" w:line="277" w:lineRule="auto"/>
        <w:tabs>
          <w:tab w:leader="none" w:pos="9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any action asserting a claim against us arising under the DGCL, our amended and restated certificate of incorporation or our amended and restated bylaws;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1420" w:right="1440" w:bottom="175" w:gutter="0" w:footer="0" w:header="0"/>
        </w:sectPr>
      </w:pPr>
    </w:p>
    <w:bookmarkStart w:id="91" w:name="page92"/>
    <w:bookmarkEnd w:id="91"/>
    <w:p>
      <w:pPr>
        <w:ind w:left="900" w:hanging="281"/>
        <w:spacing w:after="0"/>
        <w:tabs>
          <w:tab w:leader="none" w:pos="9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any action asserting a claim against us that is governed by the internal affairs doctrine.</w:t>
      </w:r>
    </w:p>
    <w:p>
      <w:pPr>
        <w:spacing w:after="0" w:line="238" w:lineRule="exact"/>
        <w:rPr>
          <w:sz w:val="20"/>
          <w:szCs w:val="20"/>
          <w:color w:val="auto"/>
        </w:rPr>
      </w:pPr>
    </w:p>
    <w:p>
      <w:pPr>
        <w:ind w:right="80" w:firstLine="619"/>
        <w:spacing w:after="0" w:line="259" w:lineRule="auto"/>
        <w:rPr>
          <w:sz w:val="20"/>
          <w:szCs w:val="20"/>
          <w:color w:val="auto"/>
        </w:rPr>
      </w:pPr>
      <w:r>
        <w:rPr>
          <w:rFonts w:ascii="Times New Roman" w:cs="Times New Roman" w:eastAsia="Times New Roman" w:hAnsi="Times New Roman"/>
          <w:sz w:val="20"/>
          <w:szCs w:val="20"/>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186" w:lineRule="exact"/>
        <w:rPr>
          <w:sz w:val="20"/>
          <w:szCs w:val="20"/>
          <w:color w:val="auto"/>
        </w:rPr>
      </w:pPr>
    </w:p>
    <w:p>
      <w:pPr>
        <w:ind w:right="320" w:firstLine="619"/>
        <w:spacing w:after="0" w:line="252" w:lineRule="auto"/>
        <w:rPr>
          <w:sz w:val="20"/>
          <w:szCs w:val="20"/>
          <w:color w:val="auto"/>
        </w:rPr>
      </w:pPr>
      <w:r>
        <w:rPr>
          <w:rFonts w:ascii="Times New Roman" w:cs="Times New Roman" w:eastAsia="Times New Roman" w:hAnsi="Times New Roman"/>
          <w:sz w:val="20"/>
          <w:szCs w:val="20"/>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195"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326"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74"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9"/>
          <w:szCs w:val="19"/>
          <w:color w:val="auto"/>
        </w:rPr>
        <w:t>We are subject to Section 404 of the Sarbanes-Oxley Act and the related rules of the SEC and Nasdaq, which, among other things, require that we maintain effective internal control over financial reporting. In addition, Section 404 requires our management to report on the effectiveness of our internal control over financial reporting. We are also required to disclose changes made in our internal controls and procedures on a quarterly basis.</w:t>
      </w:r>
    </w:p>
    <w:p>
      <w:pPr>
        <w:spacing w:after="0" w:line="177"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The requirements of these rules and regulations are difficult, time-consuming and costly, and place significant strain on our personnel, systems and resources. Effective internal controls over financial reporting are necessary for us to provide reliable financial reports and, together with adequate disclosure controls and procedures, are designed to prevent fraud. In order to maintain and improve the effectiveness of our disclosure controls and procedures and internal control over financial reporting, we have expended and anticipate we will continue to expend significant resources, including accounting-related costs, and provide significant management oversight. Any failure to implement required new or improved controls, or difficulties encountered in their implementation could cause us to fail to meet our reporting obligations. In addition, if we are unable to continue to meet these requirements, we may not be able to remain listed on the Nasdaq Global Select Market.</w:t>
      </w:r>
    </w:p>
    <w:p>
      <w:pPr>
        <w:spacing w:after="0" w:line="206"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0"/>
          <w:szCs w:val="20"/>
          <w:color w:val="auto"/>
        </w:rPr>
        <w:t>Any testing by us conducted in connection with Section 404, or any subsequent testing,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 internal controls over financial reporting could lead to restatements of our financial statements and require us to incur the expense of remediation.</w:t>
      </w:r>
    </w:p>
    <w:p>
      <w:pPr>
        <w:spacing w:after="0" w:line="19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20"/>
          <w:szCs w:val="20"/>
          <w:color w:val="auto"/>
        </w:rPr>
        <w:t>If we are unable to assert that our internal control over financial reporting is effective, we could lose investor confidence in the accuracy and completeness of our financial reports, which would cause the price of our common stock to decline, and we may be subject to investigation or sanctions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1435" w:right="1440" w:bottom="175"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i w:val="1"/>
          <w:iCs w:val="1"/>
          <w:color w:val="auto"/>
        </w:rPr>
        <w:t>Our disclosure controls and procedures may not prevent or detect all errors or acts of fraud.</w:t>
      </w:r>
    </w:p>
    <w:p>
      <w:pPr>
        <w:spacing w:after="0" w:line="119"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00"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20"/>
          <w:szCs w:val="20"/>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17" w:lineRule="exact"/>
        <w:rPr>
          <w:sz w:val="20"/>
          <w:szCs w:val="20"/>
          <w:color w:val="auto"/>
        </w:rPr>
      </w:pPr>
    </w:p>
    <w:p>
      <w:pPr>
        <w:ind w:right="8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increased risk of securities class action litigation, which is expensive and could divert management attention.</w:t>
      </w:r>
    </w:p>
    <w:p>
      <w:pPr>
        <w:spacing w:after="0" w:line="48" w:lineRule="exact"/>
        <w:rPr>
          <w:sz w:val="20"/>
          <w:szCs w:val="20"/>
          <w:color w:val="auto"/>
        </w:rPr>
      </w:pPr>
    </w:p>
    <w:p>
      <w:pPr>
        <w:ind w:right="320" w:firstLine="619"/>
        <w:spacing w:after="0" w:line="247" w:lineRule="auto"/>
        <w:rPr>
          <w:sz w:val="20"/>
          <w:szCs w:val="20"/>
          <w:color w:val="auto"/>
        </w:rPr>
      </w:pPr>
      <w:r>
        <w:rPr>
          <w:rFonts w:ascii="Times New Roman" w:cs="Times New Roman" w:eastAsia="Times New Roman" w:hAnsi="Times New Roman"/>
          <w:sz w:val="20"/>
          <w:szCs w:val="20"/>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32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may fluctuate significantly, which makes our future operating results difficult to predict and could cause our operating results to fall below expectations.</w:t>
      </w:r>
    </w:p>
    <w:p>
      <w:pPr>
        <w:spacing w:after="0" w:line="49"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200"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our underlying stock price and stock price volatility, the magnitude of the expense that we must recognize may vary significantly.</w:t>
      </w:r>
    </w:p>
    <w:p>
      <w:pPr>
        <w:spacing w:after="0" w:line="197" w:lineRule="exact"/>
        <w:rPr>
          <w:sz w:val="20"/>
          <w:szCs w:val="20"/>
          <w:color w:val="auto"/>
        </w:rPr>
      </w:pPr>
    </w:p>
    <w:p>
      <w:pPr>
        <w:ind w:right="60" w:firstLine="619"/>
        <w:spacing w:after="0" w:line="278" w:lineRule="auto"/>
        <w:rPr>
          <w:sz w:val="20"/>
          <w:szCs w:val="20"/>
          <w:color w:val="auto"/>
        </w:rPr>
      </w:pPr>
      <w:r>
        <w:rPr>
          <w:rFonts w:ascii="Times New Roman" w:cs="Times New Roman" w:eastAsia="Times New Roman" w:hAnsi="Times New Roman"/>
          <w:sz w:val="20"/>
          <w:szCs w:val="20"/>
          <w:color w:val="auto"/>
        </w:rPr>
        <w:t>Furthermore, our operating results may fluctuate due to a variety of other factors, many of which are outside of our control and may be difficult to predict, including the following:</w:t>
      </w:r>
    </w:p>
    <w:p>
      <w:pPr>
        <w:spacing w:after="0" w:line="61" w:lineRule="exact"/>
        <w:rPr>
          <w:sz w:val="20"/>
          <w:szCs w:val="20"/>
          <w:color w:val="auto"/>
        </w:rPr>
      </w:pPr>
    </w:p>
    <w:p>
      <w:pPr>
        <w:ind w:left="900" w:right="300" w:hanging="281"/>
        <w:spacing w:after="0" w:line="259" w:lineRule="auto"/>
        <w:tabs>
          <w:tab w:leader="none" w:pos="90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78" w:lineRule="exact"/>
        <w:rPr>
          <w:rFonts w:ascii="Arial" w:cs="Arial" w:eastAsia="Arial" w:hAnsi="Arial"/>
          <w:sz w:val="20"/>
          <w:szCs w:val="20"/>
          <w:color w:val="auto"/>
        </w:rPr>
      </w:pPr>
    </w:p>
    <w:p>
      <w:pPr>
        <w:ind w:left="900" w:hanging="281"/>
        <w:spacing w:after="0"/>
        <w:tabs>
          <w:tab w:leader="none" w:pos="90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enroll patients in clinical trials and the timing of enrollment;</w:t>
      </w:r>
    </w:p>
    <w:p>
      <w:pPr>
        <w:spacing w:after="0" w:line="133" w:lineRule="exact"/>
        <w:rPr>
          <w:rFonts w:ascii="Arial" w:cs="Arial" w:eastAsia="Arial" w:hAnsi="Arial"/>
          <w:sz w:val="20"/>
          <w:szCs w:val="20"/>
          <w:color w:val="auto"/>
        </w:rPr>
      </w:pPr>
    </w:p>
    <w:p>
      <w:pPr>
        <w:jc w:val="both"/>
        <w:ind w:left="900" w:right="180" w:hanging="281"/>
        <w:spacing w:after="0" w:line="258" w:lineRule="auto"/>
        <w:tabs>
          <w:tab w:leader="none" w:pos="90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81" w:lineRule="exact"/>
        <w:rPr>
          <w:rFonts w:ascii="Arial" w:cs="Arial" w:eastAsia="Arial" w:hAnsi="Arial"/>
          <w:sz w:val="20"/>
          <w:szCs w:val="20"/>
          <w:color w:val="auto"/>
        </w:rPr>
      </w:pPr>
    </w:p>
    <w:p>
      <w:pPr>
        <w:ind w:left="900" w:right="880" w:hanging="281"/>
        <w:spacing w:after="0" w:line="276" w:lineRule="auto"/>
        <w:tabs>
          <w:tab w:leader="none" w:pos="900" w:val="left"/>
        </w:tabs>
        <w:numPr>
          <w:ilvl w:val="0"/>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expenditures that we will or may incur to acquire or develop additional product candidates and technologies or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1420" w:right="1440" w:bottom="175" w:gutter="0" w:footer="0" w:header="0"/>
        </w:sectPr>
      </w:pPr>
    </w:p>
    <w:bookmarkStart w:id="93" w:name="page94"/>
    <w:bookmarkEnd w:id="93"/>
    <w:p>
      <w:pPr>
        <w:ind w:left="900" w:right="680" w:hanging="281"/>
        <w:spacing w:after="0" w:line="276" w:lineRule="auto"/>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outcomes of clinical trials for our future product candidates, or competing product candidates;</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need to conduct unanticipated clinical trials or trials that are larger or more complex than anticipated;</w:t>
      </w:r>
    </w:p>
    <w:p>
      <w:pPr>
        <w:spacing w:after="0" w:line="132" w:lineRule="exact"/>
        <w:rPr>
          <w:rFonts w:ascii="Arial" w:cs="Arial" w:eastAsia="Arial" w:hAnsi="Arial"/>
          <w:sz w:val="20"/>
          <w:szCs w:val="20"/>
          <w:color w:val="auto"/>
        </w:rPr>
      </w:pPr>
    </w:p>
    <w:p>
      <w:pPr>
        <w:ind w:left="900" w:hanging="281"/>
        <w:spacing w:after="0" w:line="259" w:lineRule="auto"/>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78" w:lineRule="exact"/>
        <w:rPr>
          <w:rFonts w:ascii="Arial" w:cs="Arial" w:eastAsia="Arial" w:hAnsi="Arial"/>
          <w:sz w:val="20"/>
          <w:szCs w:val="20"/>
          <w:color w:val="auto"/>
        </w:rPr>
      </w:pPr>
    </w:p>
    <w:p>
      <w:pPr>
        <w:ind w:left="900" w:hanging="281"/>
        <w:spacing w:after="0"/>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any delays in regulatory review or approval of our product candidates;</w:t>
      </w:r>
    </w:p>
    <w:p>
      <w:pPr>
        <w:spacing w:after="0" w:line="133" w:lineRule="exact"/>
        <w:rPr>
          <w:rFonts w:ascii="Arial" w:cs="Arial" w:eastAsia="Arial" w:hAnsi="Arial"/>
          <w:sz w:val="20"/>
          <w:szCs w:val="20"/>
          <w:color w:val="auto"/>
        </w:rPr>
      </w:pPr>
    </w:p>
    <w:p>
      <w:pPr>
        <w:ind w:left="900" w:right="60" w:hanging="281"/>
        <w:spacing w:after="0" w:line="277" w:lineRule="auto"/>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demand for our future product candidates, if approved, which may fluctuate significantly and be difficult to predict;</w:t>
      </w:r>
    </w:p>
    <w:p>
      <w:pPr>
        <w:spacing w:after="0" w:line="62" w:lineRule="exact"/>
        <w:rPr>
          <w:rFonts w:ascii="Arial" w:cs="Arial" w:eastAsia="Arial" w:hAnsi="Arial"/>
          <w:sz w:val="20"/>
          <w:szCs w:val="20"/>
          <w:color w:val="auto"/>
        </w:rPr>
      </w:pPr>
    </w:p>
    <w:p>
      <w:pPr>
        <w:ind w:left="900" w:right="680" w:hanging="281"/>
        <w:spacing w:after="0" w:line="277" w:lineRule="auto"/>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risk/benefit profile, cost and reimbursement policies with respect to our product candidates, if approved, and existing and potential future products that compete with our product candidates;</w:t>
      </w:r>
    </w:p>
    <w:p>
      <w:pPr>
        <w:spacing w:after="0" w:line="63" w:lineRule="exact"/>
        <w:rPr>
          <w:rFonts w:ascii="Arial" w:cs="Arial" w:eastAsia="Arial" w:hAnsi="Arial"/>
          <w:sz w:val="20"/>
          <w:szCs w:val="20"/>
          <w:color w:val="auto"/>
        </w:rPr>
      </w:pPr>
    </w:p>
    <w:p>
      <w:pPr>
        <w:ind w:left="900" w:right="80" w:hanging="281"/>
        <w:spacing w:after="0" w:line="276" w:lineRule="auto"/>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commercialize our product candidates, if approved, inside and outside of the United States, either independently or working with third parties;</w:t>
      </w:r>
    </w:p>
    <w:p>
      <w:pPr>
        <w:spacing w:after="0" w:line="64" w:lineRule="exact"/>
        <w:rPr>
          <w:rFonts w:ascii="Arial" w:cs="Arial" w:eastAsia="Arial" w:hAnsi="Arial"/>
          <w:sz w:val="20"/>
          <w:szCs w:val="20"/>
          <w:color w:val="auto"/>
        </w:rPr>
      </w:pPr>
    </w:p>
    <w:p>
      <w:pPr>
        <w:ind w:left="900" w:hanging="281"/>
        <w:spacing w:after="0"/>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future collaborations, licensing or other arrangements;</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adequately support future growth;</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unforeseen business disruptions that increase our costs or expenses;</w:t>
      </w:r>
    </w:p>
    <w:p>
      <w:pPr>
        <w:spacing w:after="0" w:line="133" w:lineRule="exact"/>
        <w:rPr>
          <w:rFonts w:ascii="Arial" w:cs="Arial" w:eastAsia="Arial" w:hAnsi="Arial"/>
          <w:sz w:val="20"/>
          <w:szCs w:val="20"/>
          <w:color w:val="auto"/>
        </w:rPr>
      </w:pPr>
    </w:p>
    <w:p>
      <w:pPr>
        <w:ind w:left="900" w:hanging="281"/>
        <w:spacing w:after="0"/>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future accounting pronouncements or changes in our accounting policies; and</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changing and volatile global economic and political environment.</w:t>
      </w:r>
    </w:p>
    <w:p>
      <w:pPr>
        <w:spacing w:after="0" w:line="239" w:lineRule="exact"/>
        <w:rPr>
          <w:sz w:val="20"/>
          <w:szCs w:val="20"/>
          <w:color w:val="auto"/>
        </w:rPr>
      </w:pPr>
    </w:p>
    <w:p>
      <w:pPr>
        <w:ind w:right="100" w:firstLine="619"/>
        <w:spacing w:after="0" w:line="245" w:lineRule="auto"/>
        <w:rPr>
          <w:sz w:val="20"/>
          <w:szCs w:val="20"/>
          <w:color w:val="auto"/>
        </w:rPr>
      </w:pPr>
      <w:r>
        <w:rPr>
          <w:rFonts w:ascii="Times New Roman" w:cs="Times New Roman" w:eastAsia="Times New Roman" w:hAnsi="Times New Roman"/>
          <w:sz w:val="20"/>
          <w:szCs w:val="20"/>
          <w:color w:val="auto"/>
        </w:rPr>
        <w:t>The cumulative effect of these factors could result in large fluctuations and unpredictability in our quarterly and annual operating results. As a result, comparing our operating results on a period- 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123" w:lineRule="exact"/>
        <w:rPr>
          <w:sz w:val="20"/>
          <w:szCs w:val="20"/>
          <w:color w:val="auto"/>
        </w:rPr>
      </w:pPr>
    </w:p>
    <w:p>
      <w:pPr>
        <w:ind w:right="500" w:firstLine="619"/>
        <w:spacing w:after="0" w:line="249" w:lineRule="auto"/>
        <w:rPr>
          <w:sz w:val="20"/>
          <w:szCs w:val="20"/>
          <w:color w:val="auto"/>
        </w:rPr>
      </w:pPr>
      <w:r>
        <w:rPr>
          <w:rFonts w:ascii="Times New Roman" w:cs="Times New Roman" w:eastAsia="Times New Roman" w:hAnsi="Times New Roman"/>
          <w:sz w:val="20"/>
          <w:szCs w:val="20"/>
          <w:color w:val="auto"/>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197"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0"/>
          <w:szCs w:val="20"/>
          <w:color w:val="auto"/>
        </w:rPr>
        <w:t>We conduct periodic risk assessments to identify cybersecurity threats and assessments in the event of a material change in our business practices that may affect information systems that are vulnerable to such cybersecurity threats. These risk assessments include the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97" w:lineRule="exact"/>
        <w:rPr>
          <w:sz w:val="20"/>
          <w:szCs w:val="20"/>
          <w:color w:val="auto"/>
        </w:rPr>
      </w:pPr>
    </w:p>
    <w:p>
      <w:pPr>
        <w:ind w:right="60" w:firstLine="619"/>
        <w:spacing w:after="0" w:line="278" w:lineRule="auto"/>
        <w:rPr>
          <w:sz w:val="20"/>
          <w:szCs w:val="20"/>
          <w:color w:val="auto"/>
        </w:rPr>
      </w:pPr>
      <w:r>
        <w:rPr>
          <w:rFonts w:ascii="Times New Roman" w:cs="Times New Roman" w:eastAsia="Times New Roman" w:hAnsi="Times New Roman"/>
          <w:sz w:val="20"/>
          <w:szCs w:val="20"/>
          <w:color w:val="auto"/>
        </w:rPr>
        <w:t>Following these risk assessments, we re-design, implement, and maintain reasonable safeguards to minimize identified risks, reasonably address any identified gaps in existing safeguards, and regularly monitor the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1435" w:right="1440" w:bottom="175" w:gutter="0" w:footer="0" w:header="0"/>
        </w:sectPr>
      </w:pPr>
    </w:p>
    <w:bookmarkStart w:id="94" w:name="page95"/>
    <w:bookmarkEnd w:id="94"/>
    <w:p>
      <w:pPr>
        <w:jc w:val="both"/>
        <w:ind w:right="160"/>
        <w:spacing w:after="0" w:line="258" w:lineRule="auto"/>
        <w:rPr>
          <w:sz w:val="20"/>
          <w:szCs w:val="20"/>
          <w:color w:val="auto"/>
        </w:rPr>
      </w:pPr>
      <w:r>
        <w:rPr>
          <w:rFonts w:ascii="Times New Roman" w:cs="Times New Roman" w:eastAsia="Times New Roman" w:hAnsi="Times New Roman"/>
          <w:sz w:val="20"/>
          <w:szCs w:val="20"/>
          <w:color w:val="auto"/>
        </w:rPr>
        <w:t>effectiveness of our safeguards. We devote significant resources and designate high-level personnel, including our VP of Information Technology, who reports to our General Counsel &amp; Chief Operating Officer, to manage the risk assessment and mitigation process.</w:t>
      </w:r>
    </w:p>
    <w:p>
      <w:pPr>
        <w:spacing w:after="0" w:line="188" w:lineRule="exact"/>
        <w:rPr>
          <w:sz w:val="20"/>
          <w:szCs w:val="20"/>
          <w:color w:val="auto"/>
        </w:rPr>
      </w:pPr>
    </w:p>
    <w:p>
      <w:pPr>
        <w:ind w:right="100" w:firstLine="619"/>
        <w:spacing w:after="0" w:line="249" w:lineRule="auto"/>
        <w:rPr>
          <w:sz w:val="20"/>
          <w:szCs w:val="20"/>
          <w:color w:val="auto"/>
        </w:rPr>
      </w:pPr>
      <w:r>
        <w:rPr>
          <w:rFonts w:ascii="Times New Roman" w:cs="Times New Roman" w:eastAsia="Times New Roman" w:hAnsi="Times New Roman"/>
          <w:sz w:val="20"/>
          <w:szCs w:val="20"/>
          <w:color w:val="auto"/>
        </w:rPr>
        <w:t>As part of our overall risk management system, we monitor and test our safeguards and train our employees on these safeguards in collaboration with management. Personnel at all levels and departments know our cybersecurity policies through training. Random attack simulations are conducted monthly to familiarize all personnel with various phishing methods with positive reinforcement on identifying and reporting suspicious content to the IT Department.</w:t>
      </w:r>
    </w:p>
    <w:p>
      <w:pPr>
        <w:spacing w:after="0" w:line="197"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auto"/>
        </w:rPr>
        <w:t>We engage third parties like a penetration testing firm and our managed service provider in connection with our risk assessment processes. These service providers assist us in identifying vulnerabilities to design and implement, suggesting remediation of our cybersecurity policies and procedures, as well as monitor and test our safeguards. We require each third-party service provider to implement and maintain reasonable security measures in connection with their work with us, and to promptly report any suspected breach of its security measures that may affect our company.</w:t>
      </w:r>
    </w:p>
    <w:p>
      <w:pPr>
        <w:spacing w:after="0" w:line="200"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22" w:lineRule="exact"/>
        <w:rPr>
          <w:sz w:val="20"/>
          <w:szCs w:val="20"/>
          <w:color w:val="auto"/>
        </w:rPr>
      </w:pPr>
    </w:p>
    <w:p>
      <w:pPr>
        <w:ind w:right="320" w:firstLine="619"/>
        <w:spacing w:after="0" w:line="252" w:lineRule="auto"/>
        <w:rPr>
          <w:sz w:val="20"/>
          <w:szCs w:val="20"/>
          <w:color w:val="auto"/>
        </w:rPr>
      </w:pPr>
      <w:r>
        <w:rPr>
          <w:rFonts w:ascii="Times New Roman" w:cs="Times New Roman" w:eastAsia="Times New Roman" w:hAnsi="Times New Roman"/>
          <w:sz w:val="20"/>
          <w:szCs w:val="20"/>
          <w:color w:val="auto"/>
        </w:rPr>
        <w:t>One of the key functions of our board of directors is oversight of our risk management process, including risks from cybersecurity threats. Our board of directors is responsible for monitoring and assessing strategic risk exposure, and our executive officers manage the material risks we face. Our board of directors administers its cybersecurity risk oversight function directly as a whole and through the audit committee.</w:t>
      </w:r>
    </w:p>
    <w:p>
      <w:pPr>
        <w:spacing w:after="0" w:line="195"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20"/>
          <w:szCs w:val="20"/>
          <w:color w:val="auto"/>
        </w:rPr>
        <w:t>Our VP of Information Technology, and our management committee on cybersecurity, which includes our audit committee, are primarily responsible for assessing and managing our material risks from cybersecurity threats. The VP of Information Technology has twenty years of experience in IT on-premise and cloud infrastructure, enterprise applications, and operations across large and mid-size life science companies with a focus on IT controls for compliance and security.</w:t>
      </w:r>
    </w:p>
    <w:p>
      <w:pPr>
        <w:spacing w:after="0" w:line="197"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auto"/>
        </w:rPr>
        <w:t>Our VP of Information Technology oversees our cybersecurity policies and processes, including those described in “Risk Management and Strategy” above. The processes by which our VP of Information Technology or department designee are informed about and monitor the prevention, detection, mitigation and remediation of cybersecurity incidents include weekly assessments for all endpoints and real-time notifications from security solutions, which include a combination of cloud and client-based applications.</w:t>
      </w:r>
    </w:p>
    <w:p>
      <w:pPr>
        <w:spacing w:after="0" w:line="198"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20"/>
          <w:szCs w:val="20"/>
          <w:color w:val="auto"/>
        </w:rPr>
        <w:t>Our VP of Information Technology provides annual briefings to the audit committee regarding our cybersecurity risks and activities, including any recent cybersecurity incidents and related responses, cybersecurity systems testing, activities of third parties, and the like. Our audit committee provides regular updates to the board of directors on such reports. In addition, our VP of Information Technology or department designee provides annual briefings to the board of directors on cybersecurity risks and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360"/>
          </w:cols>
          <w:pgMar w:left="1440" w:top="1420" w:right="1440" w:bottom="175"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3" w:lineRule="exact"/>
        <w:rPr>
          <w:sz w:val="20"/>
          <w:szCs w:val="20"/>
          <w:color w:val="auto"/>
        </w:rPr>
      </w:pPr>
    </w:p>
    <w:p>
      <w:pPr>
        <w:ind w:right="40" w:firstLine="619"/>
        <w:spacing w:after="0" w:line="278" w:lineRule="auto"/>
        <w:rPr>
          <w:sz w:val="20"/>
          <w:szCs w:val="20"/>
          <w:color w:val="auto"/>
        </w:rPr>
      </w:pPr>
      <w:r>
        <w:rPr>
          <w:rFonts w:ascii="Times New Roman" w:cs="Times New Roman" w:eastAsia="Times New Roman" w:hAnsi="Times New Roman"/>
          <w:sz w:val="20"/>
          <w:szCs w:val="20"/>
          <w:color w:val="auto"/>
        </w:rPr>
        <w:t>Our corporate headquarters is located at 400 Alexander Park Drive, Suite 301, Princeton, New Jersey 08540, where we sublease 14,201 square feet of office space. This lease term extends through February 2027.</w:t>
      </w:r>
    </w:p>
    <w:p>
      <w:pPr>
        <w:spacing w:after="0" w:line="168" w:lineRule="exact"/>
        <w:rPr>
          <w:sz w:val="20"/>
          <w:szCs w:val="20"/>
          <w:color w:val="auto"/>
        </w:rPr>
      </w:pPr>
    </w:p>
    <w:p>
      <w:pPr>
        <w:jc w:val="both"/>
        <w:ind w:right="760" w:firstLine="619"/>
        <w:spacing w:after="0" w:line="277" w:lineRule="auto"/>
        <w:rPr>
          <w:sz w:val="20"/>
          <w:szCs w:val="20"/>
          <w:color w:val="auto"/>
        </w:rPr>
      </w:pPr>
      <w:r>
        <w:rPr>
          <w:rFonts w:ascii="Times New Roman" w:cs="Times New Roman" w:eastAsia="Times New Roman" w:hAnsi="Times New Roman"/>
          <w:sz w:val="20"/>
          <w:szCs w:val="20"/>
          <w:color w:val="auto"/>
        </w:rPr>
        <w:t>We also sublease 3,205 square feet of laboratory space located at 311 Pennington Rocky Hill Road, Hopewell, New Jersey 08534. This lease term extends through 2029, and has a three-year extension option.</w:t>
      </w:r>
    </w:p>
    <w:p>
      <w:pPr>
        <w:spacing w:after="0" w:line="169" w:lineRule="exact"/>
        <w:rPr>
          <w:sz w:val="20"/>
          <w:szCs w:val="20"/>
          <w:color w:val="auto"/>
        </w:rPr>
      </w:pPr>
    </w:p>
    <w:p>
      <w:pPr>
        <w:ind w:right="160" w:firstLine="619"/>
        <w:spacing w:after="0" w:line="258" w:lineRule="auto"/>
        <w:rPr>
          <w:sz w:val="20"/>
          <w:szCs w:val="20"/>
          <w:color w:val="auto"/>
        </w:rPr>
      </w:pPr>
      <w:r>
        <w:rPr>
          <w:rFonts w:ascii="Times New Roman" w:cs="Times New Roman" w:eastAsia="Times New Roman" w:hAnsi="Times New Roman"/>
          <w:sz w:val="20"/>
          <w:szCs w:val="20"/>
          <w:color w:val="auto"/>
        </w:rPr>
        <w:t>We believe that our current facilities are suitable and adequate for our current and near term conduct of our business operations and that suitable additional or substitute space at commercially reasonable terms will be available as needed to accommodate any future expansion of our operations.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5" w:lineRule="exact"/>
        <w:rPr>
          <w:sz w:val="20"/>
          <w:szCs w:val="20"/>
          <w:color w:val="auto"/>
        </w:rPr>
      </w:pPr>
    </w:p>
    <w:p>
      <w:pPr>
        <w:ind w:right="300" w:firstLine="619"/>
        <w:spacing w:after="0" w:line="246"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arising in the ordinary course of our business. As of March 6, 2026, we were not a party to any legal matters or claims that, in the opinion of management, are likely to have a material effect on our business. In the future, we may become party to legal matters and claims in the ordinary course of business, the resolution of which we do not anticipate would have a material adverse impact on our financial position, results of operations or cash flows. Regardless of outcome, litigation, or other legal proceedings can have an adverse impact on us because of legal fees and settlement costs, diversion of management resources, and other factors.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360"/>
          </w:cols>
          <w:pgMar w:left="1440" w:top="1416" w:right="1440" w:bottom="175"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8"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10" w:lineRule="exact"/>
        <w:rPr>
          <w:sz w:val="20"/>
          <w:szCs w:val="20"/>
          <w:color w:val="auto"/>
        </w:rPr>
      </w:pPr>
    </w:p>
    <w:p>
      <w:pPr>
        <w:ind w:right="360" w:firstLine="619"/>
        <w:spacing w:after="0" w:line="264" w:lineRule="auto"/>
        <w:rPr>
          <w:sz w:val="20"/>
          <w:szCs w:val="20"/>
          <w:color w:val="auto"/>
        </w:rPr>
      </w:pPr>
      <w:r>
        <w:rPr>
          <w:rFonts w:ascii="Times New Roman" w:cs="Times New Roman" w:eastAsia="Times New Roman" w:hAnsi="Times New Roman"/>
          <w:sz w:val="20"/>
          <w:szCs w:val="20"/>
          <w:color w:val="auto"/>
        </w:rPr>
        <w:t>Our common stock has been listed on the Nasdaq Global Select Market under the symbol “PMVP” since September 25, 2020. Prior to that date there was no public trading market for our common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110"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20"/>
          <w:szCs w:val="20"/>
          <w:color w:val="auto"/>
        </w:rPr>
        <w:t xml:space="preserve">As of </w:t>
      </w:r>
      <w:r>
        <w:rPr>
          <w:rFonts w:ascii="Times New Roman" w:cs="Times New Roman" w:eastAsia="Times New Roman" w:hAnsi="Times New Roman"/>
          <w:sz w:val="20"/>
          <w:szCs w:val="20"/>
          <w:color w:val="181818"/>
        </w:rPr>
        <w:t>March 6, 2026</w:t>
      </w:r>
      <w:r>
        <w:rPr>
          <w:rFonts w:ascii="Times New Roman" w:cs="Times New Roman" w:eastAsia="Times New Roman" w:hAnsi="Times New Roman"/>
          <w:sz w:val="20"/>
          <w:szCs w:val="20"/>
          <w:color w:val="auto"/>
        </w:rPr>
        <w:t>, there were approximately 6 holders of record of our common stock. We believe the actual number of stockholders is greater than this number of record holders. The approximate number of holders includes holders who are beneficial owners, but whose shares are held in street name by brokers and other nominees. This number of holders of record also does not include holders whose share may be held in trust by other entities.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11" w:lineRule="exact"/>
        <w:rPr>
          <w:sz w:val="20"/>
          <w:szCs w:val="20"/>
          <w:color w:val="auto"/>
        </w:rPr>
      </w:pPr>
    </w:p>
    <w:p>
      <w:pPr>
        <w:ind w:right="20" w:firstLine="619"/>
        <w:spacing w:after="0" w:line="234" w:lineRule="auto"/>
        <w:rPr>
          <w:sz w:val="20"/>
          <w:szCs w:val="20"/>
          <w:color w:val="auto"/>
        </w:rPr>
      </w:pPr>
      <w:r>
        <w:rPr>
          <w:rFonts w:ascii="Times New Roman" w:cs="Times New Roman" w:eastAsia="Times New Roman" w:hAnsi="Times New Roman"/>
          <w:sz w:val="20"/>
          <w:szCs w:val="20"/>
          <w:color w:val="auto"/>
        </w:rPr>
        <w:t>We have never declared or paid cash dividends on our common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There were no unregistered sales of our equity securities during the fiscal year ended December 31, 2025.</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122"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20"/>
          <w:szCs w:val="20"/>
          <w:color w:val="auto"/>
        </w:rPr>
        <w:t>Our initial public offering of our common stock was effected pursuant to a registration statement on Form S-1 (File No. 333- 248627), which was declared effective by the SEC on September 24, 2020. There has been no material change in the planned use of proceeds from our initial public offering as described our final prospectus filed with the SEC pursuant to Rule 424(b)(4) under the Securities Act on September 24, 2020.</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Purchases</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60"/>
          </w:cols>
          <w:pgMar w:left="1440" w:top="1416" w:right="1440" w:bottom="175"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5"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20"/>
          <w:szCs w:val="20"/>
          <w:i w:val="1"/>
          <w:iCs w:val="1"/>
          <w:color w:val="auto"/>
        </w:rPr>
        <w:t>You should read the following discussion and analysis of our financial condition and results of operations together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“Part I, Item 1A. Risk Factors” and in other parts of this Annual Report on Form 10-K.</w:t>
      </w:r>
    </w:p>
    <w:p>
      <w:pPr>
        <w:spacing w:after="0" w:line="198"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auto"/>
        </w:rPr>
        <w:t xml:space="preserve">A discussion of our financial performance for the year ended December 31, 2025 as compared to the year ended December 31, 2024 appears below under the captions “Results of Operations” and “Liquidity and Capital Resources.” A discussion of our financial performance for the year ended December 31, 2024 compared to the year ended December 31, 2023 can be found in our Annual Report filed on Form 10-K, in the “Part II, Item 7. Management’s Discussion and Analysis of Financial Condition and Results of Operations”, under the same captions, filed with the SEC on March 3, 2025, which is available free of charge on the SEC’s website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xml:space="preserve"> and our Investor Relations website at </w:t>
      </w:r>
      <w:r>
        <w:rPr>
          <w:rFonts w:ascii="Times New Roman" w:cs="Times New Roman" w:eastAsia="Times New Roman" w:hAnsi="Times New Roman"/>
          <w:sz w:val="20"/>
          <w:szCs w:val="20"/>
          <w:i w:val="1"/>
          <w:iCs w:val="1"/>
          <w:color w:val="auto"/>
        </w:rPr>
        <w:t>ir.pmvpharma.com/financial-information/sec-filings</w:t>
      </w:r>
      <w:r>
        <w:rPr>
          <w:rFonts w:ascii="Times New Roman" w:cs="Times New Roman" w:eastAsia="Times New Roman" w:hAnsi="Times New Roman"/>
          <w:sz w:val="20"/>
          <w:szCs w:val="20"/>
          <w:color w:val="auto"/>
        </w:rPr>
        <w:t>. These website addresses are intended to be inactive, textual references only. None of the materials on, or accessible through, these websites are part of this report or are incorporated by reference herein.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236" w:lineRule="exact"/>
        <w:rPr>
          <w:sz w:val="20"/>
          <w:szCs w:val="20"/>
          <w:color w:val="auto"/>
        </w:rPr>
      </w:pPr>
    </w:p>
    <w:p>
      <w:pPr>
        <w:ind w:right="20" w:firstLine="619"/>
        <w:spacing w:after="0" w:line="241" w:lineRule="auto"/>
        <w:rPr>
          <w:sz w:val="20"/>
          <w:szCs w:val="20"/>
          <w:color w:val="auto"/>
        </w:rPr>
      </w:pPr>
      <w:r>
        <w:rPr>
          <w:rFonts w:ascii="Times New Roman" w:cs="Times New Roman" w:eastAsia="Times New Roman" w:hAnsi="Times New Roman"/>
          <w:sz w:val="20"/>
          <w:szCs w:val="20"/>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$78.0 million, $58.7 million, and $69.0 million for the years ended December 31, 2025, 2024, and 2023, respectively. As of December 31, 2025, we had an accumulated deficit of $446.7 million. We do not currently have any product candidates approved for sale, and we continue to incur significant research and development and general administrative expenses related to our operations. We initiated a Phase 1/2 clinical trial, PYNNACLE, in October 2020 for our lead product candidate, rezatapopt. Our strategy is to seek approval under an accelerated pathway, and we believe the Phase 2 portion of the PYNNACLE clinical trial has the potential to serve as a pivotal study. In October 2020, we were granted FDA Fast Track designation of rezatapopt for the treatment of patients with locally advanced or metastatic solid tumors that have a p53 Y220C mutation. In July 2023, we met with the FDA at an End of Phase 1 meeting where alignment was obtained on the recommended Phase 2 dose and key elements of the single arm, Phase 2 registrational portion of the PYNNACLE study. In October 2023, we presented our updated Phase 1 clinical data for rezatapopt at the 2023 AACR-NCI-EORTC International Conference on Molecular Targets and Cancer Therapeutics Annual Meeting. We dosed our first patient in the pivotal Phase 2 monotherapy portion of the PYNNACLE study in the first quarter of 2024.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In March 2026, rezatapopt was granted ODD from the FDA for the treatment of TP53 Y220C positive ovarian cancer, fallopian tube cancer, and primary peritoneal cancer. We plan to submit a New Drug Application, or NDA, for the treatment of patients with platinum-resistant/refractory ovarian cancer harboring a TP53 Y220C mutation to the FDA for rezatapopt in the first quarter of 2027.</w:t>
      </w:r>
    </w:p>
    <w:p>
      <w:pPr>
        <w:spacing w:after="0" w:line="100" w:lineRule="exact"/>
        <w:rPr>
          <w:sz w:val="20"/>
          <w:szCs w:val="20"/>
          <w:color w:val="auto"/>
        </w:rPr>
      </w:pPr>
    </w:p>
    <w:p>
      <w:pPr>
        <w:jc w:val="center"/>
        <w:ind w:right="80"/>
        <w:spacing w:after="0" w:line="278" w:lineRule="auto"/>
        <w:rPr>
          <w:sz w:val="20"/>
          <w:szCs w:val="20"/>
          <w:color w:val="auto"/>
        </w:rPr>
      </w:pPr>
      <w:r>
        <w:rPr>
          <w:rFonts w:ascii="Times New Roman" w:cs="Times New Roman" w:eastAsia="Times New Roman" w:hAnsi="Times New Roman"/>
          <w:sz w:val="19"/>
          <w:szCs w:val="19"/>
          <w:color w:val="auto"/>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360"/>
          </w:cols>
          <w:pgMar w:left="1440" w:top="1416" w:right="1440" w:bottom="175" w:gutter="0" w:footer="0" w:header="0"/>
        </w:sectPr>
      </w:pPr>
    </w:p>
    <w:bookmarkStart w:id="98" w:name="page99"/>
    <w:bookmarkEnd w:id="98"/>
    <w:p>
      <w:pPr>
        <w:ind w:right="700"/>
        <w:spacing w:after="0" w:line="277" w:lineRule="auto"/>
        <w:rPr>
          <w:sz w:val="20"/>
          <w:szCs w:val="20"/>
          <w:color w:val="auto"/>
        </w:rPr>
      </w:pPr>
      <w:r>
        <w:rPr>
          <w:rFonts w:ascii="Times New Roman" w:cs="Times New Roman" w:eastAsia="Times New Roman" w:hAnsi="Times New Roman"/>
          <w:sz w:val="20"/>
          <w:szCs w:val="20"/>
          <w:color w:val="auto"/>
        </w:rPr>
        <w:t>and enforce our intellectual property portfolio; and hire additional personnel. We expect to continue to incur significant losses for the foreseeable future.</w:t>
      </w:r>
    </w:p>
    <w:p>
      <w:pPr>
        <w:spacing w:after="0" w:line="190" w:lineRule="exact"/>
        <w:rPr>
          <w:sz w:val="20"/>
          <w:szCs w:val="20"/>
          <w:color w:val="auto"/>
        </w:rPr>
      </w:pPr>
    </w:p>
    <w:p>
      <w:pPr>
        <w:ind w:right="40" w:firstLine="619"/>
        <w:spacing w:after="0" w:line="236" w:lineRule="auto"/>
        <w:rPr>
          <w:sz w:val="20"/>
          <w:szCs w:val="20"/>
          <w:color w:val="auto"/>
        </w:rPr>
      </w:pPr>
      <w:r>
        <w:rPr>
          <w:rFonts w:ascii="Times New Roman" w:cs="Times New Roman" w:eastAsia="Times New Roman" w:hAnsi="Times New Roman"/>
          <w:sz w:val="20"/>
          <w:szCs w:val="20"/>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89"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10" w:lineRule="exact"/>
        <w:rPr>
          <w:sz w:val="20"/>
          <w:szCs w:val="20"/>
          <w:color w:val="auto"/>
        </w:rPr>
      </w:pPr>
    </w:p>
    <w:p>
      <w:pPr>
        <w:ind w:right="20" w:firstLine="619"/>
        <w:spacing w:after="0" w:line="239" w:lineRule="auto"/>
        <w:rPr>
          <w:sz w:val="20"/>
          <w:szCs w:val="20"/>
          <w:color w:val="auto"/>
        </w:rPr>
      </w:pPr>
      <w:r>
        <w:rPr>
          <w:rFonts w:ascii="Times New Roman" w:cs="Times New Roman" w:eastAsia="Times New Roman" w:hAnsi="Times New Roman"/>
          <w:sz w:val="20"/>
          <w:szCs w:val="20"/>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result in license agreements with third parties, we may generate revenue in the future from product sales or license agreements. However, there can be no assurance as to when we will generate such revenue, if at all.</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10" w:lineRule="exact"/>
        <w:rPr>
          <w:sz w:val="20"/>
          <w:szCs w:val="20"/>
          <w:color w:val="auto"/>
        </w:rPr>
      </w:pPr>
    </w:p>
    <w:p>
      <w:pPr>
        <w:ind w:right="260" w:firstLine="490"/>
        <w:spacing w:after="0" w:line="237" w:lineRule="auto"/>
        <w:rPr>
          <w:sz w:val="20"/>
          <w:szCs w:val="20"/>
          <w:color w:val="auto"/>
        </w:rPr>
      </w:pPr>
      <w:r>
        <w:rPr>
          <w:rFonts w:ascii="Times New Roman" w:cs="Times New Roman" w:eastAsia="Times New Roman" w:hAnsi="Times New Roman"/>
          <w:sz w:val="20"/>
          <w:szCs w:val="20"/>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 -based compensation expense, third-party contractor services, laboratory materials and supplies, and depreciation and maintenance of research equipment. We expense research and development costs as they are incurred.</w:t>
      </w:r>
    </w:p>
    <w:p>
      <w:pPr>
        <w:spacing w:after="0" w:line="86" w:lineRule="exact"/>
        <w:rPr>
          <w:sz w:val="20"/>
          <w:szCs w:val="20"/>
          <w:color w:val="auto"/>
        </w:rPr>
      </w:pPr>
    </w:p>
    <w:p>
      <w:pPr>
        <w:ind w:right="100" w:firstLine="490"/>
        <w:spacing w:after="0" w:line="242" w:lineRule="auto"/>
        <w:rPr>
          <w:sz w:val="20"/>
          <w:szCs w:val="20"/>
          <w:color w:val="auto"/>
        </w:rPr>
      </w:pPr>
      <w:r>
        <w:rPr>
          <w:rFonts w:ascii="Times New Roman" w:cs="Times New Roman" w:eastAsia="Times New Roman" w:hAnsi="Times New Roman"/>
          <w:sz w:val="20"/>
          <w:szCs w:val="20"/>
          <w:color w:val="auto"/>
        </w:rPr>
        <w:t>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rezatapopt. We initiated our Phase 1/2 PYNNACLE clinical trial in October 2020, and on that date, we were granted FDA Fast Track designation of rezatapopt for the treatment of patients with locally advanced or metastatic solid tumors that have a p53 Y220C mutation. In October 2023, we presented our updated Phase 1 clinical data for rezatapopt at the 2023 AACR-NCI-EORTC International Conference on Molecular Targets and Cancer Therapeutics Meeting. In September 2025, we announced interim data from the Phase 2 pivotal portion of the PYNNACLE clinical trial, which was updated in October 2025 in a late-breaking oral presentation and poster presentation at the 2025 AACR-NCI-EORTC International Conference on Molecular Targets and Cancer Therapeutics Meeting. In March 2026, rezatapopt was granted ODD from the FDA for the treatment of TP53 Y220C positive ovarian cancer, fallopian tube cancer, and primary peritoneal cancer. We plan to submit an NDA for the treatment of patients with platinum-resistant/refractory ovarian cancer harboring a TP53 Y220C mutation to the FDA for rezatapopt in the first quarter of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360"/>
          </w:cols>
          <w:pgMar w:left="1440" w:top="1420" w:right="1440" w:bottom="175" w:gutter="0" w:footer="0" w:header="0"/>
        </w:sectPr>
      </w:pPr>
    </w:p>
    <w:bookmarkStart w:id="99" w:name="page100"/>
    <w:bookmarkEnd w:id="99"/>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3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1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expenses related to compliance with the rules and regulations of the SEC, and those of any national securities exchange on which our securities are traded, additional insurance expenses, investor relations activities and other administrative and professional services. We also expect to increase our general and administrative expenses as we advance our product candidates through preclinical research and development, manufacturing, clinical development, and commercialization.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Net</w:t>
      </w:r>
    </w:p>
    <w:p>
      <w:pPr>
        <w:spacing w:after="0" w:line="120" w:lineRule="exact"/>
        <w:rPr>
          <w:sz w:val="20"/>
          <w:szCs w:val="20"/>
          <w:color w:val="auto"/>
        </w:rPr>
      </w:pPr>
    </w:p>
    <w:p>
      <w:pPr>
        <w:jc w:val="both"/>
        <w:ind w:right="340" w:firstLine="490"/>
        <w:spacing w:after="0" w:line="259" w:lineRule="auto"/>
        <w:rPr>
          <w:sz w:val="20"/>
          <w:szCs w:val="20"/>
          <w:color w:val="auto"/>
        </w:rPr>
      </w:pPr>
      <w:r>
        <w:rPr>
          <w:rFonts w:ascii="Times New Roman" w:cs="Times New Roman" w:eastAsia="Times New Roman" w:hAnsi="Times New Roman"/>
          <w:sz w:val="20"/>
          <w:szCs w:val="20"/>
          <w:color w:val="auto"/>
        </w:rPr>
        <w:t>Interest income, net, primarily consists of interest income from our interest-bearing cash, cash equivalents, and marketable securities, and interest costs related to accretion and amortization of discounts and premiums on marketable securities.</w:t>
      </w:r>
    </w:p>
    <w:p>
      <w:pPr>
        <w:spacing w:after="0" w:line="33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2025 and 2024</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data:</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73"/>
        </w:trPr>
        <w:tc>
          <w:tcPr>
            <w:tcW w:w="4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25"/>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422"/>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auto"/>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Operating expenses:</w:t>
            </w:r>
          </w:p>
        </w:tc>
        <w:tc>
          <w:tcPr>
            <w:tcW w:w="100" w:type="dxa"/>
            <w:vAlign w:val="bottom"/>
            <w:tcBorders>
              <w:top w:val="single" w:sz="8" w:color="E0E0E0"/>
              <w:right w:val="single" w:sz="8" w:color="E0E0E0"/>
            </w:tcBorders>
            <w:shd w:val="clear" w:color="auto" w:fill="E0E0E0"/>
          </w:tcPr>
          <w:p>
            <w:pPr>
              <w:spacing w:after="0"/>
              <w:rPr>
                <w:sz w:val="19"/>
                <w:szCs w:val="19"/>
                <w:color w:val="auto"/>
              </w:rPr>
            </w:pPr>
          </w:p>
        </w:tc>
        <w:tc>
          <w:tcPr>
            <w:tcW w:w="300" w:type="dxa"/>
            <w:vAlign w:val="bottom"/>
            <w:tcBorders>
              <w:top w:val="single" w:sz="8" w:color="auto"/>
            </w:tcBorders>
            <w:shd w:val="clear" w:color="auto" w:fill="E0E0E0"/>
          </w:tcPr>
          <w:p>
            <w:pPr>
              <w:spacing w:after="0"/>
              <w:rPr>
                <w:sz w:val="19"/>
                <w:szCs w:val="19"/>
                <w:color w:val="auto"/>
              </w:rPr>
            </w:pPr>
          </w:p>
        </w:tc>
        <w:tc>
          <w:tcPr>
            <w:tcW w:w="1040" w:type="dxa"/>
            <w:vAlign w:val="bottom"/>
            <w:tcBorders>
              <w:top w:val="single" w:sz="8" w:color="auto"/>
            </w:tcBorders>
            <w:shd w:val="clear" w:color="auto" w:fill="E0E0E0"/>
          </w:tcPr>
          <w:p>
            <w:pPr>
              <w:spacing w:after="0"/>
              <w:rPr>
                <w:sz w:val="19"/>
                <w:szCs w:val="19"/>
                <w:color w:val="auto"/>
              </w:rPr>
            </w:pPr>
          </w:p>
        </w:tc>
        <w:tc>
          <w:tcPr>
            <w:tcW w:w="200" w:type="dxa"/>
            <w:vAlign w:val="bottom"/>
            <w:tcBorders>
              <w:top w:val="single" w:sz="8" w:color="E0E0E0"/>
              <w:right w:val="single" w:sz="8" w:color="E0E0E0"/>
            </w:tcBorders>
            <w:shd w:val="clear" w:color="auto" w:fill="E0E0E0"/>
          </w:tcPr>
          <w:p>
            <w:pPr>
              <w:spacing w:after="0"/>
              <w:rPr>
                <w:sz w:val="19"/>
                <w:szCs w:val="19"/>
                <w:color w:val="auto"/>
              </w:rPr>
            </w:pPr>
          </w:p>
        </w:tc>
        <w:tc>
          <w:tcPr>
            <w:tcW w:w="420" w:type="dxa"/>
            <w:vAlign w:val="bottom"/>
            <w:tcBorders>
              <w:top w:val="single" w:sz="8" w:color="auto"/>
            </w:tcBorders>
            <w:shd w:val="clear" w:color="auto" w:fill="E0E0E0"/>
          </w:tcPr>
          <w:p>
            <w:pPr>
              <w:spacing w:after="0"/>
              <w:rPr>
                <w:sz w:val="19"/>
                <w:szCs w:val="19"/>
                <w:color w:val="auto"/>
              </w:rPr>
            </w:pPr>
          </w:p>
        </w:tc>
        <w:tc>
          <w:tcPr>
            <w:tcW w:w="920" w:type="dxa"/>
            <w:vAlign w:val="bottom"/>
            <w:tcBorders>
              <w:top w:val="single" w:sz="8" w:color="auto"/>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E0E0E0"/>
              <w:right w:val="single" w:sz="8" w:color="E0E0E0"/>
            </w:tcBorders>
            <w:shd w:val="clear" w:color="auto" w:fill="E0E0E0"/>
          </w:tcPr>
          <w:p>
            <w:pPr>
              <w:spacing w:after="0"/>
              <w:rPr>
                <w:sz w:val="19"/>
                <w:szCs w:val="19"/>
                <w:color w:val="auto"/>
              </w:rPr>
            </w:pPr>
          </w:p>
        </w:tc>
        <w:tc>
          <w:tcPr>
            <w:tcW w:w="260" w:type="dxa"/>
            <w:vAlign w:val="bottom"/>
            <w:tcBorders>
              <w:top w:val="single" w:sz="8" w:color="auto"/>
            </w:tcBorders>
            <w:shd w:val="clear" w:color="auto" w:fill="E0E0E0"/>
          </w:tcPr>
          <w:p>
            <w:pPr>
              <w:spacing w:after="0"/>
              <w:rPr>
                <w:sz w:val="19"/>
                <w:szCs w:val="19"/>
                <w:color w:val="auto"/>
              </w:rPr>
            </w:pPr>
          </w:p>
        </w:tc>
        <w:tc>
          <w:tcPr>
            <w:tcW w:w="1080" w:type="dxa"/>
            <w:vAlign w:val="bottom"/>
            <w:tcBorders>
              <w:top w:val="single" w:sz="8" w:color="auto"/>
            </w:tcBorders>
            <w:shd w:val="clear" w:color="auto" w:fill="E0E0E0"/>
          </w:tcPr>
          <w:p>
            <w:pPr>
              <w:spacing w:after="0"/>
              <w:rPr>
                <w:sz w:val="19"/>
                <w:szCs w:val="19"/>
                <w:color w:val="auto"/>
              </w:rPr>
            </w:pPr>
          </w:p>
        </w:tc>
        <w:tc>
          <w:tcPr>
            <w:tcW w:w="18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0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69,877</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58,527</w:t>
            </w:r>
          </w:p>
        </w:tc>
        <w:tc>
          <w:tcPr>
            <w:tcW w:w="8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11,350</w:t>
            </w:r>
          </w:p>
        </w:tc>
        <w:tc>
          <w:tcPr>
            <w:tcW w:w="0" w:type="dxa"/>
            <w:vAlign w:val="bottom"/>
          </w:tcPr>
          <w:p>
            <w:pPr>
              <w:spacing w:after="0"/>
              <w:rPr>
                <w:sz w:val="1"/>
                <w:szCs w:val="1"/>
                <w:color w:val="auto"/>
              </w:rPr>
            </w:pPr>
          </w:p>
        </w:tc>
      </w:tr>
      <w:tr>
        <w:trPr>
          <w:trHeight w:val="229"/>
        </w:trPr>
        <w:tc>
          <w:tcPr>
            <w:tcW w:w="468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00" w:type="dxa"/>
            <w:vAlign w:val="bottom"/>
            <w:tcBorders>
              <w:right w:val="single" w:sz="8" w:color="E0E0E0"/>
            </w:tcBorders>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240" w:type="dxa"/>
            <w:vAlign w:val="bottom"/>
            <w:tcBorders>
              <w:right w:val="single" w:sz="8" w:color="E0E0E0"/>
            </w:tcBorders>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16,329</w:t>
            </w:r>
          </w:p>
        </w:tc>
        <w:tc>
          <w:tcPr>
            <w:tcW w:w="420" w:type="dxa"/>
            <w:vAlign w:val="bottom"/>
            <w:shd w:val="clear" w:color="auto" w:fill="E0E0E0"/>
          </w:tcPr>
          <w:p>
            <w:pPr>
              <w:spacing w:after="0"/>
              <w:rPr>
                <w:sz w:val="19"/>
                <w:szCs w:val="19"/>
                <w:color w:val="auto"/>
              </w:rPr>
            </w:pPr>
          </w:p>
        </w:tc>
        <w:tc>
          <w:tcPr>
            <w:tcW w:w="10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26,921</w:t>
            </w:r>
          </w:p>
        </w:tc>
        <w:tc>
          <w:tcPr>
            <w:tcW w:w="100" w:type="dxa"/>
            <w:vAlign w:val="bottom"/>
            <w:tcBorders>
              <w:right w:val="single" w:sz="8" w:color="E0E0E0"/>
            </w:tcBorders>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(10,592)</w:t>
            </w:r>
          </w:p>
        </w:tc>
        <w:tc>
          <w:tcPr>
            <w:tcW w:w="0" w:type="dxa"/>
            <w:vAlign w:val="bottom"/>
          </w:tcPr>
          <w:p>
            <w:pPr>
              <w:spacing w:after="0"/>
              <w:rPr>
                <w:sz w:val="1"/>
                <w:szCs w:val="1"/>
                <w:color w:val="auto"/>
              </w:rPr>
            </w:pPr>
          </w:p>
        </w:tc>
      </w:tr>
      <w:tr>
        <w:trPr>
          <w:trHeight w:val="220"/>
        </w:trPr>
        <w:tc>
          <w:tcPr>
            <w:tcW w:w="4680" w:type="dxa"/>
            <w:vAlign w:val="bottom"/>
            <w:tcBorders>
              <w:bottom w:val="single" w:sz="8" w:color="E0E0E0"/>
            </w:tcBorders>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100" w:type="dxa"/>
            <w:vAlign w:val="bottom"/>
            <w:tcBorders>
              <w:bottom w:val="single" w:sz="8" w:color="E0E0E0"/>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86,206</w:t>
            </w:r>
          </w:p>
        </w:tc>
        <w:tc>
          <w:tcPr>
            <w:tcW w:w="200" w:type="dxa"/>
            <w:vAlign w:val="bottom"/>
            <w:tcBorders>
              <w:bottom w:val="single" w:sz="8" w:color="E0E0E0"/>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85,448</w:t>
            </w:r>
          </w:p>
        </w:tc>
        <w:tc>
          <w:tcPr>
            <w:tcW w:w="8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758</w:t>
            </w:r>
          </w:p>
        </w:tc>
        <w:tc>
          <w:tcPr>
            <w:tcW w:w="18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80" w:type="dxa"/>
            <w:vAlign w:val="bottom"/>
            <w:shd w:val="clear" w:color="auto" w:fill="E0E0E0"/>
          </w:tcPr>
          <w:p>
            <w:pPr>
              <w:ind w:left="100"/>
              <w:spacing w:after="0" w:line="220" w:lineRule="exact"/>
              <w:rPr>
                <w:sz w:val="20"/>
                <w:szCs w:val="20"/>
                <w:color w:val="auto"/>
              </w:rPr>
            </w:pPr>
            <w:r>
              <w:rPr>
                <w:rFonts w:ascii="Times New Roman" w:cs="Times New Roman" w:eastAsia="Times New Roman" w:hAnsi="Times New Roman"/>
                <w:sz w:val="20"/>
                <w:szCs w:val="20"/>
                <w:color w:val="auto"/>
              </w:rPr>
              <w:t>Loss from operations</w:t>
            </w:r>
          </w:p>
        </w:tc>
        <w:tc>
          <w:tcPr>
            <w:tcW w:w="100" w:type="dxa"/>
            <w:vAlign w:val="bottom"/>
            <w:tcBorders>
              <w:right w:val="single" w:sz="8" w:color="E0E0E0"/>
            </w:tcBorders>
            <w:shd w:val="clear" w:color="auto" w:fill="E0E0E0"/>
          </w:tcPr>
          <w:p>
            <w:pPr>
              <w:spacing w:after="0"/>
              <w:rPr>
                <w:sz w:val="19"/>
                <w:szCs w:val="19"/>
                <w:color w:val="auto"/>
              </w:rPr>
            </w:pPr>
          </w:p>
        </w:tc>
        <w:tc>
          <w:tcPr>
            <w:tcW w:w="300" w:type="dxa"/>
            <w:vAlign w:val="bottom"/>
            <w:shd w:val="clear" w:color="auto" w:fill="E0E0E0"/>
          </w:tcPr>
          <w:p>
            <w:pPr>
              <w:spacing w:after="0"/>
              <w:rPr>
                <w:sz w:val="19"/>
                <w:szCs w:val="19"/>
                <w:color w:val="auto"/>
              </w:rPr>
            </w:pPr>
          </w:p>
        </w:tc>
        <w:tc>
          <w:tcPr>
            <w:tcW w:w="1240" w:type="dxa"/>
            <w:vAlign w:val="bottom"/>
            <w:tcBorders>
              <w:right w:val="single" w:sz="8" w:color="E0E0E0"/>
            </w:tcBorders>
            <w:gridSpan w:val="2"/>
            <w:shd w:val="clear" w:color="auto" w:fill="E0E0E0"/>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(86,206)</w:t>
            </w:r>
          </w:p>
        </w:tc>
        <w:tc>
          <w:tcPr>
            <w:tcW w:w="420" w:type="dxa"/>
            <w:vAlign w:val="bottom"/>
            <w:shd w:val="clear" w:color="auto" w:fill="E0E0E0"/>
          </w:tcPr>
          <w:p>
            <w:pPr>
              <w:spacing w:after="0"/>
              <w:rPr>
                <w:sz w:val="19"/>
                <w:szCs w:val="19"/>
                <w:color w:val="auto"/>
              </w:rPr>
            </w:pPr>
          </w:p>
        </w:tc>
        <w:tc>
          <w:tcPr>
            <w:tcW w:w="1000" w:type="dxa"/>
            <w:vAlign w:val="bottom"/>
            <w:gridSpan w:val="2"/>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(85,448)</w:t>
            </w:r>
          </w:p>
        </w:tc>
        <w:tc>
          <w:tcPr>
            <w:tcW w:w="100" w:type="dxa"/>
            <w:vAlign w:val="bottom"/>
            <w:tcBorders>
              <w:right w:val="single" w:sz="8" w:color="E0E0E0"/>
            </w:tcBorders>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260" w:type="dxa"/>
            <w:vAlign w:val="bottom"/>
            <w:gridSpan w:val="2"/>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(758)</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Interest income, net</w:t>
            </w:r>
          </w:p>
        </w:tc>
        <w:tc>
          <w:tcPr>
            <w:tcW w:w="100" w:type="dxa"/>
            <w:vAlign w:val="bottom"/>
            <w:tcBorders>
              <w:right w:val="single" w:sz="8" w:color="E0E0E0"/>
            </w:tcBorders>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6,337</w:t>
            </w:r>
          </w:p>
        </w:tc>
        <w:tc>
          <w:tcPr>
            <w:tcW w:w="420" w:type="dxa"/>
            <w:vAlign w:val="bottom"/>
            <w:shd w:val="clear" w:color="auto" w:fill="E0E0E0"/>
          </w:tcPr>
          <w:p>
            <w:pPr>
              <w:spacing w:after="0"/>
              <w:rPr>
                <w:sz w:val="20"/>
                <w:szCs w:val="20"/>
                <w:color w:val="auto"/>
              </w:rPr>
            </w:pPr>
          </w:p>
        </w:tc>
        <w:tc>
          <w:tcPr>
            <w:tcW w:w="10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10,655</w:t>
            </w:r>
          </w:p>
        </w:tc>
        <w:tc>
          <w:tcPr>
            <w:tcW w:w="100" w:type="dxa"/>
            <w:vAlign w:val="bottom"/>
            <w:tcBorders>
              <w:right w:val="single" w:sz="8" w:color="E0E0E0"/>
            </w:tcBorders>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2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(4,318)</w:t>
            </w:r>
          </w:p>
        </w:tc>
        <w:tc>
          <w:tcPr>
            <w:tcW w:w="0" w:type="dxa"/>
            <w:vAlign w:val="bottom"/>
          </w:tcPr>
          <w:p>
            <w:pPr>
              <w:spacing w:after="0"/>
              <w:rPr>
                <w:sz w:val="1"/>
                <w:szCs w:val="1"/>
                <w:color w:val="auto"/>
              </w:rPr>
            </w:pPr>
          </w:p>
        </w:tc>
      </w:tr>
      <w:tr>
        <w:trPr>
          <w:trHeight w:val="229"/>
        </w:trPr>
        <w:tc>
          <w:tcPr>
            <w:tcW w:w="4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income (expense), net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(45)</w:t>
            </w:r>
          </w:p>
        </w:tc>
        <w:tc>
          <w:tcPr>
            <w:tcW w:w="4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0"/>
        </w:trPr>
        <w:tc>
          <w:tcPr>
            <w:tcW w:w="4680" w:type="dxa"/>
            <w:vAlign w:val="bottom"/>
            <w:shd w:val="clear" w:color="auto" w:fill="E0E0E0"/>
          </w:tcPr>
          <w:p>
            <w:pPr>
              <w:spacing w:after="0" w:line="20" w:lineRule="exact"/>
              <w:rPr>
                <w:sz w:val="1"/>
                <w:szCs w:val="1"/>
                <w:color w:val="auto"/>
              </w:rPr>
            </w:pP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680" w:type="dxa"/>
            <w:vAlign w:val="bottom"/>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other income (expense)</w:t>
            </w:r>
          </w:p>
        </w:tc>
        <w:tc>
          <w:tcPr>
            <w:tcW w:w="100" w:type="dxa"/>
            <w:vAlign w:val="bottom"/>
            <w:tcBorders>
              <w:right w:val="single" w:sz="8" w:color="E0E0E0"/>
            </w:tcBorders>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6,292</w:t>
            </w:r>
          </w:p>
        </w:tc>
        <w:tc>
          <w:tcPr>
            <w:tcW w:w="420" w:type="dxa"/>
            <w:vAlign w:val="bottom"/>
            <w:shd w:val="clear" w:color="auto" w:fill="E0E0E0"/>
          </w:tcPr>
          <w:p>
            <w:pPr>
              <w:spacing w:after="0"/>
              <w:rPr>
                <w:sz w:val="20"/>
                <w:szCs w:val="20"/>
                <w:color w:val="auto"/>
              </w:rPr>
            </w:pPr>
          </w:p>
        </w:tc>
        <w:tc>
          <w:tcPr>
            <w:tcW w:w="1000" w:type="dxa"/>
            <w:vAlign w:val="bottom"/>
            <w:gridSpan w:val="2"/>
            <w:shd w:val="clear" w:color="auto" w:fill="E0E0E0"/>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10,639</w:t>
            </w:r>
          </w:p>
        </w:tc>
        <w:tc>
          <w:tcPr>
            <w:tcW w:w="100" w:type="dxa"/>
            <w:vAlign w:val="bottom"/>
            <w:tcBorders>
              <w:right w:val="single" w:sz="8" w:color="E0E0E0"/>
            </w:tcBorders>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260" w:type="dxa"/>
            <w:vAlign w:val="bottom"/>
            <w:gridSpan w:val="2"/>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(4,347)</w:t>
            </w:r>
          </w:p>
        </w:tc>
        <w:tc>
          <w:tcPr>
            <w:tcW w:w="0" w:type="dxa"/>
            <w:vAlign w:val="bottom"/>
          </w:tcPr>
          <w:p>
            <w:pPr>
              <w:spacing w:after="0"/>
              <w:rPr>
                <w:sz w:val="1"/>
                <w:szCs w:val="1"/>
                <w:color w:val="auto"/>
              </w:rPr>
            </w:pPr>
          </w:p>
        </w:tc>
      </w:tr>
      <w:tr>
        <w:trPr>
          <w:trHeight w:val="200"/>
        </w:trPr>
        <w:tc>
          <w:tcPr>
            <w:tcW w:w="4680" w:type="dxa"/>
            <w:vAlign w:val="bottom"/>
            <w:tcBorders>
              <w:top w:val="single" w:sz="8" w:color="E0E0E0"/>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Loss before (benefit) provision for income taxes</w:t>
            </w:r>
          </w:p>
        </w:tc>
        <w:tc>
          <w:tcPr>
            <w:tcW w:w="100" w:type="dxa"/>
            <w:vAlign w:val="bottom"/>
            <w:tcBorders>
              <w:top w:val="single" w:sz="8" w:color="E0E0E0"/>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(79,914)</w:t>
            </w:r>
          </w:p>
        </w:tc>
        <w:tc>
          <w:tcPr>
            <w:tcW w:w="200" w:type="dxa"/>
            <w:vAlign w:val="bottom"/>
            <w:tcBorders>
              <w:top w:val="single" w:sz="8" w:color="E0E0E0"/>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(74,809)</w:t>
            </w:r>
          </w:p>
        </w:tc>
        <w:tc>
          <w:tcPr>
            <w:tcW w:w="80" w:type="dxa"/>
            <w:vAlign w:val="bottom"/>
            <w:tcBorders>
              <w:top w:val="single" w:sz="8" w:color="E0E0E0"/>
            </w:tcBorders>
          </w:tcPr>
          <w:p>
            <w:pPr>
              <w:spacing w:after="0"/>
              <w:rPr>
                <w:sz w:val="17"/>
                <w:szCs w:val="17"/>
                <w:color w:val="auto"/>
              </w:rPr>
            </w:pPr>
          </w:p>
        </w:tc>
        <w:tc>
          <w:tcPr>
            <w:tcW w:w="100" w:type="dxa"/>
            <w:vAlign w:val="bottom"/>
            <w:tcBorders>
              <w:top w:val="single" w:sz="8" w:color="E0E0E0"/>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(5,105</w:t>
            </w:r>
          </w:p>
        </w:tc>
        <w:tc>
          <w:tcPr>
            <w:tcW w:w="180" w:type="dxa"/>
            <w:vAlign w:val="bottom"/>
            <w:tcBorders>
              <w:top w:val="single" w:sz="8" w:color="E0E0E0"/>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50"/>
        </w:trPr>
        <w:tc>
          <w:tcPr>
            <w:tcW w:w="46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(Benefit) provision for income taxes</w:t>
            </w:r>
          </w:p>
        </w:tc>
        <w:tc>
          <w:tcPr>
            <w:tcW w:w="100" w:type="dxa"/>
            <w:vAlign w:val="bottom"/>
            <w:tcBorders>
              <w:right w:val="single" w:sz="8" w:color="E0E0E0"/>
            </w:tcBorders>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240" w:type="dxa"/>
            <w:vAlign w:val="bottom"/>
            <w:tcBorders>
              <w:right w:val="single" w:sz="8" w:color="E0E0E0"/>
            </w:tcBorders>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(2,172)</w:t>
            </w:r>
          </w:p>
        </w:tc>
        <w:tc>
          <w:tcPr>
            <w:tcW w:w="420" w:type="dxa"/>
            <w:vAlign w:val="bottom"/>
            <w:shd w:val="clear" w:color="auto" w:fill="E0E0E0"/>
          </w:tcPr>
          <w:p>
            <w:pPr>
              <w:spacing w:after="0"/>
              <w:rPr>
                <w:sz w:val="21"/>
                <w:szCs w:val="21"/>
                <w:color w:val="auto"/>
              </w:rPr>
            </w:pPr>
          </w:p>
        </w:tc>
        <w:tc>
          <w:tcPr>
            <w:tcW w:w="10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(16,100)</w:t>
            </w:r>
          </w:p>
        </w:tc>
        <w:tc>
          <w:tcPr>
            <w:tcW w:w="100" w:type="dxa"/>
            <w:vAlign w:val="bottom"/>
            <w:tcBorders>
              <w:right w:val="single" w:sz="8" w:color="E0E0E0"/>
            </w:tcBorders>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2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13,928</w:t>
            </w:r>
          </w:p>
        </w:tc>
        <w:tc>
          <w:tcPr>
            <w:tcW w:w="0" w:type="dxa"/>
            <w:vAlign w:val="bottom"/>
          </w:tcPr>
          <w:p>
            <w:pPr>
              <w:spacing w:after="0"/>
              <w:rPr>
                <w:sz w:val="1"/>
                <w:szCs w:val="1"/>
                <w:color w:val="auto"/>
              </w:rPr>
            </w:pPr>
          </w:p>
        </w:tc>
      </w:tr>
      <w:tr>
        <w:trPr>
          <w:trHeight w:val="201"/>
        </w:trPr>
        <w:tc>
          <w:tcPr>
            <w:tcW w:w="4680" w:type="dxa"/>
            <w:vAlign w:val="bottom"/>
            <w:tcBorders>
              <w:top w:val="single" w:sz="8" w:color="E0E0E0"/>
            </w:tcBorders>
          </w:tcPr>
          <w:p>
            <w:pPr>
              <w:ind w:left="100"/>
              <w:spacing w:after="0" w:line="201" w:lineRule="exact"/>
              <w:rPr>
                <w:sz w:val="20"/>
                <w:szCs w:val="20"/>
                <w:color w:val="auto"/>
              </w:rPr>
            </w:pPr>
            <w:r>
              <w:rPr>
                <w:rFonts w:ascii="Times New Roman" w:cs="Times New Roman" w:eastAsia="Times New Roman" w:hAnsi="Times New Roman"/>
                <w:sz w:val="20"/>
                <w:szCs w:val="20"/>
                <w:color w:val="auto"/>
              </w:rPr>
              <w:t>Net loss</w:t>
            </w:r>
          </w:p>
        </w:tc>
        <w:tc>
          <w:tcPr>
            <w:tcW w:w="100" w:type="dxa"/>
            <w:vAlign w:val="bottom"/>
            <w:tcBorders>
              <w:top w:val="single" w:sz="8" w:color="E0E0E0"/>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0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(77,742)</w:t>
            </w:r>
          </w:p>
        </w:tc>
        <w:tc>
          <w:tcPr>
            <w:tcW w:w="200" w:type="dxa"/>
            <w:vAlign w:val="bottom"/>
            <w:tcBorders>
              <w:top w:val="single" w:sz="8" w:color="E0E0E0"/>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(58,709)</w:t>
            </w:r>
          </w:p>
        </w:tc>
        <w:tc>
          <w:tcPr>
            <w:tcW w:w="80" w:type="dxa"/>
            <w:vAlign w:val="bottom"/>
            <w:tcBorders>
              <w:top w:val="single" w:sz="8" w:color="E0E0E0"/>
            </w:tcBorders>
          </w:tcPr>
          <w:p>
            <w:pPr>
              <w:spacing w:after="0"/>
              <w:rPr>
                <w:sz w:val="17"/>
                <w:szCs w:val="17"/>
                <w:color w:val="auto"/>
              </w:rPr>
            </w:pPr>
          </w:p>
        </w:tc>
        <w:tc>
          <w:tcPr>
            <w:tcW w:w="100" w:type="dxa"/>
            <w:vAlign w:val="bottom"/>
            <w:tcBorders>
              <w:top w:val="single" w:sz="8" w:color="E0E0E0"/>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(19,033)</w:t>
            </w:r>
          </w:p>
        </w:tc>
        <w:tc>
          <w:tcPr>
            <w:tcW w:w="180" w:type="dxa"/>
            <w:vAlign w:val="bottom"/>
            <w:tcBorders>
              <w:top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-476250</wp:posOffset>
                </wp:positionV>
                <wp:extent cx="303085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855" cy="4763"/>
                        </a:xfrm>
                        <a:prstGeom prst="line">
                          <a:avLst/>
                        </a:prstGeom>
                        <a:solidFill>
                          <a:srgbClr val="FFFFFF"/>
                        </a:solidFill>
                        <a:ln w="6109">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4999pt" to="238.65pt,-37.4999pt" o:allowincell="f" strokecolor="#FFFFFF" strokeweight="0.481pt"/>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-476250</wp:posOffset>
                </wp:positionV>
                <wp:extent cx="11938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80" cy="4763"/>
                        </a:xfrm>
                        <a:prstGeom prst="line">
                          <a:avLst/>
                        </a:prstGeom>
                        <a:solidFill>
                          <a:srgbClr val="FFFFFF"/>
                        </a:solidFill>
                        <a:ln w="6109">
                          <a:solidFill>
                            <a:srgbClr val="FFFFFF"/>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pt,-37.4999pt" to="315.4pt,-37.4999pt" o:allowincell="f" strokecolor="#FFFFFF" strokeweight="0.481pt"/>
            </w:pict>
          </mc:Fallback>
        </mc:AlternateContent>
        <mc:AlternateContent>
          <mc:Choice Requires="wps">
            <w:drawing>
              <wp:anchor simplePos="0" relativeHeight="251657728" behindDoc="1" locked="0" layoutInCell="0" allowOverlap="1">
                <wp:simplePos x="0" y="0"/>
                <wp:positionH relativeFrom="column">
                  <wp:posOffset>4859655</wp:posOffset>
                </wp:positionH>
                <wp:positionV relativeFrom="paragraph">
                  <wp:posOffset>-476250</wp:posOffset>
                </wp:positionV>
                <wp:extent cx="12001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015" cy="4763"/>
                        </a:xfrm>
                        <a:prstGeom prst="line">
                          <a:avLst/>
                        </a:prstGeom>
                        <a:solidFill>
                          <a:srgbClr val="FFFFFF"/>
                        </a:solidFill>
                        <a:ln w="6109">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65pt,-37.4999pt" to="392.1pt,-37.4999pt" o:allowincell="f" strokecolor="#FFFFFF" strokeweight="0.481pt"/>
            </w:pict>
          </mc:Fallback>
        </mc:AlternateContent>
        <mc:AlternateContent>
          <mc:Choice Requires="wps">
            <w:drawing>
              <wp:anchor simplePos="0" relativeHeight="251657728" behindDoc="1" locked="0" layoutInCell="0" allowOverlap="1">
                <wp:simplePos x="0" y="0"/>
                <wp:positionH relativeFrom="column">
                  <wp:posOffset>5834380</wp:posOffset>
                </wp:positionH>
                <wp:positionV relativeFrom="paragraph">
                  <wp:posOffset>-476250</wp:posOffset>
                </wp:positionV>
                <wp:extent cx="10922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220" cy="4763"/>
                        </a:xfrm>
                        <a:prstGeom prst="line">
                          <a:avLst/>
                        </a:prstGeom>
                        <a:solidFill>
                          <a:srgbClr val="FFFFFF"/>
                        </a:solidFill>
                        <a:ln w="6109">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4pt,-37.4999pt" to="468pt,-37.4999pt" o:allowincell="f" strokecolor="#FFFFFF" strokeweight="0.48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-177165</wp:posOffset>
                </wp:positionV>
                <wp:extent cx="303085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85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499pt" to="238.65pt,-13.9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-177165</wp:posOffset>
                </wp:positionV>
                <wp:extent cx="11938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8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pt,-13.9499pt" to="315.4pt,-13.9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4859655</wp:posOffset>
                </wp:positionH>
                <wp:positionV relativeFrom="paragraph">
                  <wp:posOffset>-177165</wp:posOffset>
                </wp:positionV>
                <wp:extent cx="12001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01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65pt,-13.9499pt" to="392.1pt,-13.9499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5834380</wp:posOffset>
                </wp:positionH>
                <wp:positionV relativeFrom="paragraph">
                  <wp:posOffset>-177165</wp:posOffset>
                </wp:positionV>
                <wp:extent cx="10922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22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9.4pt,-13.9499pt" to="468pt,-13.9499pt" o:allowincell="f" strokecolor="#FFFFFF" strokeweight="0.4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360"/>
          </w:cols>
          <w:pgMar w:left="1440" w:top="1420" w:right="1440" w:bottom="175" w:gutter="0" w:footer="0" w:header="0"/>
        </w:sectPr>
      </w:pPr>
    </w:p>
    <w:bookmarkStart w:id="100" w:name="page101"/>
    <w:bookmarkEnd w:id="100"/>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19" w:lineRule="exact"/>
        <w:rPr>
          <w:sz w:val="20"/>
          <w:szCs w:val="20"/>
          <w:color w:val="auto"/>
        </w:rPr>
      </w:pPr>
    </w:p>
    <w:p>
      <w:pPr>
        <w:ind w:right="700" w:firstLine="619"/>
        <w:spacing w:after="0" w:line="278" w:lineRule="auto"/>
        <w:rPr>
          <w:sz w:val="20"/>
          <w:szCs w:val="20"/>
          <w:color w:val="auto"/>
        </w:rPr>
      </w:pPr>
      <w:r>
        <w:rPr>
          <w:rFonts w:ascii="Times New Roman" w:cs="Times New Roman" w:eastAsia="Times New Roman" w:hAnsi="Times New Roman"/>
          <w:sz w:val="20"/>
          <w:szCs w:val="20"/>
          <w:color w:val="auto"/>
        </w:rPr>
        <w:t>The following table summarizes our research and development expenses incurred during the periods indicated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49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3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data:</w:t>
            </w:r>
          </w:p>
        </w:tc>
        <w:tc>
          <w:tcPr>
            <w:tcW w:w="1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49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01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8"/>
        </w:trPr>
        <w:tc>
          <w:tcPr>
            <w:tcW w:w="5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 w:type="dxa"/>
            <w:vAlign w:val="bottom"/>
            <w:tcBorders>
              <w:top w:val="single" w:sz="8" w:color="auto"/>
            </w:tcBorders>
          </w:tcPr>
          <w:p>
            <w:pPr>
              <w:spacing w:after="0"/>
              <w:rPr>
                <w:sz w:val="16"/>
                <w:szCs w:val="16"/>
                <w:color w:val="auto"/>
              </w:rPr>
            </w:pPr>
          </w:p>
        </w:tc>
        <w:tc>
          <w:tcPr>
            <w:tcW w:w="93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01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4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Research</w:t>
            </w:r>
          </w:p>
        </w:tc>
        <w:tc>
          <w:tcPr>
            <w:tcW w:w="120" w:type="dxa"/>
            <w:vAlign w:val="bottom"/>
            <w:tcBorders>
              <w:top w:val="single" w:sz="8" w:color="E0E0E0"/>
            </w:tcBorders>
            <w:shd w:val="clear" w:color="auto" w:fill="E0E0E0"/>
          </w:tcPr>
          <w:p>
            <w:pPr>
              <w:spacing w:after="0"/>
              <w:rPr>
                <w:sz w:val="20"/>
                <w:szCs w:val="20"/>
                <w:color w:val="auto"/>
              </w:rPr>
            </w:pPr>
          </w:p>
        </w:tc>
        <w:tc>
          <w:tcPr>
            <w:tcW w:w="11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3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5,232</w:t>
            </w:r>
          </w:p>
        </w:tc>
        <w:tc>
          <w:tcPr>
            <w:tcW w:w="20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340" w:type="dxa"/>
            <w:vAlign w:val="bottom"/>
            <w:tcBorders>
              <w:top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5,914</w:t>
            </w:r>
          </w:p>
        </w:tc>
        <w:tc>
          <w:tcPr>
            <w:tcW w:w="60" w:type="dxa"/>
            <w:vAlign w:val="bottom"/>
            <w:tcBorders>
              <w:top w:val="single" w:sz="8" w:color="E0E0E0"/>
            </w:tcBorders>
            <w:shd w:val="clear" w:color="auto" w:fill="E0E0E0"/>
          </w:tcPr>
          <w:p>
            <w:pPr>
              <w:spacing w:after="0"/>
              <w:rPr>
                <w:sz w:val="20"/>
                <w:szCs w:val="20"/>
                <w:color w:val="auto"/>
              </w:rPr>
            </w:pPr>
          </w:p>
        </w:tc>
        <w:tc>
          <w:tcPr>
            <w:tcW w:w="20" w:type="dxa"/>
            <w:vAlign w:val="bottom"/>
            <w:tcBorders>
              <w:top w:val="single" w:sz="8" w:color="E0E0E0"/>
            </w:tcBorders>
            <w:shd w:val="clear" w:color="auto" w:fill="E0E0E0"/>
          </w:tcPr>
          <w:p>
            <w:pPr>
              <w:spacing w:after="0"/>
              <w:rPr>
                <w:sz w:val="20"/>
                <w:szCs w:val="20"/>
                <w:color w:val="auto"/>
              </w:rPr>
            </w:pPr>
          </w:p>
        </w:tc>
        <w:tc>
          <w:tcPr>
            <w:tcW w:w="11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3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(682</w:t>
            </w:r>
          </w:p>
        </w:tc>
        <w:tc>
          <w:tcPr>
            <w:tcW w:w="8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0" w:type="dxa"/>
            <w:vAlign w:val="bottom"/>
          </w:tcPr>
          <w:p>
            <w:pPr>
              <w:spacing w:after="0"/>
              <w:rPr>
                <w:sz w:val="1"/>
                <w:szCs w:val="1"/>
                <w:color w:val="auto"/>
              </w:rPr>
            </w:pPr>
          </w:p>
        </w:tc>
      </w:tr>
      <w:tr>
        <w:trPr>
          <w:trHeight w:val="244"/>
        </w:trPr>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Development</w:t>
            </w:r>
          </w:p>
        </w:tc>
        <w:tc>
          <w:tcPr>
            <w:tcW w:w="1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48,370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35,295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7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Personnel related</w:t>
            </w:r>
          </w:p>
        </w:tc>
        <w:tc>
          <w:tcPr>
            <w:tcW w:w="120" w:type="dxa"/>
            <w:vAlign w:val="bottom"/>
            <w:shd w:val="clear" w:color="auto" w:fill="E0E0E0"/>
          </w:tcPr>
          <w:p>
            <w:pPr>
              <w:spacing w:after="0"/>
              <w:rPr>
                <w:sz w:val="21"/>
                <w:szCs w:val="21"/>
                <w:color w:val="auto"/>
              </w:rPr>
            </w:pPr>
          </w:p>
        </w:tc>
        <w:tc>
          <w:tcPr>
            <w:tcW w:w="110" w:type="dxa"/>
            <w:vAlign w:val="bottom"/>
            <w:shd w:val="clear" w:color="auto" w:fill="E0E0E0"/>
          </w:tcPr>
          <w:p>
            <w:pPr>
              <w:spacing w:after="0"/>
              <w:rPr>
                <w:sz w:val="21"/>
                <w:szCs w:val="21"/>
                <w:color w:val="auto"/>
              </w:rPr>
            </w:pPr>
          </w:p>
        </w:tc>
        <w:tc>
          <w:tcPr>
            <w:tcW w:w="93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13,668</w:t>
            </w:r>
          </w:p>
        </w:tc>
        <w:tc>
          <w:tcPr>
            <w:tcW w:w="2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13,662</w:t>
            </w:r>
          </w:p>
        </w:tc>
        <w:tc>
          <w:tcPr>
            <w:tcW w:w="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10" w:type="dxa"/>
            <w:vAlign w:val="bottom"/>
            <w:shd w:val="clear" w:color="auto" w:fill="E0E0E0"/>
          </w:tcPr>
          <w:p>
            <w:pPr>
              <w:spacing w:after="0"/>
              <w:rPr>
                <w:sz w:val="21"/>
                <w:szCs w:val="21"/>
                <w:color w:val="auto"/>
              </w:rPr>
            </w:pPr>
          </w:p>
        </w:tc>
        <w:tc>
          <w:tcPr>
            <w:tcW w:w="93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20" w:type="dxa"/>
            <w:vAlign w:val="bottom"/>
            <w:tcBorders>
              <w:bottom w:val="single" w:sz="8" w:color="E0E0E0"/>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9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2,607</w:t>
            </w:r>
          </w:p>
        </w:tc>
        <w:tc>
          <w:tcPr>
            <w:tcW w:w="20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3,656</w:t>
            </w: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9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(1,049</w:t>
            </w: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0" w:type="dxa"/>
            <w:vAlign w:val="bottom"/>
          </w:tcPr>
          <w:p>
            <w:pPr>
              <w:spacing w:after="0"/>
              <w:rPr>
                <w:sz w:val="1"/>
                <w:szCs w:val="1"/>
                <w:color w:val="auto"/>
              </w:rPr>
            </w:pPr>
          </w:p>
        </w:tc>
      </w:tr>
      <w:tr>
        <w:trPr>
          <w:trHeight w:val="234"/>
        </w:trPr>
        <w:tc>
          <w:tcPr>
            <w:tcW w:w="57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Total</w:t>
            </w:r>
          </w:p>
        </w:tc>
        <w:tc>
          <w:tcPr>
            <w:tcW w:w="120" w:type="dxa"/>
            <w:vAlign w:val="bottom"/>
            <w:shd w:val="clear" w:color="auto" w:fill="E0E0E0"/>
          </w:tcPr>
          <w:p>
            <w:pPr>
              <w:spacing w:after="0"/>
              <w:rPr>
                <w:sz w:val="20"/>
                <w:szCs w:val="20"/>
                <w:color w:val="auto"/>
              </w:rPr>
            </w:pPr>
          </w:p>
        </w:tc>
        <w:tc>
          <w:tcPr>
            <w:tcW w:w="11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3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69,877</w:t>
            </w:r>
          </w:p>
        </w:tc>
        <w:tc>
          <w:tcPr>
            <w:tcW w:w="200" w:type="dxa"/>
            <w:vAlign w:val="bottom"/>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340" w:type="dxa"/>
            <w:vAlign w:val="bottom"/>
            <w:tcBorders>
              <w:bottom w:val="single" w:sz="8" w:color="auto"/>
            </w:tcBorders>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58,527</w:t>
            </w:r>
          </w:p>
        </w:tc>
        <w:tc>
          <w:tcPr>
            <w:tcW w:w="60" w:type="dxa"/>
            <w:vAlign w:val="bottom"/>
            <w:shd w:val="clear" w:color="auto" w:fill="E0E0E0"/>
          </w:tcPr>
          <w:p>
            <w:pPr>
              <w:spacing w:after="0"/>
              <w:rPr>
                <w:sz w:val="20"/>
                <w:szCs w:val="20"/>
                <w:color w:val="auto"/>
              </w:rPr>
            </w:pPr>
          </w:p>
        </w:tc>
        <w:tc>
          <w:tcPr>
            <w:tcW w:w="20" w:type="dxa"/>
            <w:vAlign w:val="bottom"/>
            <w:tcBorders>
              <w:bottom w:val="single" w:sz="8" w:color="auto"/>
            </w:tcBorders>
            <w:shd w:val="clear" w:color="auto" w:fill="E0E0E0"/>
          </w:tcPr>
          <w:p>
            <w:pPr>
              <w:spacing w:after="0"/>
              <w:rPr>
                <w:sz w:val="20"/>
                <w:szCs w:val="20"/>
                <w:color w:val="auto"/>
              </w:rPr>
            </w:pPr>
          </w:p>
        </w:tc>
        <w:tc>
          <w:tcPr>
            <w:tcW w:w="11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3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11,350</w:t>
            </w: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3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3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-649605</wp:posOffset>
                </wp:positionV>
                <wp:extent cx="59436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1499pt" to="468pt,-51.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59436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499pt" to="468pt,-26.7499pt" o:allowincell="f" strokecolor="#FFFFFF" strokeweight="0.72pt"/>
            </w:pict>
          </mc:Fallback>
        </mc:AlternateContent>
      </w:r>
    </w:p>
    <w:p>
      <w:pPr>
        <w:spacing w:after="0" w:line="23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were $69.9 million for the year ended December 31, 2025, compared to $58.5 million for the year ended December 31, 2024. The increase of $11.4 million was primarily due to the following:</w:t>
      </w:r>
    </w:p>
    <w:p>
      <w:pPr>
        <w:spacing w:after="0" w:line="83" w:lineRule="exact"/>
        <w:rPr>
          <w:sz w:val="20"/>
          <w:szCs w:val="20"/>
          <w:color w:val="auto"/>
        </w:rPr>
      </w:pPr>
    </w:p>
    <w:p>
      <w:pPr>
        <w:ind w:left="900" w:right="120" w:hanging="281"/>
        <w:spacing w:after="0" w:line="276" w:lineRule="auto"/>
        <w:tabs>
          <w:tab w:leader="none" w:pos="9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$13.1 million increase in development and personnel related expenses, largely driven by increased CRO costs for advancing our lead product candidate, rezatapopt, through the Phase 2 clinical trial; offset by</w:t>
      </w:r>
    </w:p>
    <w:p>
      <w:pPr>
        <w:spacing w:after="0" w:line="63" w:lineRule="exact"/>
        <w:rPr>
          <w:rFonts w:ascii="Arial" w:cs="Arial" w:eastAsia="Arial" w:hAnsi="Arial"/>
          <w:sz w:val="20"/>
          <w:szCs w:val="20"/>
          <w:color w:val="auto"/>
        </w:rPr>
      </w:pPr>
    </w:p>
    <w:p>
      <w:pPr>
        <w:ind w:left="900" w:hanging="281"/>
        <w:spacing w:after="0"/>
        <w:tabs>
          <w:tab w:leader="none" w:pos="9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$0.7 million decrease in research related costs driven by decreased pre-clinical CRO costs; and</w:t>
      </w:r>
    </w:p>
    <w:p>
      <w:pPr>
        <w:spacing w:after="0" w:line="132" w:lineRule="exact"/>
        <w:rPr>
          <w:rFonts w:ascii="Arial" w:cs="Arial" w:eastAsia="Arial" w:hAnsi="Arial"/>
          <w:sz w:val="20"/>
          <w:szCs w:val="20"/>
          <w:color w:val="auto"/>
        </w:rPr>
      </w:pPr>
    </w:p>
    <w:p>
      <w:pPr>
        <w:ind w:left="900" w:hanging="281"/>
        <w:spacing w:after="0"/>
        <w:tabs>
          <w:tab w:leader="none" w:pos="90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$1.0 million decrease for stock-based compensation.</w:t>
      </w:r>
    </w:p>
    <w:p>
      <w:pPr>
        <w:spacing w:after="0" w:line="3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20"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expenses were $16.3 million for the year ended December 31, 2025, compared to $26.9 million for the year ended December 31, 2024. The decrease of $10.6 million was primarily due to the following:</w:t>
      </w:r>
    </w:p>
    <w:p>
      <w:pPr>
        <w:spacing w:after="0" w:line="83" w:lineRule="exact"/>
        <w:rPr>
          <w:sz w:val="20"/>
          <w:szCs w:val="20"/>
          <w:color w:val="auto"/>
        </w:rPr>
      </w:pPr>
    </w:p>
    <w:p>
      <w:pPr>
        <w:ind w:left="900" w:right="1060" w:hanging="281"/>
        <w:spacing w:after="0" w:line="276" w:lineRule="auto"/>
        <w:tabs>
          <w:tab w:leader="none" w:pos="90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$7.7 million decrease in facility related costs due to the termination of our lease for our prior headquarters located at One Research Way in Princeton, New Jersey; and</w:t>
      </w:r>
    </w:p>
    <w:p>
      <w:pPr>
        <w:spacing w:after="0" w:line="64" w:lineRule="exact"/>
        <w:rPr>
          <w:rFonts w:ascii="Arial" w:cs="Arial" w:eastAsia="Arial" w:hAnsi="Arial"/>
          <w:sz w:val="20"/>
          <w:szCs w:val="20"/>
          <w:color w:val="auto"/>
        </w:rPr>
      </w:pPr>
    </w:p>
    <w:p>
      <w:pPr>
        <w:ind w:left="900" w:hanging="281"/>
        <w:spacing w:after="0" w:line="258" w:lineRule="auto"/>
        <w:tabs>
          <w:tab w:leader="none" w:pos="90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$0.4 million decrease in general and administrative consulting costs, $0.1 million decrease in director and officer insurance fees, and $2.4 million decrease in expenses for personnel related costs and stock-based compensation.</w:t>
      </w:r>
    </w:p>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Net</w:t>
      </w:r>
    </w:p>
    <w:p>
      <w:pPr>
        <w:spacing w:after="0" w:line="119"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0"/>
          <w:szCs w:val="20"/>
          <w:color w:val="auto"/>
        </w:rPr>
        <w:t>Interest income, net, primarily consists of interest income from our interest-bearing cash, cash equivalents, and marketable securities and interest costs related to amortization of premiums and discounts on marketable securities. Interest income, net was $6.4 million for the year ended December 31, 2025, compared to $10.7 million for the year ended December 31, 2024. The decrease of $4.3 million was primarily due to the amount of, and reduction of interest rates with respect to, our cash investments in marketable securities and U.S. treasuries.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360"/>
          </w:cols>
          <w:pgMar w:left="1440" w:top="1420" w:right="1440" w:bottom="175" w:gutter="0" w:footer="0" w:header="0"/>
        </w:sectPr>
      </w:pPr>
    </w:p>
    <w:bookmarkStart w:id="101" w:name="page102"/>
    <w:bookmarkEnd w:id="101"/>
    <w:p>
      <w:pPr>
        <w:ind w:left="330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Our financial condition is summarized as follows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44"/>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22"/>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DDDDDD"/>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Financial assets:</w:t>
            </w:r>
          </w:p>
        </w:tc>
        <w:tc>
          <w:tcPr>
            <w:tcW w:w="100" w:type="dxa"/>
            <w:vAlign w:val="bottom"/>
            <w:tcBorders>
              <w:top w:val="single" w:sz="8" w:color="DDDDDD"/>
              <w:right w:val="single" w:sz="8" w:color="DDDDDD"/>
            </w:tcBorders>
            <w:shd w:val="clear" w:color="auto" w:fill="DDDDDD"/>
          </w:tcPr>
          <w:p>
            <w:pPr>
              <w:spacing w:after="0"/>
              <w:rPr>
                <w:sz w:val="19"/>
                <w:szCs w:val="19"/>
                <w:color w:val="auto"/>
              </w:rPr>
            </w:pPr>
          </w:p>
        </w:tc>
        <w:tc>
          <w:tcPr>
            <w:tcW w:w="300" w:type="dxa"/>
            <w:vAlign w:val="bottom"/>
            <w:tcBorders>
              <w:top w:val="single" w:sz="8" w:color="auto"/>
            </w:tcBorders>
            <w:shd w:val="clear" w:color="auto" w:fill="DDDDDD"/>
          </w:tcPr>
          <w:p>
            <w:pPr>
              <w:spacing w:after="0"/>
              <w:rPr>
                <w:sz w:val="19"/>
                <w:szCs w:val="19"/>
                <w:color w:val="auto"/>
              </w:rPr>
            </w:pPr>
          </w:p>
        </w:tc>
        <w:tc>
          <w:tcPr>
            <w:tcW w:w="1060" w:type="dxa"/>
            <w:vAlign w:val="bottom"/>
            <w:tcBorders>
              <w:top w:val="single" w:sz="8" w:color="auto"/>
              <w:right w:val="single" w:sz="8" w:color="DDDDDD"/>
            </w:tcBorders>
            <w:shd w:val="clear" w:color="auto" w:fill="DDDDDD"/>
          </w:tcPr>
          <w:p>
            <w:pPr>
              <w:spacing w:after="0"/>
              <w:rPr>
                <w:sz w:val="19"/>
                <w:szCs w:val="19"/>
                <w:color w:val="auto"/>
              </w:rPr>
            </w:pPr>
          </w:p>
        </w:tc>
        <w:tc>
          <w:tcPr>
            <w:tcW w:w="180" w:type="dxa"/>
            <w:vAlign w:val="bottom"/>
            <w:tcBorders>
              <w:top w:val="single" w:sz="8" w:color="DDDDDD"/>
              <w:right w:val="single" w:sz="8" w:color="DDDDDD"/>
            </w:tcBorders>
            <w:shd w:val="clear" w:color="auto" w:fill="DDDDDD"/>
          </w:tcPr>
          <w:p>
            <w:pPr>
              <w:spacing w:after="0"/>
              <w:rPr>
                <w:sz w:val="19"/>
                <w:szCs w:val="19"/>
                <w:color w:val="auto"/>
              </w:rPr>
            </w:pPr>
          </w:p>
        </w:tc>
        <w:tc>
          <w:tcPr>
            <w:tcW w:w="120" w:type="dxa"/>
            <w:vAlign w:val="bottom"/>
            <w:tcBorders>
              <w:top w:val="single" w:sz="8" w:color="auto"/>
            </w:tcBorders>
            <w:shd w:val="clear" w:color="auto" w:fill="DDDDDD"/>
          </w:tcPr>
          <w:p>
            <w:pPr>
              <w:spacing w:after="0"/>
              <w:rPr>
                <w:sz w:val="19"/>
                <w:szCs w:val="19"/>
                <w:color w:val="auto"/>
              </w:rPr>
            </w:pPr>
          </w:p>
        </w:tc>
        <w:tc>
          <w:tcPr>
            <w:tcW w:w="1220" w:type="dxa"/>
            <w:vAlign w:val="bottom"/>
            <w:tcBorders>
              <w:top w:val="single" w:sz="8" w:color="auto"/>
            </w:tcBorders>
            <w:shd w:val="clear" w:color="auto" w:fill="DDDDDD"/>
          </w:tcPr>
          <w:p>
            <w:pPr>
              <w:spacing w:after="0"/>
              <w:rPr>
                <w:sz w:val="19"/>
                <w:szCs w:val="19"/>
                <w:color w:val="auto"/>
              </w:rPr>
            </w:pPr>
          </w:p>
        </w:tc>
        <w:tc>
          <w:tcPr>
            <w:tcW w:w="8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shd w:val="clear" w:color="auto" w:fill="DDDDDD"/>
          </w:tcPr>
          <w:p>
            <w:pPr>
              <w:spacing w:after="0"/>
              <w:rPr>
                <w:sz w:val="19"/>
                <w:szCs w:val="19"/>
                <w:color w:val="auto"/>
              </w:rPr>
            </w:pPr>
          </w:p>
        </w:tc>
        <w:tc>
          <w:tcPr>
            <w:tcW w:w="1080" w:type="dxa"/>
            <w:vAlign w:val="bottom"/>
            <w:tcBorders>
              <w:top w:val="single" w:sz="8" w:color="auto"/>
            </w:tcBorders>
            <w:shd w:val="clear" w:color="auto" w:fill="DDDDDD"/>
          </w:tcPr>
          <w:p>
            <w:pPr>
              <w:spacing w:after="0"/>
              <w:rPr>
                <w:sz w:val="19"/>
                <w:szCs w:val="19"/>
                <w:color w:val="auto"/>
              </w:rPr>
            </w:pPr>
          </w:p>
        </w:tc>
        <w:tc>
          <w:tcPr>
            <w:tcW w:w="180" w:type="dxa"/>
            <w:vAlign w:val="bottom"/>
            <w:tcBorders>
              <w:top w:val="single" w:sz="8" w:color="DDDDDD"/>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37,983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40,876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(2,893)</w:t>
            </w:r>
          </w:p>
        </w:tc>
        <w:tc>
          <w:tcPr>
            <w:tcW w:w="0" w:type="dxa"/>
            <w:vAlign w:val="bottom"/>
          </w:tcPr>
          <w:p>
            <w:pPr>
              <w:spacing w:after="0"/>
              <w:rPr>
                <w:sz w:val="1"/>
                <w:szCs w:val="1"/>
                <w:color w:val="auto"/>
              </w:rPr>
            </w:pPr>
          </w:p>
        </w:tc>
      </w:tr>
      <w:tr>
        <w:trPr>
          <w:trHeight w:val="230"/>
        </w:trPr>
        <w:tc>
          <w:tcPr>
            <w:tcW w:w="468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Marketable securities – current</w:t>
            </w:r>
          </w:p>
        </w:tc>
        <w:tc>
          <w:tcPr>
            <w:tcW w:w="100" w:type="dxa"/>
            <w:vAlign w:val="bottom"/>
            <w:tcBorders>
              <w:right w:val="single" w:sz="8" w:color="DDDDDD"/>
            </w:tcBorders>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1060" w:type="dxa"/>
            <w:vAlign w:val="bottom"/>
            <w:tcBorders>
              <w:right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74,960</w:t>
            </w:r>
          </w:p>
        </w:tc>
        <w:tc>
          <w:tcPr>
            <w:tcW w:w="180" w:type="dxa"/>
            <w:vAlign w:val="bottom"/>
            <w:tcBorders>
              <w:right w:val="single" w:sz="8" w:color="DDDDDD"/>
            </w:tcBorders>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30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128,578</w:t>
            </w:r>
          </w:p>
        </w:tc>
        <w:tc>
          <w:tcPr>
            <w:tcW w:w="20" w:type="dxa"/>
            <w:vAlign w:val="bottom"/>
            <w:shd w:val="clear" w:color="auto" w:fill="DDDDDD"/>
          </w:tcPr>
          <w:p>
            <w:pPr>
              <w:spacing w:after="0"/>
              <w:rPr>
                <w:sz w:val="20"/>
                <w:szCs w:val="20"/>
                <w:color w:val="auto"/>
              </w:rPr>
            </w:pPr>
          </w:p>
        </w:tc>
        <w:tc>
          <w:tcPr>
            <w:tcW w:w="80" w:type="dxa"/>
            <w:vAlign w:val="bottom"/>
            <w:tcBorders>
              <w:right w:val="single" w:sz="8" w:color="DDDDDD"/>
            </w:tcBorders>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260" w:type="dxa"/>
            <w:vAlign w:val="bottom"/>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(53,618)</w:t>
            </w:r>
          </w:p>
        </w:tc>
        <w:tc>
          <w:tcPr>
            <w:tcW w:w="0" w:type="dxa"/>
            <w:vAlign w:val="bottom"/>
          </w:tcPr>
          <w:p>
            <w:pPr>
              <w:spacing w:after="0"/>
              <w:rPr>
                <w:sz w:val="1"/>
                <w:szCs w:val="1"/>
                <w:color w:val="auto"/>
              </w:rPr>
            </w:pPr>
          </w:p>
        </w:tc>
      </w:tr>
      <w:tr>
        <w:trPr>
          <w:trHeight w:val="229"/>
        </w:trPr>
        <w:tc>
          <w:tcPr>
            <w:tcW w:w="4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Marketable securities – noncurrent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(13,843)</w:t>
            </w:r>
          </w:p>
        </w:tc>
        <w:tc>
          <w:tcPr>
            <w:tcW w:w="0" w:type="dxa"/>
            <w:vAlign w:val="bottom"/>
          </w:tcPr>
          <w:p>
            <w:pPr>
              <w:spacing w:after="0"/>
              <w:rPr>
                <w:sz w:val="1"/>
                <w:szCs w:val="1"/>
                <w:color w:val="auto"/>
              </w:rPr>
            </w:pPr>
          </w:p>
        </w:tc>
      </w:tr>
      <w:tr>
        <w:trPr>
          <w:trHeight w:val="20"/>
        </w:trPr>
        <w:tc>
          <w:tcPr>
            <w:tcW w:w="4680" w:type="dxa"/>
            <w:vAlign w:val="bottom"/>
            <w:shd w:val="clear" w:color="auto" w:fill="DDDDDD"/>
          </w:tcPr>
          <w:p>
            <w:pPr>
              <w:spacing w:after="0" w:line="20" w:lineRule="exact"/>
              <w:rPr>
                <w:sz w:val="1"/>
                <w:szCs w:val="1"/>
                <w:color w:val="auto"/>
              </w:rPr>
            </w:pPr>
          </w:p>
        </w:tc>
        <w:tc>
          <w:tcPr>
            <w:tcW w:w="100" w:type="dxa"/>
            <w:vAlign w:val="bottom"/>
            <w:tcBorders>
              <w:right w:val="single" w:sz="8" w:color="DDDDDD"/>
            </w:tcBorders>
            <w:shd w:val="clear" w:color="auto" w:fill="DDDDDD"/>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tcBorders>
              <w:right w:val="single" w:sz="8" w:color="DDDDDD"/>
            </w:tcBorders>
            <w:shd w:val="clear" w:color="auto" w:fill="000000"/>
          </w:tcPr>
          <w:p>
            <w:pPr>
              <w:spacing w:after="0" w:line="20" w:lineRule="exact"/>
              <w:rPr>
                <w:sz w:val="1"/>
                <w:szCs w:val="1"/>
                <w:color w:val="auto"/>
              </w:rPr>
            </w:pPr>
          </w:p>
        </w:tc>
        <w:tc>
          <w:tcPr>
            <w:tcW w:w="180" w:type="dxa"/>
            <w:vAlign w:val="bottom"/>
            <w:tcBorders>
              <w:right w:val="single" w:sz="8" w:color="DDDDDD"/>
            </w:tcBorders>
            <w:shd w:val="clear" w:color="auto" w:fill="DDDDDD"/>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80" w:type="dxa"/>
            <w:vAlign w:val="bottom"/>
            <w:tcBorders>
              <w:right w:val="single" w:sz="8" w:color="DDDDDD"/>
            </w:tcBorders>
            <w:shd w:val="clear" w:color="auto" w:fill="DDDDDD"/>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80" w:type="dxa"/>
            <w:vAlign w:val="bottom"/>
            <w:shd w:val="clear" w:color="auto" w:fill="DDDDDD"/>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financial assets</w:t>
            </w:r>
          </w:p>
        </w:tc>
        <w:tc>
          <w:tcPr>
            <w:tcW w:w="100" w:type="dxa"/>
            <w:vAlign w:val="bottom"/>
            <w:tcBorders>
              <w:right w:val="single" w:sz="8" w:color="DDDDDD"/>
            </w:tcBorders>
            <w:shd w:val="clear" w:color="auto" w:fill="DDDDDD"/>
          </w:tcPr>
          <w:p>
            <w:pPr>
              <w:spacing w:after="0"/>
              <w:rPr>
                <w:sz w:val="19"/>
                <w:szCs w:val="19"/>
                <w:color w:val="auto"/>
              </w:rPr>
            </w:pPr>
          </w:p>
        </w:tc>
        <w:tc>
          <w:tcPr>
            <w:tcW w:w="300" w:type="dxa"/>
            <w:vAlign w:val="bottom"/>
            <w:shd w:val="clear" w:color="auto" w:fill="DDDDDD"/>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right w:val="single" w:sz="8" w:color="DDDDDD"/>
            </w:tcBorders>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112,943</w:t>
            </w:r>
          </w:p>
        </w:tc>
        <w:tc>
          <w:tcPr>
            <w:tcW w:w="180" w:type="dxa"/>
            <w:vAlign w:val="bottom"/>
            <w:tcBorders>
              <w:right w:val="single" w:sz="8" w:color="DDDDDD"/>
            </w:tcBorders>
            <w:shd w:val="clear" w:color="auto" w:fill="DDDDDD"/>
          </w:tcPr>
          <w:p>
            <w:pPr>
              <w:spacing w:after="0"/>
              <w:rPr>
                <w:sz w:val="19"/>
                <w:szCs w:val="19"/>
                <w:color w:val="auto"/>
              </w:rPr>
            </w:pP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183,297</w:t>
            </w: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80" w:type="dxa"/>
            <w:vAlign w:val="bottom"/>
            <w:tcBorders>
              <w:right w:val="single" w:sz="8" w:color="DDDDDD"/>
            </w:tcBorders>
            <w:shd w:val="clear" w:color="auto" w:fill="DDDDDD"/>
          </w:tcPr>
          <w:p>
            <w:pPr>
              <w:spacing w:after="0"/>
              <w:rPr>
                <w:sz w:val="19"/>
                <w:szCs w:val="19"/>
                <w:color w:val="auto"/>
              </w:rPr>
            </w:pPr>
          </w:p>
        </w:tc>
        <w:tc>
          <w:tcPr>
            <w:tcW w:w="260" w:type="dxa"/>
            <w:vAlign w:val="bottom"/>
            <w:shd w:val="clear" w:color="auto" w:fill="DDDDDD"/>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shd w:val="clear" w:color="auto" w:fill="DDDDDD"/>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(70,354)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Working capital:</w:t>
            </w:r>
          </w:p>
        </w:tc>
        <w:tc>
          <w:tcPr>
            <w:tcW w:w="100" w:type="dxa"/>
            <w:vAlign w:val="bottom"/>
            <w:tcBorders>
              <w:right w:val="single" w:sz="8" w:color="DDDDDD"/>
            </w:tcBorders>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1060" w:type="dxa"/>
            <w:vAlign w:val="bottom"/>
            <w:tcBorders>
              <w:right w:val="single" w:sz="8" w:color="DDDDDD"/>
            </w:tcBorders>
            <w:shd w:val="clear" w:color="auto" w:fill="DDDDDD"/>
          </w:tcPr>
          <w:p>
            <w:pPr>
              <w:spacing w:after="0"/>
              <w:rPr>
                <w:sz w:val="20"/>
                <w:szCs w:val="20"/>
                <w:color w:val="auto"/>
              </w:rPr>
            </w:pPr>
          </w:p>
        </w:tc>
        <w:tc>
          <w:tcPr>
            <w:tcW w:w="180" w:type="dxa"/>
            <w:vAlign w:val="bottom"/>
            <w:tcBorders>
              <w:right w:val="single" w:sz="8" w:color="DDDDDD"/>
            </w:tcBorders>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tcBorders>
              <w:right w:val="single" w:sz="8" w:color="DDDDDD"/>
            </w:tcBorders>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08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Current assets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175,658</w:t>
            </w:r>
          </w:p>
        </w:tc>
        <w:tc>
          <w:tcPr>
            <w:tcW w:w="2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(60,431)</w:t>
            </w:r>
          </w:p>
        </w:tc>
        <w:tc>
          <w:tcPr>
            <w:tcW w:w="0" w:type="dxa"/>
            <w:vAlign w:val="bottom"/>
          </w:tcPr>
          <w:p>
            <w:pPr>
              <w:spacing w:after="0"/>
              <w:rPr>
                <w:sz w:val="1"/>
                <w:szCs w:val="1"/>
                <w:color w:val="auto"/>
              </w:rPr>
            </w:pPr>
          </w:p>
        </w:tc>
      </w:tr>
      <w:tr>
        <w:trPr>
          <w:trHeight w:val="229"/>
        </w:trPr>
        <w:tc>
          <w:tcPr>
            <w:tcW w:w="468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Current liabilities</w:t>
            </w:r>
          </w:p>
        </w:tc>
        <w:tc>
          <w:tcPr>
            <w:tcW w:w="100" w:type="dxa"/>
            <w:vAlign w:val="bottom"/>
            <w:tcBorders>
              <w:right w:val="single" w:sz="8" w:color="DDDDDD"/>
            </w:tcBorders>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060" w:type="dxa"/>
            <w:vAlign w:val="bottom"/>
            <w:tcBorders>
              <w:right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11,415</w:t>
            </w:r>
          </w:p>
        </w:tc>
        <w:tc>
          <w:tcPr>
            <w:tcW w:w="180" w:type="dxa"/>
            <w:vAlign w:val="bottom"/>
            <w:tcBorders>
              <w:right w:val="single" w:sz="8" w:color="DDDDDD"/>
            </w:tcBorders>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30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14,370</w:t>
            </w:r>
          </w:p>
        </w:tc>
        <w:tc>
          <w:tcPr>
            <w:tcW w:w="20" w:type="dxa"/>
            <w:vAlign w:val="bottom"/>
            <w:shd w:val="clear" w:color="auto" w:fill="DDDDDD"/>
          </w:tcPr>
          <w:p>
            <w:pPr>
              <w:spacing w:after="0"/>
              <w:rPr>
                <w:sz w:val="19"/>
                <w:szCs w:val="19"/>
                <w:color w:val="auto"/>
              </w:rPr>
            </w:pPr>
          </w:p>
        </w:tc>
        <w:tc>
          <w:tcPr>
            <w:tcW w:w="80" w:type="dxa"/>
            <w:vAlign w:val="bottom"/>
            <w:tcBorders>
              <w:right w:val="single" w:sz="8" w:color="DDDDDD"/>
            </w:tcBorders>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260" w:type="dxa"/>
            <w:vAlign w:val="bottom"/>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(2,955)</w:t>
            </w:r>
          </w:p>
        </w:tc>
        <w:tc>
          <w:tcPr>
            <w:tcW w:w="0" w:type="dxa"/>
            <w:vAlign w:val="bottom"/>
          </w:tcPr>
          <w:p>
            <w:pPr>
              <w:spacing w:after="0"/>
              <w:rPr>
                <w:sz w:val="1"/>
                <w:szCs w:val="1"/>
                <w:color w:val="auto"/>
              </w:rPr>
            </w:pPr>
          </w:p>
        </w:tc>
      </w:tr>
      <w:tr>
        <w:trPr>
          <w:trHeight w:val="222"/>
        </w:trPr>
        <w:tc>
          <w:tcPr>
            <w:tcW w:w="468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Total working capital</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103,812</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161,288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(57,476)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4919980</wp:posOffset>
                </wp:positionH>
                <wp:positionV relativeFrom="paragraph">
                  <wp:posOffset>-1533525</wp:posOffset>
                </wp:positionV>
                <wp:extent cx="5969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 cy="4763"/>
                        </a:xfrm>
                        <a:prstGeom prst="line">
                          <a:avLst/>
                        </a:prstGeom>
                        <a:solidFill>
                          <a:srgbClr val="FFFFFF"/>
                        </a:solidFill>
                        <a:ln w="6095">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4pt,-120.7499pt" to="392.1pt,-120.7499pt" o:allowincell="f" strokecolor="#FFFFFF" strokeweight="0.4799pt"/>
            </w:pict>
          </mc:Fallback>
        </mc:AlternateContent>
        <mc:AlternateContent>
          <mc:Choice Requires="wps">
            <w:drawing>
              <wp:anchor simplePos="0" relativeHeight="251657728" behindDoc="1" locked="0" layoutInCell="0" allowOverlap="1">
                <wp:simplePos x="0" y="0"/>
                <wp:positionH relativeFrom="column">
                  <wp:posOffset>3030855</wp:posOffset>
                </wp:positionH>
                <wp:positionV relativeFrom="paragraph">
                  <wp:posOffset>-765810</wp:posOffset>
                </wp:positionV>
                <wp:extent cx="85534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5345" cy="4763"/>
                        </a:xfrm>
                        <a:prstGeom prst="line">
                          <a:avLst/>
                        </a:prstGeom>
                        <a:solidFill>
                          <a:srgbClr val="FFFFFF"/>
                        </a:solidFill>
                        <a:ln w="1776">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65pt,-60.2999pt" to="306pt,-60.2999pt" o:allowincell="f" strokecolor="#FFFFFF" strokeweight="0.1398pt"/>
            </w:pict>
          </mc:Fallback>
        </mc:AlternateContent>
        <mc:AlternateContent>
          <mc:Choice Requires="wps">
            <w:drawing>
              <wp:anchor simplePos="0" relativeHeight="251657728" behindDoc="1" locked="0" layoutInCell="0" allowOverlap="1">
                <wp:simplePos x="0" y="0"/>
                <wp:positionH relativeFrom="column">
                  <wp:posOffset>4005580</wp:posOffset>
                </wp:positionH>
                <wp:positionV relativeFrom="paragraph">
                  <wp:posOffset>-765810</wp:posOffset>
                </wp:positionV>
                <wp:extent cx="85407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4075" cy="4763"/>
                        </a:xfrm>
                        <a:prstGeom prst="line">
                          <a:avLst/>
                        </a:prstGeom>
                        <a:solidFill>
                          <a:srgbClr val="FFFFFF"/>
                        </a:solidFill>
                        <a:ln w="1776">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4pt,-60.2999pt" to="382.65pt,-60.2999pt" o:allowincell="f" strokecolor="#FFFFFF" strokeweight="0.1398pt"/>
            </w:pict>
          </mc:Fallback>
        </mc:AlternateContent>
        <mc:AlternateContent>
          <mc:Choice Requires="wps">
            <w:drawing>
              <wp:anchor simplePos="0" relativeHeight="251657728" behindDoc="1" locked="0" layoutInCell="0" allowOverlap="1">
                <wp:simplePos x="0" y="0"/>
                <wp:positionH relativeFrom="column">
                  <wp:posOffset>4979670</wp:posOffset>
                </wp:positionH>
                <wp:positionV relativeFrom="paragraph">
                  <wp:posOffset>-765810</wp:posOffset>
                </wp:positionV>
                <wp:extent cx="85471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4710" cy="4763"/>
                        </a:xfrm>
                        <a:prstGeom prst="line">
                          <a:avLst/>
                        </a:prstGeom>
                        <a:solidFill>
                          <a:srgbClr val="FFFFFF"/>
                        </a:solidFill>
                        <a:ln w="1776">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1pt,-60.2999pt" to="459.4pt,-60.2999pt" o:allowincell="f" strokecolor="#FFFFFF" strokeweight="0.1398pt"/>
            </w:pict>
          </mc:Fallback>
        </mc:AlternateConten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119" w:lineRule="exact"/>
        <w:rPr>
          <w:sz w:val="20"/>
          <w:szCs w:val="20"/>
          <w:color w:val="auto"/>
        </w:rPr>
      </w:pPr>
    </w:p>
    <w:p>
      <w:pPr>
        <w:ind w:right="200" w:firstLine="619"/>
        <w:spacing w:after="0" w:line="247" w:lineRule="auto"/>
        <w:rPr>
          <w:sz w:val="20"/>
          <w:szCs w:val="20"/>
          <w:color w:val="auto"/>
        </w:rPr>
      </w:pPr>
      <w:r>
        <w:rPr>
          <w:rFonts w:ascii="Times New Roman" w:cs="Times New Roman" w:eastAsia="Times New Roman" w:hAnsi="Times New Roman"/>
          <w:sz w:val="20"/>
          <w:szCs w:val="20"/>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December 31, 2025, we had cash, cash equivalents, and marketable securities of $112.9 million and an accumulated deficit of $446.5 million. We have financed our operations primarily through issuance and sales of our equity securities.</w:t>
      </w:r>
    </w:p>
    <w:p>
      <w:pPr>
        <w:spacing w:after="0" w:line="200"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On November 20, 2024 we filed a shelf registration statement on Form S-3 (File No. 333-283349) with the SEC and a prospectus supplement, which registered the offering, issuance and sale of up to $200,000,000 of various equity and debt securities and up to $113.8 million of common stock pursuant to an at-the-market equity offering program with Jefferies LLC, dated October 4, 2021, or the ATM Program. The SEC declared the registration statement effective on November 27, 2024. During the year ending December 31, 2025, we did not sell any shares of our common stock pursuant to the ATM Program. As of December 31, 2025, we had approximately $113.8 million remaining in gross proceeds available for future issuances of common stock under the ATM Program.</w:t>
      </w:r>
    </w:p>
    <w:p>
      <w:pPr>
        <w:spacing w:after="0" w:line="3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 and Commitments</w:t>
      </w:r>
    </w:p>
    <w:p>
      <w:pPr>
        <w:spacing w:after="0" w:line="119" w:lineRule="exact"/>
        <w:rPr>
          <w:sz w:val="20"/>
          <w:szCs w:val="20"/>
          <w:color w:val="auto"/>
        </w:rPr>
      </w:pPr>
    </w:p>
    <w:p>
      <w:pPr>
        <w:ind w:right="100" w:firstLine="619"/>
        <w:spacing w:after="0" w:line="252" w:lineRule="auto"/>
        <w:rPr>
          <w:sz w:val="20"/>
          <w:szCs w:val="20"/>
          <w:color w:val="auto"/>
        </w:rPr>
      </w:pPr>
      <w:r>
        <w:rPr>
          <w:rFonts w:ascii="Times New Roman" w:cs="Times New Roman" w:eastAsia="Times New Roman" w:hAnsi="Times New Roman"/>
          <w:sz w:val="20"/>
          <w:szCs w:val="20"/>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25"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In September 2024, we signed two subleases, one for 14,201 square feet of office space at 400 Alexander Park Drive, Suite 301, in Princeton, New Jersey, to be used as our new headquarters, or the 400 Alexander Sublease, and the other for 3,205 square feet of office and laboratory space at 311 Pennington Rocky Hill in Hopewell, New Jersey, to be used for our new laboratory space, or the 311 Pennington Sublease. The 400 Alexander Sublease term extends until February 2027, and the 311 Pennington Sublease term extends until December 2029 and has a three-year extension option. Amounts related to future lease payments for 311 Pennington Sublease as of December 31, 2025, totaled $0.6 million with $0.1 million to be paid within the next 12 months. Amounts related to future lease payments for 400 Alexander Sublease as of December 31, 2025, totaled $0.4 million with $0.3 million to be paid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360"/>
          </w:cols>
          <w:pgMar w:left="1440" w:top="1416" w:right="1440" w:bottom="175" w:gutter="0" w:footer="0" w:header="0"/>
        </w:sectPr>
      </w:pPr>
    </w:p>
    <w:bookmarkStart w:id="102" w:name="page103"/>
    <w:bookmarkEnd w:id="102"/>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Plan of Operation and Future Funding Requirements</w:t>
      </w:r>
    </w:p>
    <w:p>
      <w:pPr>
        <w:spacing w:after="0" w:line="119"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We use our capital resources primarily to fund operating expenses, mainly research and development expenditures. At this time, due to the inherently unpredictable nature of preclinical and clinical development,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206"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Due to our significant research and development expenditures, we have generated substantial operating losses in each period since inception. We have incurred an accumulated deficit of $446.5 million through December 31, 2025. We expect to incur substantial additional losses in the future. Our cash operating expenditures were $73.6 million in 2025 and $51.3 million in 2024. Based on our research and development plans, we expect that our cash, cash equivalents, and marketable securities balances as of December 31, 2025 will be sufficient to fund our planned operations until the end of the second quarter of 2027.</w:t>
      </w:r>
    </w:p>
    <w:p>
      <w:pPr>
        <w:spacing w:after="0" w:line="80" w:lineRule="exact"/>
        <w:rPr>
          <w:sz w:val="20"/>
          <w:szCs w:val="20"/>
          <w:color w:val="auto"/>
        </w:rPr>
      </w:pPr>
    </w:p>
    <w:p>
      <w:pPr>
        <w:ind w:right="480" w:firstLine="490"/>
        <w:spacing w:after="0" w:line="278" w:lineRule="auto"/>
        <w:rPr>
          <w:sz w:val="20"/>
          <w:szCs w:val="20"/>
          <w:color w:val="auto"/>
        </w:rPr>
      </w:pPr>
      <w:r>
        <w:rPr>
          <w:rFonts w:ascii="Times New Roman" w:cs="Times New Roman" w:eastAsia="Times New Roman" w:hAnsi="Times New Roman"/>
          <w:sz w:val="20"/>
          <w:szCs w:val="20"/>
          <w:color w:val="auto"/>
        </w:rPr>
        <w:t>We have based this estimate on assumptions that may prove to be wrong, however, and we could use our capital resources sooner than we expect.</w:t>
      </w:r>
    </w:p>
    <w:p>
      <w:pPr>
        <w:spacing w:after="0" w:line="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timing and amount of our operating expenditures will depend largely on:</w:t>
      </w:r>
    </w:p>
    <w:p>
      <w:pPr>
        <w:spacing w:after="0" w:line="135" w:lineRule="exact"/>
        <w:rPr>
          <w:sz w:val="20"/>
          <w:szCs w:val="20"/>
          <w:color w:val="auto"/>
        </w:rPr>
      </w:pPr>
    </w:p>
    <w:p>
      <w:pPr>
        <w:ind w:left="840" w:hanging="350"/>
        <w:spacing w:after="0"/>
        <w:tabs>
          <w:tab w:leader="none" w:pos="8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progress of preclinical and clinical development activities;</w:t>
      </w:r>
    </w:p>
    <w:p>
      <w:pPr>
        <w:spacing w:after="0" w:line="133" w:lineRule="exact"/>
        <w:rPr>
          <w:rFonts w:ascii="Arial" w:cs="Arial" w:eastAsia="Arial" w:hAnsi="Arial"/>
          <w:sz w:val="20"/>
          <w:szCs w:val="20"/>
          <w:color w:val="auto"/>
        </w:rPr>
      </w:pPr>
    </w:p>
    <w:p>
      <w:pPr>
        <w:ind w:left="840" w:hanging="350"/>
        <w:spacing w:after="0"/>
        <w:tabs>
          <w:tab w:leader="none" w:pos="8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scope of preclinical and clinical programs we decide to pursue;</w:t>
      </w:r>
    </w:p>
    <w:p>
      <w:pPr>
        <w:spacing w:after="0" w:line="132" w:lineRule="exact"/>
        <w:rPr>
          <w:rFonts w:ascii="Arial" w:cs="Arial" w:eastAsia="Arial" w:hAnsi="Arial"/>
          <w:sz w:val="20"/>
          <w:szCs w:val="20"/>
          <w:color w:val="auto"/>
        </w:rPr>
      </w:pPr>
    </w:p>
    <w:p>
      <w:pPr>
        <w:ind w:left="840" w:hanging="350"/>
        <w:spacing w:after="0"/>
        <w:tabs>
          <w:tab w:leader="none" w:pos="8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amount of milestone payments we may receive under any future collaboration agreements;</w:t>
      </w:r>
    </w:p>
    <w:p>
      <w:pPr>
        <w:spacing w:after="0" w:line="133" w:lineRule="exact"/>
        <w:rPr>
          <w:rFonts w:ascii="Arial" w:cs="Arial" w:eastAsia="Arial" w:hAnsi="Arial"/>
          <w:sz w:val="20"/>
          <w:szCs w:val="20"/>
          <w:color w:val="auto"/>
        </w:rPr>
      </w:pPr>
    </w:p>
    <w:p>
      <w:pPr>
        <w:ind w:left="840" w:right="560" w:hanging="350"/>
        <w:spacing w:after="0" w:line="276" w:lineRule="auto"/>
        <w:tabs>
          <w:tab w:leader="none" w:pos="8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future licenses and research and development programs and to establish new collaboration and/or in-licensing arrangements;</w:t>
      </w:r>
    </w:p>
    <w:p>
      <w:pPr>
        <w:spacing w:after="0" w:line="64" w:lineRule="exact"/>
        <w:rPr>
          <w:rFonts w:ascii="Arial" w:cs="Arial" w:eastAsia="Arial" w:hAnsi="Arial"/>
          <w:sz w:val="20"/>
          <w:szCs w:val="20"/>
          <w:color w:val="auto"/>
        </w:rPr>
      </w:pPr>
    </w:p>
    <w:p>
      <w:pPr>
        <w:ind w:left="840" w:hanging="350"/>
        <w:spacing w:after="0"/>
        <w:tabs>
          <w:tab w:leader="none" w:pos="8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involved in prosecuting and enforcing patent and other intellectual property claims;</w:t>
      </w:r>
    </w:p>
    <w:p>
      <w:pPr>
        <w:spacing w:after="0" w:line="133" w:lineRule="exact"/>
        <w:rPr>
          <w:rFonts w:ascii="Arial" w:cs="Arial" w:eastAsia="Arial" w:hAnsi="Arial"/>
          <w:sz w:val="20"/>
          <w:szCs w:val="20"/>
          <w:color w:val="auto"/>
        </w:rPr>
      </w:pPr>
    </w:p>
    <w:p>
      <w:pPr>
        <w:ind w:left="840" w:hanging="350"/>
        <w:spacing w:after="0"/>
        <w:tabs>
          <w:tab w:leader="none" w:pos="8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 cost and timing of regulatory approvals; and</w:t>
      </w:r>
    </w:p>
    <w:p>
      <w:pPr>
        <w:spacing w:after="0" w:line="132" w:lineRule="exact"/>
        <w:rPr>
          <w:rFonts w:ascii="Arial" w:cs="Arial" w:eastAsia="Arial" w:hAnsi="Arial"/>
          <w:sz w:val="20"/>
          <w:szCs w:val="20"/>
          <w:color w:val="auto"/>
        </w:rPr>
      </w:pPr>
    </w:p>
    <w:p>
      <w:pPr>
        <w:ind w:left="840" w:right="340" w:hanging="350"/>
        <w:spacing w:after="0" w:line="259" w:lineRule="auto"/>
        <w:tabs>
          <w:tab w:leader="none" w:pos="84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our efforts to manage our office and laboratory headquarters, enhance operational systems and hire additional personnel to support development of our product candidates and satisfy our obligations as a public company.</w:t>
      </w:r>
    </w:p>
    <w:p>
      <w:pPr>
        <w:spacing w:after="0" w:line="65"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360"/>
          </w:cols>
          <w:pgMar w:left="1440" w:top="1420" w:right="1440" w:bottom="175" w:gutter="0" w:footer="0" w:header="0"/>
        </w:sectPr>
      </w:pPr>
    </w:p>
    <w:bookmarkStart w:id="103" w:name="page104"/>
    <w:bookmarkEnd w:id="103"/>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summarizes our cash flows for the period indicated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660" w:type="dxa"/>
            <w:vAlign w:val="bottom"/>
            <w:tcBorders>
              <w:bottom w:val="single" w:sz="8" w:color="E0E0E0"/>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4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E0E0E0"/>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2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5"/>
                <w:szCs w:val="15"/>
                <w:color w:val="auto"/>
              </w:rPr>
            </w:pPr>
          </w:p>
        </w:tc>
        <w:tc>
          <w:tcPr>
            <w:tcW w:w="140" w:type="dxa"/>
            <w:vAlign w:val="bottom"/>
            <w:tcBorders>
              <w:bottom w:val="single" w:sz="8" w:color="E0E0E0"/>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6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Cash used in operating activities</w:t>
            </w:r>
          </w:p>
        </w:tc>
        <w:tc>
          <w:tcPr>
            <w:tcW w:w="240" w:type="dxa"/>
            <w:vAlign w:val="bottom"/>
            <w:gridSpan w:val="2"/>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shd w:val="clear" w:color="auto" w:fill="E0E0E0"/>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(73,577)</w:t>
            </w:r>
          </w:p>
        </w:tc>
        <w:tc>
          <w:tcPr>
            <w:tcW w:w="220" w:type="dxa"/>
            <w:vAlign w:val="bottom"/>
            <w:shd w:val="clear" w:color="auto" w:fill="E0E0E0"/>
          </w:tcPr>
          <w:p>
            <w:pPr>
              <w:jc w:val="right"/>
              <w:ind w:right="3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(51,282 )</w:t>
            </w:r>
          </w:p>
        </w:tc>
        <w:tc>
          <w:tcPr>
            <w:tcW w:w="360" w:type="dxa"/>
            <w:vAlign w:val="bottom"/>
            <w:gridSpan w:val="2"/>
            <w:shd w:val="clear" w:color="auto" w:fill="E0E0E0"/>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(55,657 )</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Cash provided by (used in) investing activities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70,172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(50,545 )</w:t>
            </w:r>
          </w:p>
        </w:tc>
        <w:tc>
          <w:tcPr>
            <w:tcW w:w="0" w:type="dxa"/>
            <w:vAlign w:val="bottom"/>
          </w:tcPr>
          <w:p>
            <w:pPr>
              <w:spacing w:after="0"/>
              <w:rPr>
                <w:sz w:val="1"/>
                <w:szCs w:val="1"/>
                <w:color w:val="auto"/>
              </w:rPr>
            </w:pPr>
          </w:p>
        </w:tc>
      </w:tr>
      <w:tr>
        <w:trPr>
          <w:trHeight w:val="230"/>
        </w:trPr>
        <w:tc>
          <w:tcPr>
            <w:tcW w:w="5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Cash provided by (used in) financing activities</w:t>
            </w:r>
          </w:p>
        </w:tc>
        <w:tc>
          <w:tcPr>
            <w:tcW w:w="14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color w:val="auto"/>
              </w:rPr>
              <w:t>505</w:t>
            </w:r>
          </w:p>
        </w:tc>
        <w:tc>
          <w:tcPr>
            <w:tcW w:w="220" w:type="dxa"/>
            <w:vAlign w:val="bottom"/>
            <w:shd w:val="clear" w:color="auto" w:fill="E0E0E0"/>
          </w:tcPr>
          <w:p>
            <w:pPr>
              <w:spacing w:after="0"/>
              <w:rPr>
                <w:sz w:val="20"/>
                <w:szCs w:val="20"/>
                <w:color w:val="auto"/>
              </w:rPr>
            </w:pP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80" w:type="dxa"/>
            <w:vAlign w:val="bottom"/>
            <w:shd w:val="clear" w:color="auto" w:fill="E0E0E0"/>
          </w:tcPr>
          <w:p>
            <w:pPr>
              <w:spacing w:after="0"/>
              <w:rPr>
                <w:sz w:val="20"/>
                <w:szCs w:val="20"/>
                <w:color w:val="auto"/>
              </w:rPr>
            </w:pPr>
          </w:p>
        </w:tc>
        <w:tc>
          <w:tcPr>
            <w:tcW w:w="14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35,577</w:t>
            </w: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Impact of exchange rates on cash, cash equivalents, and restricted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(35 )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20"/>
                <w:szCs w:val="20"/>
                <w:color w:val="auto"/>
              </w:rPr>
              <w:t>Net (decrease) increase in cash, cash equivalents, and restricted cash</w:t>
            </w:r>
          </w:p>
        </w:tc>
        <w:tc>
          <w:tcPr>
            <w:tcW w:w="140" w:type="dxa"/>
            <w:vAlign w:val="bottom"/>
            <w:tcBorders>
              <w:right w:val="single" w:sz="8" w:color="E0E0E0"/>
            </w:tcBorders>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14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60" w:type="dxa"/>
            <w:vAlign w:val="bottom"/>
            <w:vMerge w:val="continue"/>
            <w:shd w:val="clear" w:color="auto" w:fill="E0E0E0"/>
          </w:tcPr>
          <w:p>
            <w:pPr>
              <w:spacing w:after="0"/>
              <w:rPr>
                <w:sz w:val="19"/>
                <w:szCs w:val="19"/>
                <w:color w:val="auto"/>
              </w:rPr>
            </w:pPr>
          </w:p>
        </w:tc>
        <w:tc>
          <w:tcPr>
            <w:tcW w:w="240" w:type="dxa"/>
            <w:vAlign w:val="bottom"/>
            <w:gridSpan w:val="2"/>
            <w:shd w:val="clear" w:color="auto" w:fill="E0E0E0"/>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shd w:val="clear" w:color="auto" w:fill="E0E0E0"/>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(2,893)</w:t>
            </w:r>
          </w:p>
        </w:tc>
        <w:tc>
          <w:tcPr>
            <w:tcW w:w="220" w:type="dxa"/>
            <w:vAlign w:val="bottom"/>
            <w:shd w:val="clear" w:color="auto" w:fill="E0E0E0"/>
          </w:tcPr>
          <w:p>
            <w:pPr>
              <w:jc w:val="right"/>
              <w:ind w:right="3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E0E0E0"/>
          </w:tcPr>
          <w:p>
            <w:pPr>
              <w:jc w:val="right"/>
              <w:spacing w:after="0" w:line="221" w:lineRule="exact"/>
              <w:rPr>
                <w:sz w:val="20"/>
                <w:szCs w:val="20"/>
                <w:color w:val="auto"/>
              </w:rPr>
            </w:pPr>
            <w:r>
              <w:rPr>
                <w:rFonts w:ascii="Times New Roman" w:cs="Times New Roman" w:eastAsia="Times New Roman" w:hAnsi="Times New Roman"/>
                <w:sz w:val="20"/>
                <w:szCs w:val="20"/>
                <w:color w:val="auto"/>
              </w:rPr>
              <w:t>2,348</w:t>
            </w:r>
          </w:p>
        </w:tc>
        <w:tc>
          <w:tcPr>
            <w:tcW w:w="80" w:type="dxa"/>
            <w:vAlign w:val="bottom"/>
            <w:shd w:val="clear" w:color="auto" w:fill="E0E0E0"/>
          </w:tcPr>
          <w:p>
            <w:pPr>
              <w:spacing w:after="0"/>
              <w:rPr>
                <w:sz w:val="19"/>
                <w:szCs w:val="19"/>
                <w:color w:val="auto"/>
              </w:rPr>
            </w:pPr>
          </w:p>
        </w:tc>
        <w:tc>
          <w:tcPr>
            <w:tcW w:w="360" w:type="dxa"/>
            <w:vAlign w:val="bottom"/>
            <w:gridSpan w:val="2"/>
            <w:shd w:val="clear" w:color="auto" w:fill="E0E0E0"/>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shd w:val="clear" w:color="auto" w:fill="E0E0E0"/>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(70,591 )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2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Net cash used in operating activities for the year ended December 31, 2025, was $73.6 million, which consisted primarily of net loss of $77.7 million decreased by non-cash charges of $3.3 million and increased by a net change of $0.9 million in our net operating assets and liabilities. The non-cash charges primarily consisted of stock-based compensation of $5.9 million; offset by accretion of discounts on marketable securities of $2.8 million. The change in our net operating assets and liabilities was primarily due to a decrease in other assets and an increase in accrued expenses.</w:t>
      </w:r>
    </w:p>
    <w:p>
      <w:pPr>
        <w:spacing w:after="0" w:line="230" w:lineRule="exact"/>
        <w:rPr>
          <w:sz w:val="20"/>
          <w:szCs w:val="20"/>
          <w:color w:val="auto"/>
        </w:rPr>
      </w:pPr>
    </w:p>
    <w:p>
      <w:pPr>
        <w:ind w:right="220" w:firstLine="619"/>
        <w:spacing w:after="0" w:line="247" w:lineRule="auto"/>
        <w:rPr>
          <w:sz w:val="20"/>
          <w:szCs w:val="20"/>
          <w:color w:val="auto"/>
        </w:rPr>
      </w:pPr>
      <w:r>
        <w:rPr>
          <w:rFonts w:ascii="Times New Roman" w:cs="Times New Roman" w:eastAsia="Times New Roman" w:hAnsi="Times New Roman"/>
          <w:sz w:val="20"/>
          <w:szCs w:val="20"/>
          <w:color w:val="auto"/>
        </w:rPr>
        <w:t>Net cash used in operating activities for the year ended December 31, 2024, was $51.3 million, which consisted primarily of net loss of $58.7 million decreased by non-cash charges of $9.0 million and decreased by a net change of $1.6 million in our net operating assets and liabilities. The non-cash charges primarily consisted of stock-based compensation of $8.9 million, depreciation of $1.1 million, and accretion of discounts on marketable securities of $5.4 million. The change in our net operating assets and liabilities was primarily due to an increase in operating lease liabilities and other assets and an increase in accrued expenses.</w:t>
      </w:r>
    </w:p>
    <w:p>
      <w:pPr>
        <w:spacing w:after="0" w:line="200" w:lineRule="exact"/>
        <w:rPr>
          <w:sz w:val="20"/>
          <w:szCs w:val="20"/>
          <w:color w:val="auto"/>
        </w:rPr>
      </w:pPr>
    </w:p>
    <w:p>
      <w:pPr>
        <w:spacing w:after="0" w:line="3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20" w:lineRule="exact"/>
        <w:rPr>
          <w:sz w:val="20"/>
          <w:szCs w:val="20"/>
          <w:color w:val="auto"/>
        </w:rPr>
      </w:pPr>
    </w:p>
    <w:p>
      <w:pPr>
        <w:ind w:right="360" w:firstLine="619"/>
        <w:spacing w:after="0" w:line="258" w:lineRule="auto"/>
        <w:rPr>
          <w:sz w:val="20"/>
          <w:szCs w:val="20"/>
          <w:color w:val="auto"/>
        </w:rPr>
      </w:pPr>
      <w:r>
        <w:rPr>
          <w:rFonts w:ascii="Times New Roman" w:cs="Times New Roman" w:eastAsia="Times New Roman" w:hAnsi="Times New Roman"/>
          <w:sz w:val="20"/>
          <w:szCs w:val="20"/>
          <w:color w:val="auto"/>
        </w:rPr>
        <w:t>Our investing activities provided $70.2 million of cash during the year ended December 31, 2025, which consisted primarily of maturities of marketable securities of $158 million, offset by purchases of marketable securities of $88.2 million.</w:t>
      </w:r>
    </w:p>
    <w:p>
      <w:pPr>
        <w:spacing w:after="0" w:line="299" w:lineRule="exact"/>
        <w:rPr>
          <w:sz w:val="20"/>
          <w:szCs w:val="20"/>
          <w:color w:val="auto"/>
        </w:rPr>
      </w:pPr>
    </w:p>
    <w:p>
      <w:pPr>
        <w:ind w:right="360" w:firstLine="619"/>
        <w:spacing w:after="0" w:line="258" w:lineRule="auto"/>
        <w:rPr>
          <w:sz w:val="20"/>
          <w:szCs w:val="20"/>
          <w:color w:val="auto"/>
        </w:rPr>
      </w:pPr>
      <w:r>
        <w:rPr>
          <w:rFonts w:ascii="Times New Roman" w:cs="Times New Roman" w:eastAsia="Times New Roman" w:hAnsi="Times New Roman"/>
          <w:sz w:val="20"/>
          <w:szCs w:val="20"/>
          <w:color w:val="auto"/>
        </w:rPr>
        <w:t>Our investing activities provided $53.4 million of cash during the year ended December 31, 2024, which consisted primarily of maturities of marketable securities of $202 million, offset by purchases of marketable securities of $148.3 million, along with purchase of property and equipment of $0.7 million.</w:t>
      </w:r>
    </w:p>
    <w:p>
      <w:pPr>
        <w:spacing w:after="0" w:line="200" w:lineRule="exact"/>
        <w:rPr>
          <w:sz w:val="20"/>
          <w:szCs w:val="20"/>
          <w:color w:val="auto"/>
        </w:rPr>
      </w:pPr>
    </w:p>
    <w:p>
      <w:pPr>
        <w:spacing w:after="0" w:line="3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38" w:lineRule="exact"/>
        <w:rPr>
          <w:sz w:val="20"/>
          <w:szCs w:val="20"/>
          <w:color w:val="auto"/>
        </w:rPr>
      </w:pPr>
    </w:p>
    <w:p>
      <w:pPr>
        <w:ind w:right="320" w:firstLine="619"/>
        <w:spacing w:after="0" w:line="258" w:lineRule="auto"/>
        <w:rPr>
          <w:sz w:val="20"/>
          <w:szCs w:val="20"/>
          <w:color w:val="auto"/>
        </w:rPr>
      </w:pPr>
      <w:r>
        <w:rPr>
          <w:rFonts w:ascii="Times New Roman" w:cs="Times New Roman" w:eastAsia="Times New Roman" w:hAnsi="Times New Roman"/>
          <w:sz w:val="20"/>
          <w:szCs w:val="20"/>
          <w:color w:val="auto"/>
        </w:rPr>
        <w:t>Our financing activities provided $0.5 million of cash during the year ended December 31, 2025 which consisted of $0.5 million of proceeds from the exercise of stock options and issuance of common stock under the 2020 ESPP.</w:t>
      </w:r>
    </w:p>
    <w:p>
      <w:pPr>
        <w:spacing w:after="0" w:line="178" w:lineRule="exact"/>
        <w:rPr>
          <w:sz w:val="20"/>
          <w:szCs w:val="20"/>
          <w:color w:val="auto"/>
        </w:rPr>
      </w:pPr>
    </w:p>
    <w:p>
      <w:pPr>
        <w:ind w:right="320" w:firstLine="619"/>
        <w:spacing w:after="0" w:line="259" w:lineRule="auto"/>
        <w:rPr>
          <w:sz w:val="20"/>
          <w:szCs w:val="20"/>
          <w:color w:val="auto"/>
        </w:rPr>
      </w:pPr>
      <w:r>
        <w:rPr>
          <w:rFonts w:ascii="Times New Roman" w:cs="Times New Roman" w:eastAsia="Times New Roman" w:hAnsi="Times New Roman"/>
          <w:sz w:val="20"/>
          <w:szCs w:val="20"/>
          <w:color w:val="auto"/>
        </w:rPr>
        <w:t>Our financing activities provided $0.3 million of cash during the year ended December 31, 2024 which consisted of $0.3 million of proceeds from the exercise of stock options and issuance of common stock under the 2020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360"/>
          </w:cols>
          <w:pgMar w:left="1440" w:top="1420" w:right="1440" w:bottom="175"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3"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20"/>
          <w:szCs w:val="20"/>
          <w:color w:val="auto"/>
        </w:rPr>
        <w:t>The preparation of our consolidated financial statements in conformity with accounting principles generally accepted in the United States requires us to make estimates and judgments that affect the amounts reported in those consolidated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98"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20"/>
          <w:szCs w:val="20"/>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The following summary should be read in conjunction with Note 2 of the notes to our audited consolidated financial statements for the year ended December 31, 2025 included elsewhere in this Annual Report on Form 10-K.</w:t>
      </w:r>
    </w:p>
    <w:p>
      <w:pPr>
        <w:spacing w:after="0" w:line="317" w:lineRule="exact"/>
        <w:rPr>
          <w:sz w:val="20"/>
          <w:szCs w:val="20"/>
          <w:color w:val="auto"/>
        </w:rPr>
      </w:pPr>
    </w:p>
    <w:p>
      <w:pPr>
        <w:ind w:left="620"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Research and Development Costs, Accrued Research and Development Costs and Related Prepaid Expenses</w:t>
      </w:r>
    </w:p>
    <w:p>
      <w:pPr>
        <w:spacing w:after="0" w:line="4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Research and development costs are expensed as incurred. Research and development expenses consist</w:t>
      </w:r>
    </w:p>
    <w:p>
      <w:pPr>
        <w:spacing w:after="0" w:line="2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principally of personnel costs, including salaries, stock-based compensation and benefits for employees, third -party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 refundable research and development advance payments are deferred and capitalized. The capitalized amounts are expensed as the related goods are delivered or services are performed.</w:t>
      </w:r>
    </w:p>
    <w:p>
      <w:pPr>
        <w:spacing w:after="0" w:line="8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As part of the process of preparing our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96" w:lineRule="exact"/>
        <w:rPr>
          <w:sz w:val="20"/>
          <w:szCs w:val="20"/>
          <w:color w:val="auto"/>
        </w:rPr>
      </w:pPr>
    </w:p>
    <w:p>
      <w:pPr>
        <w:ind w:left="840" w:hanging="351"/>
        <w:spacing w:after="0"/>
        <w:tabs>
          <w:tab w:leader="none" w:pos="84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vendors, including research laboratories, in connection with preclinical development activities;</w:t>
      </w:r>
    </w:p>
    <w:p>
      <w:pPr>
        <w:spacing w:after="0" w:line="133" w:lineRule="exact"/>
        <w:rPr>
          <w:rFonts w:ascii="Arial" w:cs="Arial" w:eastAsia="Arial" w:hAnsi="Arial"/>
          <w:sz w:val="20"/>
          <w:szCs w:val="20"/>
          <w:color w:val="auto"/>
        </w:rPr>
      </w:pPr>
    </w:p>
    <w:p>
      <w:pPr>
        <w:ind w:left="840" w:hanging="351"/>
        <w:spacing w:after="0"/>
        <w:tabs>
          <w:tab w:leader="none" w:pos="84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CROs and investigative sites in connection with preclinical studies and clinical trials; and</w:t>
      </w:r>
    </w:p>
    <w:p>
      <w:pPr>
        <w:spacing w:after="0" w:line="132" w:lineRule="exact"/>
        <w:rPr>
          <w:rFonts w:ascii="Arial" w:cs="Arial" w:eastAsia="Arial" w:hAnsi="Arial"/>
          <w:sz w:val="20"/>
          <w:szCs w:val="20"/>
          <w:color w:val="auto"/>
        </w:rPr>
      </w:pPr>
    </w:p>
    <w:p>
      <w:pPr>
        <w:ind w:left="840" w:right="80" w:hanging="351"/>
        <w:spacing w:after="0" w:line="277" w:lineRule="auto"/>
        <w:tabs>
          <w:tab w:leader="none" w:pos="84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CMOs in connection with drug substance and drug product formulation of preclinical studies and clinical trial materials.</w:t>
      </w:r>
    </w:p>
    <w:p>
      <w:pPr>
        <w:spacing w:after="0" w:line="49"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360"/>
          </w:cols>
          <w:pgMar w:left="1440" w:top="1416" w:right="1440" w:bottom="175"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3" w:lineRule="exact"/>
        <w:rPr>
          <w:sz w:val="20"/>
          <w:szCs w:val="20"/>
          <w:color w:val="auto"/>
        </w:rPr>
      </w:pPr>
    </w:p>
    <w:p>
      <w:pPr>
        <w:ind w:right="40" w:firstLine="619"/>
        <w:spacing w:after="0" w:line="305" w:lineRule="auto"/>
        <w:rPr>
          <w:sz w:val="20"/>
          <w:szCs w:val="20"/>
          <w:color w:val="auto"/>
        </w:rPr>
      </w:pPr>
      <w:r>
        <w:rPr>
          <w:rFonts w:ascii="Times New Roman" w:cs="Times New Roman" w:eastAsia="Times New Roman" w:hAnsi="Times New Roman"/>
          <w:sz w:val="19"/>
          <w:szCs w:val="19"/>
          <w:color w:val="auto"/>
        </w:rPr>
        <w:t>For a description of recent accounting pronouncements, see Note 2 of the notes to our audited consolidated financial statements for the year ended December 31, 2025 included elsewhere in this Annual Report on Form 10-K.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360"/>
          </w:cols>
          <w:pgMar w:left="1440" w:top="1416" w:right="1440" w:bottom="175"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auto"/>
        </w:rPr>
        <w:t>Item 8. Consolidated Financial Statements and Supplementary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Audited Consolidated Financial Statements</w:t>
      </w:r>
    </w:p>
    <w:p>
      <w:pPr>
        <w:spacing w:after="0" w:line="280" w:lineRule="exact"/>
        <w:rPr>
          <w:sz w:val="20"/>
          <w:szCs w:val="20"/>
          <w:color w:val="auto"/>
        </w:rPr>
      </w:pPr>
    </w:p>
    <w:p>
      <w:pPr>
        <w:spacing w:after="0"/>
        <w:tabs>
          <w:tab w:leader="dot" w:pos="9040" w:val="left"/>
        </w:tabs>
        <w:rPr>
          <w:sz w:val="20"/>
          <w:szCs w:val="20"/>
          <w:color w:val="auto"/>
        </w:rPr>
      </w:pPr>
      <w:r>
        <w:rPr>
          <w:rFonts w:ascii="Times New Roman" w:cs="Times New Roman" w:eastAsia="Times New Roman" w:hAnsi="Times New Roman"/>
          <w:sz w:val="20"/>
          <w:szCs w:val="20"/>
          <w:color w:val="auto"/>
        </w:rPr>
        <w:t>Report of Ernst &amp; Young LLP, Independent Registered Public Accounting Firm (PCAOB ID: 42)</w:t>
      </w:r>
      <w:r>
        <w:rPr>
          <w:sz w:val="20"/>
          <w:szCs w:val="20"/>
          <w:color w:val="auto"/>
        </w:rPr>
        <w:tab/>
      </w:r>
      <w:r>
        <w:rPr>
          <w:rFonts w:ascii="Times New Roman" w:cs="Times New Roman" w:eastAsia="Times New Roman" w:hAnsi="Times New Roman"/>
          <w:sz w:val="20"/>
          <w:szCs w:val="20"/>
          <w:color w:val="auto"/>
        </w:rPr>
        <w:t>102</w:t>
      </w:r>
    </w:p>
    <w:p>
      <w:pPr>
        <w:spacing w:after="0" w:line="119" w:lineRule="exact"/>
        <w:rPr>
          <w:sz w:val="20"/>
          <w:szCs w:val="20"/>
          <w:color w:val="auto"/>
        </w:rPr>
      </w:pPr>
    </w:p>
    <w:p>
      <w:pPr>
        <w:spacing w:after="0"/>
        <w:tabs>
          <w:tab w:leader="dot" w:pos="9040" w:val="left"/>
        </w:tabs>
        <w:rPr>
          <w:sz w:val="20"/>
          <w:szCs w:val="20"/>
          <w:color w:val="auto"/>
        </w:rPr>
      </w:pPr>
      <w:r>
        <w:rPr>
          <w:rFonts w:ascii="Times New Roman" w:cs="Times New Roman" w:eastAsia="Times New Roman" w:hAnsi="Times New Roman"/>
          <w:sz w:val="20"/>
          <w:szCs w:val="20"/>
          <w:color w:val="auto"/>
        </w:rPr>
        <w:t>Consolidated Balance Sheets as of December 31, 2025 and 2024</w:t>
      </w:r>
      <w:r>
        <w:rPr>
          <w:sz w:val="20"/>
          <w:szCs w:val="20"/>
          <w:color w:val="auto"/>
        </w:rPr>
        <w:tab/>
      </w:r>
      <w:r>
        <w:rPr>
          <w:rFonts w:ascii="Times New Roman" w:cs="Times New Roman" w:eastAsia="Times New Roman" w:hAnsi="Times New Roman"/>
          <w:sz w:val="20"/>
          <w:szCs w:val="20"/>
          <w:color w:val="auto"/>
        </w:rPr>
        <w:t>104</w:t>
      </w:r>
    </w:p>
    <w:p>
      <w:pPr>
        <w:spacing w:after="0" w:line="120" w:lineRule="exact"/>
        <w:rPr>
          <w:sz w:val="20"/>
          <w:szCs w:val="20"/>
          <w:color w:val="auto"/>
        </w:rPr>
      </w:pPr>
    </w:p>
    <w:p>
      <w:pPr>
        <w:spacing w:after="0"/>
        <w:tabs>
          <w:tab w:leader="none" w:pos="9040" w:val="left"/>
        </w:tabs>
        <w:rPr>
          <w:sz w:val="20"/>
          <w:szCs w:val="20"/>
          <w:color w:val="auto"/>
        </w:rPr>
      </w:pPr>
      <w:r>
        <w:rPr>
          <w:rFonts w:ascii="Times New Roman" w:cs="Times New Roman" w:eastAsia="Times New Roman" w:hAnsi="Times New Roman"/>
          <w:sz w:val="20"/>
          <w:szCs w:val="20"/>
          <w:color w:val="auto"/>
        </w:rPr>
        <w:t>Consolidated Statements of Operations and Comprehensive Loss for the Years Ended December 31,</w:t>
      </w:r>
      <w:r>
        <w:rPr>
          <w:sz w:val="20"/>
          <w:szCs w:val="20"/>
          <w:color w:val="auto"/>
        </w:rPr>
        <w:tab/>
      </w:r>
      <w:r>
        <w:rPr>
          <w:rFonts w:ascii="Times New Roman" w:cs="Times New Roman" w:eastAsia="Times New Roman" w:hAnsi="Times New Roman"/>
          <w:sz w:val="20"/>
          <w:szCs w:val="20"/>
          <w:color w:val="auto"/>
        </w:rPr>
        <w:t>105</w:t>
      </w:r>
    </w:p>
    <w:p>
      <w:pPr>
        <w:spacing w:after="0" w:line="28"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2025, 2024, and 2023</w:t>
        <w:tab/>
        <w:t>..................................................................................................................................</w:t>
      </w:r>
    </w:p>
    <w:p>
      <w:pPr>
        <w:spacing w:after="0" w:line="91" w:lineRule="exact"/>
        <w:rPr>
          <w:sz w:val="20"/>
          <w:szCs w:val="20"/>
          <w:color w:val="auto"/>
        </w:rPr>
      </w:pPr>
    </w:p>
    <w:p>
      <w:pPr>
        <w:spacing w:after="0"/>
        <w:tabs>
          <w:tab w:leader="none" w:pos="9040" w:val="left"/>
        </w:tabs>
        <w:rPr>
          <w:sz w:val="20"/>
          <w:szCs w:val="20"/>
          <w:color w:val="auto"/>
        </w:rPr>
      </w:pPr>
      <w:r>
        <w:rPr>
          <w:rFonts w:ascii="Times New Roman" w:cs="Times New Roman" w:eastAsia="Times New Roman" w:hAnsi="Times New Roman"/>
          <w:sz w:val="20"/>
          <w:szCs w:val="20"/>
          <w:color w:val="auto"/>
        </w:rPr>
        <w:t>Consolidated Statements of Stockholders’ Equity (Deficit) for the Years Ended December 31, 2025,</w:t>
      </w:r>
      <w:r>
        <w:rPr>
          <w:sz w:val="20"/>
          <w:szCs w:val="20"/>
          <w:color w:val="auto"/>
        </w:rPr>
        <w:tab/>
      </w:r>
      <w:r>
        <w:rPr>
          <w:rFonts w:ascii="Times New Roman" w:cs="Times New Roman" w:eastAsia="Times New Roman" w:hAnsi="Times New Roman"/>
          <w:sz w:val="20"/>
          <w:szCs w:val="20"/>
          <w:color w:val="auto"/>
        </w:rPr>
        <w:t>106</w:t>
      </w:r>
    </w:p>
    <w:p>
      <w:pPr>
        <w:spacing w:after="0" w:line="2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2024, and 2023</w:t>
        <w:tab/>
        <w:t>.............................................................................................................................................</w:t>
      </w:r>
    </w:p>
    <w:p>
      <w:pPr>
        <w:spacing w:after="0" w:line="91" w:lineRule="exact"/>
        <w:rPr>
          <w:sz w:val="20"/>
          <w:szCs w:val="20"/>
          <w:color w:val="auto"/>
        </w:rPr>
      </w:pPr>
    </w:p>
    <w:p>
      <w:pPr>
        <w:spacing w:after="0"/>
        <w:tabs>
          <w:tab w:leader="dot" w:pos="9040" w:val="left"/>
        </w:tabs>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2025, 2024, and 2023</w:t>
      </w:r>
      <w:r>
        <w:rPr>
          <w:sz w:val="20"/>
          <w:szCs w:val="20"/>
          <w:color w:val="auto"/>
        </w:rPr>
        <w:tab/>
      </w:r>
      <w:r>
        <w:rPr>
          <w:rFonts w:ascii="Times New Roman" w:cs="Times New Roman" w:eastAsia="Times New Roman" w:hAnsi="Times New Roman"/>
          <w:sz w:val="20"/>
          <w:szCs w:val="20"/>
          <w:color w:val="auto"/>
        </w:rPr>
        <w:t>107</w:t>
      </w:r>
    </w:p>
    <w:p>
      <w:pPr>
        <w:spacing w:after="0" w:line="120" w:lineRule="exact"/>
        <w:rPr>
          <w:sz w:val="20"/>
          <w:szCs w:val="20"/>
          <w:color w:val="auto"/>
        </w:rPr>
      </w:pPr>
    </w:p>
    <w:p>
      <w:pPr>
        <w:spacing w:after="0"/>
        <w:tabs>
          <w:tab w:leader="dot" w:pos="9040" w:val="left"/>
        </w:tabs>
        <w:rPr>
          <w:sz w:val="20"/>
          <w:szCs w:val="20"/>
          <w:color w:val="auto"/>
        </w:rPr>
      </w:pPr>
      <w:r>
        <w:rPr>
          <w:rFonts w:ascii="Times New Roman" w:cs="Times New Roman" w:eastAsia="Times New Roman" w:hAnsi="Times New Roman"/>
          <w:sz w:val="20"/>
          <w:szCs w:val="20"/>
          <w:color w:val="auto"/>
        </w:rPr>
        <w:t>Notes to Consolidated Financial Statements</w:t>
      </w:r>
      <w:r>
        <w:rPr>
          <w:sz w:val="20"/>
          <w:szCs w:val="20"/>
          <w:color w:val="auto"/>
        </w:rPr>
        <w:tab/>
      </w:r>
      <w:r>
        <w:rPr>
          <w:rFonts w:ascii="Times New Roman" w:cs="Times New Roman" w:eastAsia="Times New Roman" w:hAnsi="Times New Roman"/>
          <w:sz w:val="20"/>
          <w:szCs w:val="20"/>
          <w:color w:val="auto"/>
        </w:rPr>
        <w:t>108</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360"/>
          </w:cols>
          <w:pgMar w:left="1440" w:top="1416" w:right="1440" w:bottom="175" w:gutter="0" w:footer="0" w:header="0"/>
          <w:type w:val="continuous"/>
        </w:sectPr>
      </w:pPr>
    </w:p>
    <w:bookmarkStart w:id="107" w:name="page108"/>
    <w:bookmarkEnd w:id="107"/>
    <w:p>
      <w:pPr>
        <w:ind w:left="21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PMV Pharmaceuticals, Inc.</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36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PMV Pharmaceuticals, Inc. (the Company) as of December 31, 2025 and 2024, the related consolidated statements of operations and comprehensive loss, stockholders’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36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43"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2240" w:h="15840" w:orient="portrait"/>
          <w:cols w:equalWidth="0" w:num="1">
            <w:col w:w="9360"/>
          </w:cols>
          <w:pgMar w:left="1440" w:top="1416" w:right="1440" w:bottom="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r>
        <w:rPr>
          <w:rFonts w:ascii="PMingLiU" w:cs="PMingLiU" w:eastAsia="PMingLiU" w:hAnsi="PMingLiU"/>
          <w:sz w:val="20"/>
          <w:szCs w:val="20"/>
          <w:color w:val="auto"/>
        </w:rPr>
        <w:t/>
      </w:r>
    </w:p>
    <w:p>
      <w:pPr>
        <w:sectPr>
          <w:pgSz w:w="12240" w:h="15840" w:orient="portrait"/>
          <w:cols w:equalWidth="0" w:num="1">
            <w:col w:w="9360"/>
          </w:cols>
          <w:pgMar w:left="1440" w:top="1416" w:right="1440" w:bottom="162" w:gutter="0" w:footer="0" w:header="0"/>
          <w:type w:val="continuous"/>
        </w:sectPr>
      </w:pPr>
    </w:p>
    <w:bookmarkStart w:id="108" w:name="page109"/>
    <w:bookmarkEnd w:id="108"/>
    <w:p>
      <w:pPr>
        <w:ind w:left="1680"/>
        <w:spacing w:after="0"/>
        <w:rPr>
          <w:sz w:val="20"/>
          <w:szCs w:val="20"/>
          <w:color w:val="auto"/>
        </w:rPr>
      </w:pPr>
      <w:r>
        <w:rPr>
          <w:rFonts w:ascii="Times New Roman" w:cs="Times New Roman" w:eastAsia="Times New Roman" w:hAnsi="Times New Roman"/>
          <w:sz w:val="20"/>
          <w:szCs w:val="20"/>
          <w:b w:val="1"/>
          <w:bCs w:val="1"/>
          <w:i w:val="1"/>
          <w:iCs w:val="1"/>
          <w:color w:val="auto"/>
        </w:rPr>
        <w:t>Accounting for Research and Development Expenses</w:t>
      </w:r>
    </w:p>
    <w:p>
      <w:pPr>
        <w:spacing w:after="0" w:line="24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i w:val="1"/>
          <w:iCs w:val="1"/>
          <w:color w:val="auto"/>
        </w:rPr>
        <w:t>Description of</w:t>
      </w:r>
      <w:r>
        <w:rPr>
          <w:sz w:val="20"/>
          <w:szCs w:val="20"/>
          <w:color w:val="auto"/>
        </w:rPr>
        <w:tab/>
      </w:r>
      <w:r>
        <w:rPr>
          <w:rFonts w:ascii="Times New Roman" w:cs="Times New Roman" w:eastAsia="Times New Roman" w:hAnsi="Times New Roman"/>
          <w:sz w:val="19"/>
          <w:szCs w:val="19"/>
          <w:color w:val="auto"/>
        </w:rPr>
        <w:t>As disclosed in Note 2 to the consolidated financial statements, the Company is required to</w:t>
      </w:r>
    </w:p>
    <w:p>
      <w:pPr>
        <w:spacing w:after="0" w:line="27"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i w:val="1"/>
          <w:iCs w:val="1"/>
          <w:color w:val="auto"/>
        </w:rPr>
        <w:t>the Matter</w:t>
      </w:r>
      <w:r>
        <w:rPr>
          <w:sz w:val="20"/>
          <w:szCs w:val="20"/>
          <w:color w:val="auto"/>
        </w:rPr>
        <w:tab/>
      </w:r>
      <w:r>
        <w:rPr>
          <w:rFonts w:ascii="Times New Roman" w:cs="Times New Roman" w:eastAsia="Times New Roman" w:hAnsi="Times New Roman"/>
          <w:sz w:val="19"/>
          <w:szCs w:val="19"/>
          <w:color w:val="auto"/>
        </w:rPr>
        <w:t>estimate research and development expenses from its obligations under contracts and purchase</w:t>
      </w:r>
    </w:p>
    <w:p>
      <w:pPr>
        <w:spacing w:after="0" w:line="25" w:lineRule="exact"/>
        <w:rPr>
          <w:sz w:val="20"/>
          <w:szCs w:val="20"/>
          <w:color w:val="auto"/>
        </w:rPr>
      </w:pPr>
    </w:p>
    <w:p>
      <w:pPr>
        <w:ind w:left="1680" w:right="40"/>
        <w:spacing w:after="0" w:line="258" w:lineRule="auto"/>
        <w:rPr>
          <w:sz w:val="20"/>
          <w:szCs w:val="20"/>
          <w:color w:val="auto"/>
        </w:rPr>
      </w:pPr>
      <w:r>
        <w:rPr>
          <w:rFonts w:ascii="Times New Roman" w:cs="Times New Roman" w:eastAsia="Times New Roman" w:hAnsi="Times New Roman"/>
          <w:sz w:val="20"/>
          <w:szCs w:val="20"/>
          <w:color w:val="auto"/>
        </w:rPr>
        <w:t>orders with vendors, clinical research organizations, clinical manufacturing organizations and others and for clinical site agreements at each balance sheet date. The Company recorded accrued expenses for the research and development expenses, which are included in accrued expenses on the December 31, 2025 consolidated balance sheet, and prepaid research and development expenses, which are included in prepaid expenses and other current assets on the December 31, 2025 consolidated balance sheet. The amounts recorded for accrued research and development expenses and for the prepaid research and development expenses, within the aforementioned balance sheet captions, represent the Company’s estimate of the unpaid and prepaid research and development expenses based on the progress of the research and development services compared to the amounts paid for those services through December 31, 2025.</w:t>
      </w:r>
    </w:p>
    <w:p>
      <w:pPr>
        <w:spacing w:after="0" w:line="129" w:lineRule="exact"/>
        <w:rPr>
          <w:sz w:val="20"/>
          <w:szCs w:val="20"/>
          <w:color w:val="auto"/>
        </w:rPr>
      </w:pPr>
    </w:p>
    <w:p>
      <w:pPr>
        <w:ind w:left="1680" w:right="120"/>
        <w:spacing w:after="0" w:line="283" w:lineRule="auto"/>
        <w:rPr>
          <w:sz w:val="20"/>
          <w:szCs w:val="20"/>
          <w:color w:val="auto"/>
        </w:rPr>
      </w:pPr>
      <w:r>
        <w:rPr>
          <w:rFonts w:ascii="Times New Roman" w:cs="Times New Roman" w:eastAsia="Times New Roman" w:hAnsi="Times New Roman"/>
          <w:sz w:val="19"/>
          <w:szCs w:val="19"/>
          <w:color w:val="auto"/>
        </w:rPr>
        <w:t>Auditing the Company’s accrued research and development expenses and related prepaid expenses involved a high degree of subjectivity due to the estimation required by management in determining the progress to completion of services that have been performed that will be invoiced by the vendors, clinical research organizations and consultants and under clinical site agreements subsequent to the date that the consolidated financial statements are issued.</w:t>
      </w:r>
    </w:p>
    <w:p>
      <w:pPr>
        <w:spacing w:after="0" w:line="103"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i w:val="1"/>
          <w:iCs w:val="1"/>
          <w:color w:val="auto"/>
        </w:rPr>
        <w:t>How We</w:t>
      </w:r>
      <w:r>
        <w:rPr>
          <w:sz w:val="20"/>
          <w:szCs w:val="20"/>
          <w:color w:val="auto"/>
        </w:rPr>
        <w:tab/>
      </w:r>
      <w:r>
        <w:rPr>
          <w:rFonts w:ascii="Times New Roman" w:cs="Times New Roman" w:eastAsia="Times New Roman" w:hAnsi="Times New Roman"/>
          <w:sz w:val="19"/>
          <w:szCs w:val="19"/>
          <w:color w:val="auto"/>
        </w:rPr>
        <w:t>To test the research and development accruals and prepaid expenses, our audit procedures</w:t>
      </w:r>
    </w:p>
    <w:p>
      <w:pPr>
        <w:spacing w:after="0" w:line="2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i w:val="1"/>
          <w:iCs w:val="1"/>
          <w:color w:val="auto"/>
        </w:rPr>
        <w:t>Addressed the</w:t>
      </w:r>
      <w:r>
        <w:rPr>
          <w:sz w:val="20"/>
          <w:szCs w:val="20"/>
          <w:color w:val="auto"/>
        </w:rPr>
        <w:tab/>
      </w:r>
      <w:r>
        <w:rPr>
          <w:rFonts w:ascii="Times New Roman" w:cs="Times New Roman" w:eastAsia="Times New Roman" w:hAnsi="Times New Roman"/>
          <w:sz w:val="19"/>
          <w:szCs w:val="19"/>
          <w:color w:val="auto"/>
        </w:rPr>
        <w:t>included, among others, reviewing a sample of agreements with the service providers to</w:t>
      </w:r>
    </w:p>
    <w:p>
      <w:pPr>
        <w:spacing w:after="0"/>
        <w:tabs>
          <w:tab w:leader="none" w:pos="1660" w:val="left"/>
        </w:tabs>
        <w:rPr>
          <w:sz w:val="20"/>
          <w:szCs w:val="20"/>
          <w:color w:val="auto"/>
        </w:rPr>
      </w:pPr>
      <w:r>
        <w:rPr>
          <w:rFonts w:ascii="Times New Roman" w:cs="Times New Roman" w:eastAsia="Times New Roman" w:hAnsi="Times New Roman"/>
          <w:sz w:val="20"/>
          <w:szCs w:val="20"/>
          <w:i w:val="1"/>
          <w:iCs w:val="1"/>
          <w:color w:val="auto"/>
        </w:rPr>
        <w:t>Matter in Our</w:t>
      </w:r>
      <w:r>
        <w:rPr>
          <w:sz w:val="20"/>
          <w:szCs w:val="20"/>
          <w:color w:val="auto"/>
        </w:rPr>
        <w:tab/>
      </w:r>
      <w:r>
        <w:rPr>
          <w:rFonts w:ascii="Times New Roman" w:cs="Times New Roman" w:eastAsia="Times New Roman" w:hAnsi="Times New Roman"/>
          <w:sz w:val="19"/>
          <w:szCs w:val="19"/>
          <w:color w:val="auto"/>
        </w:rPr>
        <w:t>corroborate key financial and contractual terms, and testing the accuracy and completeness of</w:t>
      </w:r>
    </w:p>
    <w:p>
      <w:pPr>
        <w:spacing w:after="0"/>
        <w:tabs>
          <w:tab w:leader="none" w:pos="1660" w:val="left"/>
        </w:tabs>
        <w:rPr>
          <w:sz w:val="20"/>
          <w:szCs w:val="20"/>
          <w:color w:val="auto"/>
        </w:rPr>
      </w:pPr>
      <w:r>
        <w:rPr>
          <w:rFonts w:ascii="Times New Roman" w:cs="Times New Roman" w:eastAsia="Times New Roman" w:hAnsi="Times New Roman"/>
          <w:sz w:val="20"/>
          <w:szCs w:val="20"/>
          <w:i w:val="1"/>
          <w:iCs w:val="1"/>
          <w:color w:val="auto"/>
        </w:rPr>
        <w:t>Audit</w:t>
      </w:r>
      <w:r>
        <w:rPr>
          <w:sz w:val="20"/>
          <w:szCs w:val="20"/>
          <w:color w:val="auto"/>
        </w:rPr>
        <w:tab/>
      </w:r>
      <w:r>
        <w:rPr>
          <w:rFonts w:ascii="Times New Roman" w:cs="Times New Roman" w:eastAsia="Times New Roman" w:hAnsi="Times New Roman"/>
          <w:sz w:val="20"/>
          <w:szCs w:val="20"/>
          <w:color w:val="auto"/>
        </w:rPr>
        <w:t>the underlying data used in the accrual and prepaid expense computations. We also evaluated</w:t>
      </w:r>
    </w:p>
    <w:p>
      <w:pPr>
        <w:ind w:left="1680" w:right="20"/>
        <w:spacing w:after="0" w:line="241" w:lineRule="auto"/>
        <w:rPr>
          <w:sz w:val="20"/>
          <w:szCs w:val="20"/>
          <w:color w:val="auto"/>
        </w:rPr>
      </w:pPr>
      <w:r>
        <w:rPr>
          <w:rFonts w:ascii="Times New Roman" w:cs="Times New Roman" w:eastAsia="Times New Roman" w:hAnsi="Times New Roman"/>
          <w:sz w:val="20"/>
          <w:szCs w:val="20"/>
          <w:color w:val="auto"/>
        </w:rPr>
        <w:t>management’s estimates of the progress of a sample of research and development activities by making inquiries of the Company’s operations personnel that oversee the external research and development activities and obtaining information directly from the Company’s clinical research organization. To evaluate the completeness of the accruals, we also examined subsequent invoices from the service providers and cash disbursements to the service providers, to the extent such invoices were received, or payments were made prior to the date that the consolidated financial statements were issued.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2017.</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6, 2026</w:t>
      </w:r>
    </w:p>
    <w:p>
      <w:pPr>
        <w:sectPr>
          <w:pgSz w:w="12240" w:h="15840" w:orient="portrait"/>
          <w:cols w:equalWidth="0" w:num="1">
            <w:col w:w="9360"/>
          </w:cols>
          <w:pgMar w:left="1440" w:top="1420" w:right="1440" w:bottom="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r>
        <w:rPr>
          <w:rFonts w:ascii="PMingLiU" w:cs="PMingLiU" w:eastAsia="PMingLiU" w:hAnsi="PMingLiU"/>
          <w:sz w:val="20"/>
          <w:szCs w:val="20"/>
          <w:color w:val="auto"/>
        </w:rPr>
        <w:t/>
      </w:r>
    </w:p>
    <w:p>
      <w:pPr>
        <w:sectPr>
          <w:pgSz w:w="12240" w:h="15840" w:orient="portrait"/>
          <w:cols w:equalWidth="0" w:num="1">
            <w:col w:w="9360"/>
          </w:cols>
          <w:pgMar w:left="1440" w:top="1420" w:right="1440" w:bottom="162"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E0E0E0"/>
            </w:tcBorders>
          </w:tcPr>
          <w:p>
            <w:pPr>
              <w:spacing w:after="0"/>
              <w:rPr>
                <w:sz w:val="17"/>
                <w:szCs w:val="17"/>
                <w:color w:val="auto"/>
              </w:rPr>
            </w:pPr>
          </w:p>
        </w:tc>
        <w:tc>
          <w:tcPr>
            <w:tcW w:w="16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08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0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108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1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0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00" w:type="dxa"/>
            <w:vAlign w:val="bottom"/>
            <w:shd w:val="clear" w:color="auto" w:fill="E0E0E0"/>
          </w:tcPr>
          <w:p>
            <w:pPr>
              <w:ind w:left="200"/>
              <w:spacing w:after="0" w:line="224" w:lineRule="exact"/>
              <w:rPr>
                <w:sz w:val="20"/>
                <w:szCs w:val="20"/>
                <w:color w:val="auto"/>
              </w:rPr>
            </w:pPr>
            <w:r>
              <w:rPr>
                <w:rFonts w:ascii="Times New Roman" w:cs="Times New Roman" w:eastAsia="Times New Roman" w:hAnsi="Times New Roman"/>
                <w:sz w:val="20"/>
                <w:szCs w:val="20"/>
                <w:color w:val="auto"/>
              </w:rPr>
              <w:t>Cash and cash equivalents</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08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37,983</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40,876</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6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Marketable securities, current</w:t>
            </w: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10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74,960</w:t>
            </w:r>
          </w:p>
        </w:tc>
        <w:tc>
          <w:tcPr>
            <w:tcW w:w="80" w:type="dxa"/>
            <w:vAlign w:val="bottom"/>
            <w:tcBorders>
              <w:bottom w:val="single" w:sz="8" w:color="E0E0E0"/>
            </w:tcBorders>
          </w:tcPr>
          <w:p>
            <w:pPr>
              <w:spacing w:after="0"/>
              <w:rPr>
                <w:sz w:val="21"/>
                <w:szCs w:val="21"/>
                <w:color w:val="auto"/>
              </w:rPr>
            </w:pPr>
          </w:p>
        </w:tc>
        <w:tc>
          <w:tcPr>
            <w:tcW w:w="1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128,578</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E0E0E0"/>
            </w:tcBorders>
            <w:shd w:val="clear" w:color="auto" w:fill="E0E0E0"/>
          </w:tcPr>
          <w:p>
            <w:pPr>
              <w:ind w:left="200"/>
              <w:spacing w:after="0" w:line="224" w:lineRule="exact"/>
              <w:rPr>
                <w:sz w:val="20"/>
                <w:szCs w:val="20"/>
                <w:color w:val="auto"/>
              </w:rPr>
            </w:pPr>
            <w:r>
              <w:rPr>
                <w:rFonts w:ascii="Times New Roman" w:cs="Times New Roman" w:eastAsia="Times New Roman" w:hAnsi="Times New Roman"/>
                <w:sz w:val="20"/>
                <w:szCs w:val="20"/>
                <w:color w:val="auto"/>
              </w:rPr>
              <w:t>Prepaid expenses and other current assets</w:t>
            </w:r>
          </w:p>
        </w:tc>
        <w:tc>
          <w:tcPr>
            <w:tcW w:w="20" w:type="dxa"/>
            <w:vAlign w:val="bottom"/>
            <w:tcBorders>
              <w:bottom w:val="single" w:sz="8" w:color="E0E0E0"/>
            </w:tcBorders>
            <w:shd w:val="clear" w:color="auto" w:fill="E0E0E0"/>
          </w:tcPr>
          <w:p>
            <w:pPr>
              <w:spacing w:after="0"/>
              <w:rPr>
                <w:sz w:val="21"/>
                <w:szCs w:val="21"/>
                <w:color w:val="auto"/>
              </w:rPr>
            </w:pPr>
          </w:p>
        </w:tc>
        <w:tc>
          <w:tcPr>
            <w:tcW w:w="120" w:type="dxa"/>
            <w:vAlign w:val="bottom"/>
            <w:tcBorders>
              <w:bottom w:val="single" w:sz="8" w:color="E0E0E0"/>
            </w:tcBorders>
            <w:shd w:val="clear" w:color="auto" w:fill="E0E0E0"/>
          </w:tcPr>
          <w:p>
            <w:pPr>
              <w:spacing w:after="0"/>
              <w:rPr>
                <w:sz w:val="21"/>
                <w:szCs w:val="21"/>
                <w:color w:val="auto"/>
              </w:rPr>
            </w:pPr>
          </w:p>
        </w:tc>
        <w:tc>
          <w:tcPr>
            <w:tcW w:w="1080" w:type="dxa"/>
            <w:vAlign w:val="bottom"/>
            <w:tcBorders>
              <w:bottom w:val="single" w:sz="8" w:color="E0E0E0"/>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2,284</w:t>
            </w:r>
          </w:p>
        </w:tc>
        <w:tc>
          <w:tcPr>
            <w:tcW w:w="80" w:type="dxa"/>
            <w:vAlign w:val="bottom"/>
            <w:tcBorders>
              <w:bottom w:val="single" w:sz="8" w:color="E0E0E0"/>
            </w:tcBorders>
            <w:shd w:val="clear" w:color="auto" w:fill="E0E0E0"/>
          </w:tcPr>
          <w:p>
            <w:pPr>
              <w:spacing w:after="0"/>
              <w:rPr>
                <w:sz w:val="21"/>
                <w:szCs w:val="21"/>
                <w:color w:val="auto"/>
              </w:rPr>
            </w:pPr>
          </w:p>
        </w:tc>
        <w:tc>
          <w:tcPr>
            <w:tcW w:w="160" w:type="dxa"/>
            <w:vAlign w:val="bottom"/>
            <w:tcBorders>
              <w:bottom w:val="single" w:sz="8" w:color="E0E0E0"/>
            </w:tcBorders>
            <w:shd w:val="clear" w:color="auto" w:fill="E0E0E0"/>
          </w:tcPr>
          <w:p>
            <w:pPr>
              <w:spacing w:after="0"/>
              <w:rPr>
                <w:sz w:val="21"/>
                <w:szCs w:val="21"/>
                <w:color w:val="auto"/>
              </w:rPr>
            </w:pPr>
          </w:p>
        </w:tc>
        <w:tc>
          <w:tcPr>
            <w:tcW w:w="20" w:type="dxa"/>
            <w:vAlign w:val="bottom"/>
            <w:tcBorders>
              <w:bottom w:val="single" w:sz="8" w:color="E0E0E0"/>
            </w:tcBorders>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10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6,204</w:t>
            </w:r>
          </w:p>
        </w:tc>
        <w:tc>
          <w:tcPr>
            <w:tcW w:w="80" w:type="dxa"/>
            <w:vAlign w:val="bottom"/>
            <w:tcBorders>
              <w:bottom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600" w:type="dxa"/>
            <w:vAlign w:val="bottom"/>
            <w:tcBorders>
              <w:bottom w:val="single" w:sz="8" w:color="E0E0E0"/>
            </w:tcBorders>
          </w:tcPr>
          <w:p>
            <w:pPr>
              <w:ind w:left="400"/>
              <w:spacing w:after="0" w:line="213" w:lineRule="exact"/>
              <w:rPr>
                <w:sz w:val="20"/>
                <w:szCs w:val="20"/>
                <w:color w:val="auto"/>
              </w:rPr>
            </w:pPr>
            <w:r>
              <w:rPr>
                <w:rFonts w:ascii="Times New Roman" w:cs="Times New Roman" w:eastAsia="Times New Roman" w:hAnsi="Times New Roman"/>
                <w:sz w:val="20"/>
                <w:szCs w:val="20"/>
                <w:color w:val="auto"/>
              </w:rPr>
              <w:t>Total current assets</w:t>
            </w:r>
          </w:p>
        </w:tc>
        <w:tc>
          <w:tcPr>
            <w:tcW w:w="20" w:type="dxa"/>
            <w:vAlign w:val="bottom"/>
            <w:tcBorders>
              <w:bottom w:val="single" w:sz="8" w:color="E0E0E0"/>
            </w:tcBorders>
          </w:tcPr>
          <w:p>
            <w:pPr>
              <w:spacing w:after="0"/>
              <w:rPr>
                <w:sz w:val="18"/>
                <w:szCs w:val="18"/>
                <w:color w:val="auto"/>
              </w:rPr>
            </w:pPr>
          </w:p>
        </w:tc>
        <w:tc>
          <w:tcPr>
            <w:tcW w:w="120" w:type="dxa"/>
            <w:vAlign w:val="bottom"/>
            <w:tcBorders>
              <w:top w:val="single" w:sz="8" w:color="auto"/>
              <w:bottom w:val="single" w:sz="8" w:color="E0E0E0"/>
            </w:tcBorders>
          </w:tcPr>
          <w:p>
            <w:pPr>
              <w:spacing w:after="0"/>
              <w:rPr>
                <w:sz w:val="18"/>
                <w:szCs w:val="18"/>
                <w:color w:val="auto"/>
              </w:rPr>
            </w:pPr>
          </w:p>
        </w:tc>
        <w:tc>
          <w:tcPr>
            <w:tcW w:w="1080" w:type="dxa"/>
            <w:vAlign w:val="bottom"/>
            <w:tcBorders>
              <w:top w:val="single" w:sz="8" w:color="auto"/>
              <w:bottom w:val="single" w:sz="8" w:color="E0E0E0"/>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115,227</w:t>
            </w:r>
          </w:p>
        </w:tc>
        <w:tc>
          <w:tcPr>
            <w:tcW w:w="80" w:type="dxa"/>
            <w:vAlign w:val="bottom"/>
            <w:tcBorders>
              <w:bottom w:val="single" w:sz="8" w:color="E0E0E0"/>
            </w:tcBorders>
          </w:tcPr>
          <w:p>
            <w:pPr>
              <w:spacing w:after="0"/>
              <w:rPr>
                <w:sz w:val="18"/>
                <w:szCs w:val="18"/>
                <w:color w:val="auto"/>
              </w:rPr>
            </w:pPr>
          </w:p>
        </w:tc>
        <w:tc>
          <w:tcPr>
            <w:tcW w:w="16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00" w:type="dxa"/>
            <w:vAlign w:val="bottom"/>
            <w:tcBorders>
              <w:top w:val="single" w:sz="8" w:color="auto"/>
              <w:bottom w:val="single" w:sz="8" w:color="E0E0E0"/>
            </w:tcBorders>
          </w:tcPr>
          <w:p>
            <w:pPr>
              <w:spacing w:after="0"/>
              <w:rPr>
                <w:sz w:val="18"/>
                <w:szCs w:val="18"/>
                <w:color w:val="auto"/>
              </w:rPr>
            </w:pPr>
          </w:p>
        </w:tc>
        <w:tc>
          <w:tcPr>
            <w:tcW w:w="1100" w:type="dxa"/>
            <w:vAlign w:val="bottom"/>
            <w:tcBorders>
              <w:top w:val="single" w:sz="8" w:color="auto"/>
              <w:bottom w:val="single" w:sz="8" w:color="E0E0E0"/>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175,658</w:t>
            </w:r>
          </w:p>
        </w:tc>
        <w:tc>
          <w:tcPr>
            <w:tcW w:w="8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Property and equipment, net</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237</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409</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Marketable securities, noncurrent</w:t>
            </w: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116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13,843</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0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Right-of-use assets</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8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801</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1,143</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0" w:type="dxa"/>
            <w:vAlign w:val="bottom"/>
            <w:tcBorders>
              <w:bottom w:val="single" w:sz="8" w:color="E0E0E0"/>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80" w:type="dxa"/>
            <w:vAlign w:val="bottom"/>
            <w:tcBorders>
              <w:bottom w:val="single" w:sz="8" w:color="E0E0E0"/>
            </w:tcBorders>
          </w:tcPr>
          <w:p>
            <w:pPr>
              <w:spacing w:after="0"/>
              <w:rPr>
                <w:sz w:val="23"/>
                <w:szCs w:val="23"/>
                <w:color w:val="auto"/>
              </w:rPr>
            </w:pPr>
          </w:p>
        </w:tc>
        <w:tc>
          <w:tcPr>
            <w:tcW w:w="16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80" w:type="dxa"/>
            <w:vAlign w:val="bottom"/>
            <w:tcBorders>
              <w:bottom w:val="single" w:sz="8" w:color="E0E0E0"/>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600" w:type="dxa"/>
            <w:vAlign w:val="bottom"/>
            <w:tcBorders>
              <w:top w:val="single" w:sz="8" w:color="E0E0E0"/>
            </w:tcBorders>
            <w:shd w:val="clear" w:color="auto" w:fill="E0E0E0"/>
          </w:tcPr>
          <w:p>
            <w:pPr>
              <w:spacing w:after="0" w:line="214" w:lineRule="exact"/>
              <w:rPr>
                <w:sz w:val="20"/>
                <w:szCs w:val="20"/>
                <w:color w:val="auto"/>
              </w:rPr>
            </w:pPr>
            <w:r>
              <w:rPr>
                <w:rFonts w:ascii="Times New Roman" w:cs="Times New Roman" w:eastAsia="Times New Roman" w:hAnsi="Times New Roman"/>
                <w:sz w:val="20"/>
                <w:szCs w:val="20"/>
                <w:color w:val="auto"/>
              </w:rPr>
              <w:t>Total assets</w:t>
            </w:r>
          </w:p>
        </w:tc>
        <w:tc>
          <w:tcPr>
            <w:tcW w:w="2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08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116,562</w:t>
            </w:r>
          </w:p>
        </w:tc>
        <w:tc>
          <w:tcPr>
            <w:tcW w:w="80" w:type="dxa"/>
            <w:vAlign w:val="bottom"/>
            <w:tcBorders>
              <w:top w:val="single" w:sz="8" w:color="E0E0E0"/>
            </w:tcBorders>
            <w:shd w:val="clear" w:color="auto" w:fill="E0E0E0"/>
          </w:tcPr>
          <w:p>
            <w:pPr>
              <w:spacing w:after="0"/>
              <w:rPr>
                <w:sz w:val="18"/>
                <w:szCs w:val="18"/>
                <w:color w:val="auto"/>
              </w:rPr>
            </w:pPr>
          </w:p>
        </w:tc>
        <w:tc>
          <w:tcPr>
            <w:tcW w:w="1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0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191,288</w:t>
            </w:r>
          </w:p>
        </w:tc>
        <w:tc>
          <w:tcPr>
            <w:tcW w:w="80" w:type="dxa"/>
            <w:vAlign w:val="bottom"/>
            <w:tcBorders>
              <w:top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6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6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8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14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3,155</w:t>
            </w:r>
          </w:p>
        </w:tc>
        <w:tc>
          <w:tcPr>
            <w:tcW w:w="80" w:type="dxa"/>
            <w:vAlign w:val="bottom"/>
            <w:tcBorders>
              <w:bottom w:val="single" w:sz="8" w:color="E0E0E0"/>
            </w:tcBorders>
          </w:tcPr>
          <w:p>
            <w:pPr>
              <w:spacing w:after="0"/>
              <w:rPr>
                <w:sz w:val="21"/>
                <w:szCs w:val="21"/>
                <w:color w:val="auto"/>
              </w:rPr>
            </w:pPr>
          </w:p>
        </w:tc>
        <w:tc>
          <w:tcPr>
            <w:tcW w:w="28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6,579</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00" w:type="dxa"/>
            <w:vAlign w:val="bottom"/>
            <w:shd w:val="clear" w:color="auto" w:fill="E0E0E0"/>
          </w:tcPr>
          <w:p>
            <w:pPr>
              <w:ind w:left="200"/>
              <w:spacing w:after="0" w:line="224" w:lineRule="exact"/>
              <w:rPr>
                <w:sz w:val="20"/>
                <w:szCs w:val="20"/>
                <w:color w:val="auto"/>
              </w:rPr>
            </w:pPr>
            <w:r>
              <w:rPr>
                <w:rFonts w:ascii="Times New Roman" w:cs="Times New Roman" w:eastAsia="Times New Roman" w:hAnsi="Times New Roman"/>
                <w:sz w:val="20"/>
                <w:szCs w:val="20"/>
                <w:color w:val="auto"/>
              </w:rPr>
              <w:t>Accrued expenses</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8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7,857</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7,439</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20" w:type="dxa"/>
            <w:vAlign w:val="bottom"/>
            <w:tcBorders>
              <w:bottom w:val="single" w:sz="8" w:color="E0E0E0"/>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403</w:t>
            </w:r>
          </w:p>
        </w:tc>
        <w:tc>
          <w:tcPr>
            <w:tcW w:w="80" w:type="dxa"/>
            <w:vAlign w:val="bottom"/>
            <w:tcBorders>
              <w:bottom w:val="single" w:sz="8" w:color="E0E0E0"/>
            </w:tcBorders>
          </w:tcPr>
          <w:p>
            <w:pPr>
              <w:spacing w:after="0"/>
              <w:rPr>
                <w:sz w:val="23"/>
                <w:szCs w:val="23"/>
                <w:color w:val="auto"/>
              </w:rPr>
            </w:pPr>
          </w:p>
        </w:tc>
        <w:tc>
          <w:tcPr>
            <w:tcW w:w="16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80" w:type="dxa"/>
            <w:vAlign w:val="bottom"/>
            <w:tcBorders>
              <w:bottom w:val="single" w:sz="8" w:color="E0E0E0"/>
            </w:tcBorders>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600" w:type="dxa"/>
            <w:vAlign w:val="bottom"/>
            <w:tcBorders>
              <w:top w:val="single" w:sz="8" w:color="E0E0E0"/>
            </w:tcBorders>
            <w:shd w:val="clear" w:color="auto" w:fill="E0E0E0"/>
          </w:tcPr>
          <w:p>
            <w:pPr>
              <w:ind w:left="400"/>
              <w:spacing w:after="0" w:line="213" w:lineRule="exact"/>
              <w:rPr>
                <w:sz w:val="20"/>
                <w:szCs w:val="20"/>
                <w:color w:val="auto"/>
              </w:rPr>
            </w:pPr>
            <w:r>
              <w:rPr>
                <w:rFonts w:ascii="Times New Roman" w:cs="Times New Roman" w:eastAsia="Times New Roman" w:hAnsi="Times New Roman"/>
                <w:sz w:val="20"/>
                <w:szCs w:val="20"/>
                <w:color w:val="auto"/>
              </w:rPr>
              <w:t>Total current liabilities</w:t>
            </w:r>
          </w:p>
        </w:tc>
        <w:tc>
          <w:tcPr>
            <w:tcW w:w="2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108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11,415</w:t>
            </w:r>
          </w:p>
        </w:tc>
        <w:tc>
          <w:tcPr>
            <w:tcW w:w="80" w:type="dxa"/>
            <w:vAlign w:val="bottom"/>
            <w:tcBorders>
              <w:top w:val="single" w:sz="8" w:color="E0E0E0"/>
            </w:tcBorders>
            <w:shd w:val="clear" w:color="auto" w:fill="E0E0E0"/>
          </w:tcPr>
          <w:p>
            <w:pPr>
              <w:spacing w:after="0"/>
              <w:rPr>
                <w:sz w:val="18"/>
                <w:szCs w:val="18"/>
                <w:color w:val="auto"/>
              </w:rPr>
            </w:pPr>
          </w:p>
        </w:tc>
        <w:tc>
          <w:tcPr>
            <w:tcW w:w="16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110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14,370</w:t>
            </w:r>
          </w:p>
        </w:tc>
        <w:tc>
          <w:tcPr>
            <w:tcW w:w="80" w:type="dxa"/>
            <w:vAlign w:val="bottom"/>
            <w:tcBorders>
              <w:top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20" w:type="dxa"/>
            <w:vAlign w:val="bottom"/>
            <w:tcBorders>
              <w:bottom w:val="single" w:sz="8" w:color="E0E0E0"/>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80" w:type="dxa"/>
            <w:vAlign w:val="bottom"/>
            <w:tcBorders>
              <w:bottom w:val="single" w:sz="8" w:color="E0E0E0"/>
            </w:tcBorders>
          </w:tcPr>
          <w:p>
            <w:pPr>
              <w:spacing w:after="0"/>
              <w:rPr>
                <w:sz w:val="23"/>
                <w:szCs w:val="23"/>
                <w:color w:val="auto"/>
              </w:rPr>
            </w:pPr>
          </w:p>
        </w:tc>
        <w:tc>
          <w:tcPr>
            <w:tcW w:w="16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80" w:type="dxa"/>
            <w:vAlign w:val="bottom"/>
            <w:tcBorders>
              <w:bottom w:val="single" w:sz="8" w:color="E0E0E0"/>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6600" w:type="dxa"/>
            <w:vAlign w:val="bottom"/>
            <w:tcBorders>
              <w:top w:val="single" w:sz="8" w:color="E0E0E0"/>
              <w:bottom w:val="single" w:sz="8" w:color="E0E0E0"/>
            </w:tcBorders>
            <w:shd w:val="clear" w:color="auto" w:fill="E0E0E0"/>
          </w:tcPr>
          <w:p>
            <w:pPr>
              <w:spacing w:after="0" w:line="213" w:lineRule="exact"/>
              <w:rPr>
                <w:sz w:val="20"/>
                <w:szCs w:val="20"/>
                <w:color w:val="auto"/>
              </w:rPr>
            </w:pPr>
            <w:r>
              <w:rPr>
                <w:rFonts w:ascii="Times New Roman" w:cs="Times New Roman" w:eastAsia="Times New Roman" w:hAnsi="Times New Roman"/>
                <w:sz w:val="20"/>
                <w:szCs w:val="20"/>
                <w:color w:val="auto"/>
              </w:rPr>
              <w:t>Total liabilities</w:t>
            </w: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120" w:type="dxa"/>
            <w:vAlign w:val="bottom"/>
            <w:tcBorders>
              <w:top w:val="single" w:sz="8" w:color="E0E0E0"/>
              <w:bottom w:val="single" w:sz="8" w:color="auto"/>
            </w:tcBorders>
            <w:shd w:val="clear" w:color="auto" w:fill="E0E0E0"/>
          </w:tcPr>
          <w:p>
            <w:pPr>
              <w:spacing w:after="0"/>
              <w:rPr>
                <w:sz w:val="20"/>
                <w:szCs w:val="20"/>
                <w:color w:val="auto"/>
              </w:rPr>
            </w:pPr>
          </w:p>
        </w:tc>
        <w:tc>
          <w:tcPr>
            <w:tcW w:w="1080" w:type="dxa"/>
            <w:vAlign w:val="bottom"/>
            <w:tcBorders>
              <w:top w:val="single" w:sz="8" w:color="E0E0E0"/>
              <w:bottom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11,850</w:t>
            </w:r>
          </w:p>
        </w:tc>
        <w:tc>
          <w:tcPr>
            <w:tcW w:w="80" w:type="dxa"/>
            <w:vAlign w:val="bottom"/>
            <w:tcBorders>
              <w:top w:val="single" w:sz="8" w:color="E0E0E0"/>
              <w:bottom w:val="single" w:sz="8" w:color="E0E0E0"/>
            </w:tcBorders>
            <w:shd w:val="clear" w:color="auto" w:fill="E0E0E0"/>
          </w:tcPr>
          <w:p>
            <w:pPr>
              <w:spacing w:after="0"/>
              <w:rPr>
                <w:sz w:val="20"/>
                <w:szCs w:val="20"/>
                <w:color w:val="auto"/>
              </w:rPr>
            </w:pPr>
          </w:p>
        </w:tc>
        <w:tc>
          <w:tcPr>
            <w:tcW w:w="160" w:type="dxa"/>
            <w:vAlign w:val="bottom"/>
            <w:tcBorders>
              <w:top w:val="single" w:sz="8" w:color="E0E0E0"/>
              <w:bottom w:val="single" w:sz="8" w:color="E0E0E0"/>
            </w:tcBorders>
            <w:shd w:val="clear" w:color="auto" w:fill="E0E0E0"/>
          </w:tcPr>
          <w:p>
            <w:pPr>
              <w:spacing w:after="0"/>
              <w:rPr>
                <w:sz w:val="20"/>
                <w:szCs w:val="20"/>
                <w:color w:val="auto"/>
              </w:rPr>
            </w:pP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100" w:type="dxa"/>
            <w:vAlign w:val="bottom"/>
            <w:tcBorders>
              <w:top w:val="single" w:sz="8" w:color="E0E0E0"/>
              <w:bottom w:val="single" w:sz="8" w:color="auto"/>
            </w:tcBorders>
            <w:shd w:val="clear" w:color="auto" w:fill="E0E0E0"/>
          </w:tcPr>
          <w:p>
            <w:pPr>
              <w:spacing w:after="0"/>
              <w:rPr>
                <w:sz w:val="20"/>
                <w:szCs w:val="20"/>
                <w:color w:val="auto"/>
              </w:rPr>
            </w:pPr>
          </w:p>
        </w:tc>
        <w:tc>
          <w:tcPr>
            <w:tcW w:w="1100" w:type="dxa"/>
            <w:vAlign w:val="bottom"/>
            <w:tcBorders>
              <w:top w:val="single" w:sz="8" w:color="E0E0E0"/>
              <w:bottom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15,208</w:t>
            </w:r>
          </w:p>
        </w:tc>
        <w:tc>
          <w:tcPr>
            <w:tcW w:w="80" w:type="dxa"/>
            <w:vAlign w:val="bottom"/>
            <w:tcBorders>
              <w:top w:val="single" w:sz="8" w:color="E0E0E0"/>
              <w:bottom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line="214" w:lineRule="exact"/>
              <w:rPr>
                <w:sz w:val="20"/>
                <w:szCs w:val="20"/>
                <w:color w:val="auto"/>
              </w:rPr>
            </w:pPr>
            <w:r>
              <w:rPr>
                <w:rFonts w:ascii="Times New Roman" w:cs="Times New Roman" w:eastAsia="Times New Roman" w:hAnsi="Times New Roman"/>
                <w:sz w:val="20"/>
                <w:szCs w:val="20"/>
                <w:color w:val="auto"/>
              </w:rPr>
              <w:t>Commitments and contingencies (see Note 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8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Preferred stock, $0.00001 par value, 5,000,000 shares authorized as of</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December 31, 2025 and December 31, 2024. No shares issued or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E0E0E0"/>
            </w:tcBorders>
          </w:tcPr>
          <w:p>
            <w:pPr>
              <w:ind w:left="360"/>
              <w:spacing w:after="0"/>
              <w:rPr>
                <w:sz w:val="20"/>
                <w:szCs w:val="20"/>
                <w:color w:val="auto"/>
              </w:rPr>
            </w:pPr>
            <w:r>
              <w:rPr>
                <w:rFonts w:ascii="Times New Roman" w:cs="Times New Roman" w:eastAsia="Times New Roman" w:hAnsi="Times New Roman"/>
                <w:sz w:val="20"/>
                <w:szCs w:val="20"/>
                <w:color w:val="auto"/>
              </w:rPr>
              <w:t>outstanding as of December 31, 2025 and December 31, 2024.</w:t>
            </w: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116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80" w:type="dxa"/>
            <w:vAlign w:val="bottom"/>
            <w:tcBorders>
              <w:bottom w:val="single" w:sz="8" w:color="E0E0E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4"/>
        </w:trPr>
        <w:tc>
          <w:tcPr>
            <w:tcW w:w="6600" w:type="dxa"/>
            <w:vAlign w:val="bottom"/>
            <w:shd w:val="clear" w:color="auto" w:fill="E0E0E0"/>
          </w:tcPr>
          <w:p>
            <w:pPr>
              <w:ind w:left="200"/>
              <w:spacing w:after="0" w:line="205" w:lineRule="exact"/>
              <w:rPr>
                <w:sz w:val="20"/>
                <w:szCs w:val="20"/>
                <w:color w:val="auto"/>
              </w:rPr>
            </w:pPr>
            <w:r>
              <w:rPr>
                <w:rFonts w:ascii="Times New Roman" w:cs="Times New Roman" w:eastAsia="Times New Roman" w:hAnsi="Times New Roman"/>
                <w:sz w:val="20"/>
                <w:szCs w:val="20"/>
                <w:color w:val="auto"/>
              </w:rPr>
              <w:t>Common stock, $0.00001 par value, 1,000,000,000 shares authorized as of</w:t>
            </w:r>
          </w:p>
        </w:tc>
        <w:tc>
          <w:tcPr>
            <w:tcW w:w="2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108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10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December 31, 2025 and December 31, 2024;</w:t>
            </w:r>
          </w:p>
        </w:tc>
        <w:tc>
          <w:tcPr>
            <w:tcW w:w="2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08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10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E0E0E0"/>
          </w:tcPr>
          <w:p>
            <w:pPr>
              <w:ind w:left="360"/>
              <w:spacing w:after="0"/>
              <w:rPr>
                <w:sz w:val="20"/>
                <w:szCs w:val="20"/>
                <w:color w:val="auto"/>
              </w:rPr>
            </w:pPr>
            <w:r>
              <w:rPr>
                <w:rFonts w:ascii="Times New Roman" w:cs="Times New Roman" w:eastAsia="Times New Roman" w:hAnsi="Times New Roman"/>
                <w:sz w:val="20"/>
                <w:szCs w:val="20"/>
                <w:color w:val="auto"/>
              </w:rPr>
              <w:t>53,331,766 and 51,935,134 shares issued and outstanding at</w:t>
            </w:r>
          </w:p>
        </w:tc>
        <w:tc>
          <w:tcPr>
            <w:tcW w:w="2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8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1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E0E0E0"/>
          </w:tcPr>
          <w:p>
            <w:pPr>
              <w:ind w:left="360"/>
              <w:spacing w:after="0"/>
              <w:rPr>
                <w:sz w:val="20"/>
                <w:szCs w:val="20"/>
                <w:color w:val="auto"/>
              </w:rPr>
            </w:pPr>
            <w:r>
              <w:rPr>
                <w:rFonts w:ascii="Times New Roman" w:cs="Times New Roman" w:eastAsia="Times New Roman" w:hAnsi="Times New Roman"/>
                <w:sz w:val="20"/>
                <w:szCs w:val="20"/>
                <w:color w:val="auto"/>
              </w:rPr>
              <w:t>December 31, 2025 and December 31, 2024, respectively.</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10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551,082</w:t>
            </w:r>
          </w:p>
        </w:tc>
        <w:tc>
          <w:tcPr>
            <w:tcW w:w="80" w:type="dxa"/>
            <w:vAlign w:val="bottom"/>
            <w:tcBorders>
              <w:bottom w:val="single" w:sz="8" w:color="E0E0E0"/>
            </w:tcBorders>
          </w:tcPr>
          <w:p>
            <w:pPr>
              <w:spacing w:after="0"/>
              <w:rPr>
                <w:sz w:val="21"/>
                <w:szCs w:val="21"/>
                <w:color w:val="auto"/>
              </w:rPr>
            </w:pPr>
          </w:p>
        </w:tc>
        <w:tc>
          <w:tcPr>
            <w:tcW w:w="1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544,653</w:t>
            </w:r>
          </w:p>
        </w:tc>
        <w:tc>
          <w:tcPr>
            <w:tcW w:w="8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E0E0E0"/>
          </w:tcPr>
          <w:p>
            <w:pPr>
              <w:ind w:left="200"/>
              <w:spacing w:after="0" w:line="225" w:lineRule="exact"/>
              <w:rPr>
                <w:sz w:val="20"/>
                <w:szCs w:val="20"/>
                <w:color w:val="auto"/>
              </w:rPr>
            </w:pPr>
            <w:r>
              <w:rPr>
                <w:rFonts w:ascii="Times New Roman" w:cs="Times New Roman" w:eastAsia="Times New Roman" w:hAnsi="Times New Roman"/>
                <w:sz w:val="20"/>
                <w:szCs w:val="20"/>
                <w:color w:val="auto"/>
              </w:rPr>
              <w:t>Accumulated deficit</w:t>
            </w: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(446,454</w:t>
            </w:r>
          </w:p>
        </w:tc>
        <w:tc>
          <w:tcPr>
            <w:tcW w:w="8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E0E0E0"/>
              </w:rPr>
              <w:t>)</w:t>
            </w:r>
          </w:p>
        </w:tc>
        <w:tc>
          <w:tcPr>
            <w:tcW w:w="1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(368,712</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0" w:type="dxa"/>
            <w:vAlign w:val="bottom"/>
          </w:tcPr>
          <w:p>
            <w:pPr>
              <w:spacing w:after="0"/>
              <w:rPr>
                <w:sz w:val="1"/>
                <w:szCs w:val="1"/>
                <w:color w:val="auto"/>
              </w:rPr>
            </w:pPr>
          </w:p>
        </w:tc>
      </w:tr>
      <w:tr>
        <w:trPr>
          <w:trHeight w:val="269"/>
        </w:trPr>
        <w:tc>
          <w:tcPr>
            <w:tcW w:w="66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2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80" w:type="dxa"/>
            <w:vAlign w:val="bottom"/>
            <w:tcBorders>
              <w:bottom w:val="single" w:sz="8" w:color="E0E0E0"/>
            </w:tcBorders>
          </w:tcPr>
          <w:p>
            <w:pPr>
              <w:spacing w:after="0"/>
              <w:rPr>
                <w:sz w:val="22"/>
                <w:szCs w:val="22"/>
                <w:color w:val="auto"/>
              </w:rPr>
            </w:pPr>
          </w:p>
        </w:tc>
        <w:tc>
          <w:tcPr>
            <w:tcW w:w="16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8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600" w:type="dxa"/>
            <w:vAlign w:val="bottom"/>
            <w:tcBorders>
              <w:top w:val="single" w:sz="8" w:color="E0E0E0"/>
              <w:bottom w:val="single" w:sz="8" w:color="E0E0E0"/>
            </w:tcBorders>
            <w:shd w:val="clear" w:color="auto" w:fill="E0E0E0"/>
          </w:tcPr>
          <w:p>
            <w:pPr>
              <w:ind w:left="400"/>
              <w:spacing w:after="0" w:line="214" w:lineRule="exact"/>
              <w:rPr>
                <w:sz w:val="20"/>
                <w:szCs w:val="20"/>
                <w:color w:val="auto"/>
              </w:rPr>
            </w:pPr>
            <w:r>
              <w:rPr>
                <w:rFonts w:ascii="Times New Roman" w:cs="Times New Roman" w:eastAsia="Times New Roman" w:hAnsi="Times New Roman"/>
                <w:sz w:val="20"/>
                <w:szCs w:val="20"/>
                <w:color w:val="auto"/>
              </w:rPr>
              <w:t>Total stockholders’ equity</w:t>
            </w: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120" w:type="dxa"/>
            <w:vAlign w:val="bottom"/>
            <w:tcBorders>
              <w:top w:val="single" w:sz="8" w:color="E0E0E0"/>
              <w:bottom w:val="single" w:sz="8" w:color="auto"/>
            </w:tcBorders>
            <w:shd w:val="clear" w:color="auto" w:fill="E0E0E0"/>
          </w:tcPr>
          <w:p>
            <w:pPr>
              <w:spacing w:after="0"/>
              <w:rPr>
                <w:sz w:val="20"/>
                <w:szCs w:val="20"/>
                <w:color w:val="auto"/>
              </w:rPr>
            </w:pPr>
          </w:p>
        </w:tc>
        <w:tc>
          <w:tcPr>
            <w:tcW w:w="108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104,712</w:t>
            </w:r>
          </w:p>
        </w:tc>
        <w:tc>
          <w:tcPr>
            <w:tcW w:w="80" w:type="dxa"/>
            <w:vAlign w:val="bottom"/>
            <w:tcBorders>
              <w:top w:val="single" w:sz="8" w:color="E0E0E0"/>
              <w:bottom w:val="single" w:sz="8" w:color="E0E0E0"/>
            </w:tcBorders>
            <w:shd w:val="clear" w:color="auto" w:fill="E0E0E0"/>
          </w:tcPr>
          <w:p>
            <w:pPr>
              <w:spacing w:after="0"/>
              <w:rPr>
                <w:sz w:val="20"/>
                <w:szCs w:val="20"/>
                <w:color w:val="auto"/>
              </w:rPr>
            </w:pPr>
          </w:p>
        </w:tc>
        <w:tc>
          <w:tcPr>
            <w:tcW w:w="160" w:type="dxa"/>
            <w:vAlign w:val="bottom"/>
            <w:tcBorders>
              <w:top w:val="single" w:sz="8" w:color="E0E0E0"/>
              <w:bottom w:val="single" w:sz="8" w:color="E0E0E0"/>
            </w:tcBorders>
            <w:shd w:val="clear" w:color="auto" w:fill="E0E0E0"/>
          </w:tcPr>
          <w:p>
            <w:pPr>
              <w:spacing w:after="0"/>
              <w:rPr>
                <w:sz w:val="20"/>
                <w:szCs w:val="20"/>
                <w:color w:val="auto"/>
              </w:rPr>
            </w:pP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100" w:type="dxa"/>
            <w:vAlign w:val="bottom"/>
            <w:tcBorders>
              <w:top w:val="single" w:sz="8" w:color="E0E0E0"/>
              <w:bottom w:val="single" w:sz="8" w:color="auto"/>
            </w:tcBorders>
            <w:shd w:val="clear" w:color="auto" w:fill="E0E0E0"/>
          </w:tcPr>
          <w:p>
            <w:pPr>
              <w:spacing w:after="0"/>
              <w:rPr>
                <w:sz w:val="20"/>
                <w:szCs w:val="20"/>
                <w:color w:val="auto"/>
              </w:rPr>
            </w:pPr>
          </w:p>
        </w:tc>
        <w:tc>
          <w:tcPr>
            <w:tcW w:w="110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176,080</w:t>
            </w:r>
          </w:p>
        </w:tc>
        <w:tc>
          <w:tcPr>
            <w:tcW w:w="80" w:type="dxa"/>
            <w:vAlign w:val="bottom"/>
            <w:tcBorders>
              <w:top w:val="single" w:sz="8" w:color="E0E0E0"/>
              <w:bottom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116,562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191,288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-4699635</wp:posOffset>
                </wp:positionV>
                <wp:extent cx="59436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0.0499pt" to="468pt,-370.0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-3764280</wp:posOffset>
                </wp:positionV>
                <wp:extent cx="59436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6.3999pt" to="468pt,-296.3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-2800350</wp:posOffset>
                </wp:positionV>
                <wp:extent cx="59436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0.4999pt" to="468pt,-220.4999pt" o:allowincell="f" strokecolor="#FFFFFF" strokeweight="0.72pt"/>
            </w:pict>
          </mc:Fallback>
        </mc:AlternateConten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1416" w:right="1440" w:bottom="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r>
        <w:rPr>
          <w:rFonts w:ascii="PMingLiU" w:cs="PMingLiU" w:eastAsia="PMingLiU" w:hAnsi="PMingLiU"/>
          <w:sz w:val="20"/>
          <w:szCs w:val="20"/>
          <w:color w:val="auto"/>
        </w:rPr>
        <w:t/>
      </w:r>
    </w:p>
    <w:p>
      <w:pPr>
        <w:sectPr>
          <w:pgSz w:w="12240" w:h="15840" w:orient="portrait"/>
          <w:cols w:equalWidth="0" w:num="1">
            <w:col w:w="9360"/>
          </w:cols>
          <w:pgMar w:left="1440" w:top="1416" w:right="1440" w:bottom="162"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vMerge w:val="restart"/>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32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E0E0E0"/>
            </w:tcBorders>
            <w:vMerge w:val="continue"/>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0E0"/>
            </w:tcBorders>
            <w:vMerge w:val="continue"/>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0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96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980" w:type="dxa"/>
            <w:vAlign w:val="bottom"/>
            <w:tcBorders>
              <w:right w:val="single" w:sz="8" w:color="E0E0E0"/>
            </w:tcBorders>
            <w:shd w:val="clear" w:color="auto" w:fill="E0E0E0"/>
          </w:tcPr>
          <w:p>
            <w:pPr>
              <w:spacing w:after="0"/>
              <w:rPr>
                <w:sz w:val="20"/>
                <w:szCs w:val="20"/>
                <w:color w:val="auto"/>
              </w:rPr>
            </w:pPr>
          </w:p>
        </w:tc>
        <w:tc>
          <w:tcPr>
            <w:tcW w:w="80" w:type="dxa"/>
            <w:vAlign w:val="bottom"/>
            <w:tcBorders>
              <w:left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69,877</w:t>
            </w:r>
          </w:p>
        </w:tc>
        <w:tc>
          <w:tcPr>
            <w:tcW w:w="6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58,527</w:t>
            </w:r>
          </w:p>
        </w:tc>
        <w:tc>
          <w:tcPr>
            <w:tcW w:w="8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00" w:type="dxa"/>
            <w:vAlign w:val="bottom"/>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spacing w:after="0"/>
              <w:rPr>
                <w:sz w:val="21"/>
                <w:szCs w:val="21"/>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16,329</w:t>
            </w:r>
          </w:p>
        </w:tc>
        <w:tc>
          <w:tcPr>
            <w:tcW w:w="6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60" w:type="dxa"/>
            <w:vAlign w:val="bottom"/>
            <w:tcBorders>
              <w:bottom w:val="single" w:sz="8" w:color="auto"/>
            </w:tcBorders>
            <w:shd w:val="clear" w:color="auto" w:fill="E0E0E0"/>
          </w:tcPr>
          <w:p>
            <w:pPr>
              <w:spacing w:after="0"/>
              <w:rPr>
                <w:sz w:val="21"/>
                <w:szCs w:val="21"/>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26,921</w:t>
            </w:r>
          </w:p>
        </w:tc>
        <w:tc>
          <w:tcPr>
            <w:tcW w:w="8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80" w:type="dxa"/>
            <w:vAlign w:val="bottom"/>
            <w:tcBorders>
              <w:bottom w:val="single" w:sz="8" w:color="auto"/>
            </w:tcBorders>
            <w:shd w:val="clear" w:color="auto" w:fill="E0E0E0"/>
          </w:tcPr>
          <w:p>
            <w:pPr>
              <w:spacing w:after="0"/>
              <w:rPr>
                <w:sz w:val="21"/>
                <w:szCs w:val="21"/>
                <w:color w:val="auto"/>
              </w:rPr>
            </w:pPr>
          </w:p>
        </w:tc>
        <w:tc>
          <w:tcPr>
            <w:tcW w:w="980" w:type="dxa"/>
            <w:vAlign w:val="bottom"/>
            <w:tcBorders>
              <w:bottom w:val="single" w:sz="8" w:color="auto"/>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24,247</w:t>
            </w:r>
          </w:p>
        </w:tc>
        <w:tc>
          <w:tcPr>
            <w:tcW w:w="80" w:type="dxa"/>
            <w:vAlign w:val="bottom"/>
            <w:tcBorders>
              <w:left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320" w:type="dxa"/>
            <w:vAlign w:val="bottom"/>
            <w:tcBorders>
              <w:bottom w:val="single" w:sz="8" w:color="E0E0E0"/>
            </w:tcBorders>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100" w:type="dxa"/>
            <w:vAlign w:val="bottom"/>
            <w:tcBorders>
              <w:bottom w:val="single" w:sz="8" w:color="E0E0E0"/>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86,206</w:t>
            </w:r>
          </w:p>
        </w:tc>
        <w:tc>
          <w:tcPr>
            <w:tcW w:w="60" w:type="dxa"/>
            <w:vAlign w:val="bottom"/>
            <w:tcBorders>
              <w:bottom w:val="single" w:sz="8" w:color="E0E0E0"/>
            </w:tcBorders>
          </w:tcPr>
          <w:p>
            <w:pPr>
              <w:spacing w:after="0"/>
              <w:rPr>
                <w:sz w:val="20"/>
                <w:szCs w:val="20"/>
                <w:color w:val="auto"/>
              </w:rPr>
            </w:pPr>
          </w:p>
        </w:tc>
        <w:tc>
          <w:tcPr>
            <w:tcW w:w="120" w:type="dxa"/>
            <w:vAlign w:val="bottom"/>
            <w:tcBorders>
              <w:bottom w:val="single" w:sz="8" w:color="E0E0E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85,448</w:t>
            </w:r>
          </w:p>
        </w:tc>
        <w:tc>
          <w:tcPr>
            <w:tcW w:w="8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80,132</w:t>
            </w:r>
          </w:p>
        </w:tc>
        <w:tc>
          <w:tcPr>
            <w:tcW w:w="80" w:type="dxa"/>
            <w:vAlign w:val="bottom"/>
            <w:tcBorders>
              <w:bottom w:val="single" w:sz="8" w:color="E0E0E0"/>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3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Loss from operations</w:t>
            </w:r>
          </w:p>
        </w:tc>
        <w:tc>
          <w:tcPr>
            <w:tcW w:w="100" w:type="dxa"/>
            <w:vAlign w:val="bottom"/>
            <w:shd w:val="clear" w:color="auto" w:fill="E0E0E0"/>
          </w:tcPr>
          <w:p>
            <w:pPr>
              <w:spacing w:after="0"/>
              <w:rPr>
                <w:sz w:val="22"/>
                <w:szCs w:val="22"/>
                <w:color w:val="auto"/>
              </w:rPr>
            </w:pPr>
          </w:p>
        </w:tc>
        <w:tc>
          <w:tcPr>
            <w:tcW w:w="280" w:type="dxa"/>
            <w:vAlign w:val="bottom"/>
            <w:shd w:val="clear" w:color="auto" w:fill="E0E0E0"/>
          </w:tcPr>
          <w:p>
            <w:pPr>
              <w:spacing w:after="0"/>
              <w:rPr>
                <w:sz w:val="22"/>
                <w:szCs w:val="22"/>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(86,206</w:t>
            </w:r>
          </w:p>
        </w:tc>
        <w:tc>
          <w:tcPr>
            <w:tcW w:w="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20" w:type="dxa"/>
            <w:vAlign w:val="bottom"/>
            <w:shd w:val="clear" w:color="auto" w:fill="E0E0E0"/>
          </w:tcPr>
          <w:p>
            <w:pPr>
              <w:spacing w:after="0"/>
              <w:rPr>
                <w:sz w:val="22"/>
                <w:szCs w:val="22"/>
                <w:color w:val="auto"/>
              </w:rPr>
            </w:pPr>
          </w:p>
        </w:tc>
        <w:tc>
          <w:tcPr>
            <w:tcW w:w="160" w:type="dxa"/>
            <w:vAlign w:val="bottom"/>
            <w:shd w:val="clear" w:color="auto" w:fill="E0E0E0"/>
          </w:tcPr>
          <w:p>
            <w:pPr>
              <w:spacing w:after="0"/>
              <w:rPr>
                <w:sz w:val="22"/>
                <w:szCs w:val="22"/>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(85,448</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00" w:type="dxa"/>
            <w:vAlign w:val="bottom"/>
            <w:shd w:val="clear" w:color="auto" w:fill="E0E0E0"/>
          </w:tcPr>
          <w:p>
            <w:pPr>
              <w:spacing w:after="0"/>
              <w:rPr>
                <w:sz w:val="22"/>
                <w:szCs w:val="22"/>
                <w:color w:val="auto"/>
              </w:rPr>
            </w:pPr>
          </w:p>
        </w:tc>
        <w:tc>
          <w:tcPr>
            <w:tcW w:w="180" w:type="dxa"/>
            <w:vAlign w:val="bottom"/>
            <w:shd w:val="clear" w:color="auto" w:fill="E0E0E0"/>
          </w:tcPr>
          <w:p>
            <w:pPr>
              <w:spacing w:after="0"/>
              <w:rPr>
                <w:sz w:val="22"/>
                <w:szCs w:val="22"/>
                <w:color w:val="auto"/>
              </w:rPr>
            </w:pPr>
          </w:p>
        </w:tc>
        <w:tc>
          <w:tcPr>
            <w:tcW w:w="98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(80,132</w:t>
            </w:r>
          </w:p>
        </w:tc>
        <w:tc>
          <w:tcPr>
            <w:tcW w:w="80" w:type="dxa"/>
            <w:vAlign w:val="bottom"/>
            <w:tcBorders>
              <w:lef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0" w:type="dxa"/>
            <w:vAlign w:val="bottom"/>
          </w:tcPr>
          <w:p>
            <w:pPr>
              <w:spacing w:after="0"/>
              <w:rPr>
                <w:sz w:val="1"/>
                <w:szCs w:val="1"/>
                <w:color w:val="auto"/>
              </w:rPr>
            </w:pPr>
          </w:p>
        </w:tc>
      </w:tr>
      <w:tr>
        <w:trPr>
          <w:trHeight w:val="225"/>
        </w:trPr>
        <w:tc>
          <w:tcPr>
            <w:tcW w:w="53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Other income: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3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Interest income, net</w:t>
            </w:r>
          </w:p>
        </w:tc>
        <w:tc>
          <w:tcPr>
            <w:tcW w:w="1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6,337</w:t>
            </w:r>
          </w:p>
        </w:tc>
        <w:tc>
          <w:tcPr>
            <w:tcW w:w="6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10,655</w:t>
            </w:r>
          </w:p>
        </w:tc>
        <w:tc>
          <w:tcPr>
            <w:tcW w:w="8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98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11,171</w:t>
            </w:r>
          </w:p>
        </w:tc>
        <w:tc>
          <w:tcPr>
            <w:tcW w:w="80" w:type="dxa"/>
            <w:vAlign w:val="bottom"/>
            <w:tcBorders>
              <w:left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(expense) income, net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320" w:type="dxa"/>
            <w:vAlign w:val="bottom"/>
            <w:tcBorders>
              <w:top w:val="single" w:sz="8" w:color="E0E0E0"/>
            </w:tcBorders>
            <w:shd w:val="clear" w:color="auto" w:fill="E0E0E0"/>
          </w:tcPr>
          <w:p>
            <w:pPr>
              <w:ind w:left="600"/>
              <w:spacing w:after="0"/>
              <w:rPr>
                <w:sz w:val="20"/>
                <w:szCs w:val="20"/>
                <w:color w:val="auto"/>
              </w:rPr>
            </w:pPr>
            <w:r>
              <w:rPr>
                <w:rFonts w:ascii="Times New Roman" w:cs="Times New Roman" w:eastAsia="Times New Roman" w:hAnsi="Times New Roman"/>
                <w:sz w:val="20"/>
                <w:szCs w:val="20"/>
                <w:color w:val="auto"/>
              </w:rPr>
              <w:t>Total other income</w:t>
            </w:r>
          </w:p>
        </w:tc>
        <w:tc>
          <w:tcPr>
            <w:tcW w:w="100" w:type="dxa"/>
            <w:vAlign w:val="bottom"/>
            <w:tcBorders>
              <w:top w:val="single" w:sz="8" w:color="E0E0E0"/>
            </w:tcBorders>
            <w:shd w:val="clear" w:color="auto" w:fill="E0E0E0"/>
          </w:tcPr>
          <w:p>
            <w:pPr>
              <w:spacing w:after="0"/>
              <w:rPr>
                <w:sz w:val="20"/>
                <w:szCs w:val="20"/>
                <w:color w:val="auto"/>
              </w:rPr>
            </w:pPr>
          </w:p>
        </w:tc>
        <w:tc>
          <w:tcPr>
            <w:tcW w:w="280" w:type="dxa"/>
            <w:vAlign w:val="bottom"/>
            <w:tcBorders>
              <w:top w:val="single" w:sz="8" w:color="auto"/>
              <w:bottom w:val="single" w:sz="8" w:color="auto"/>
            </w:tcBorders>
            <w:shd w:val="clear" w:color="auto" w:fill="E0E0E0"/>
          </w:tcPr>
          <w:p>
            <w:pPr>
              <w:spacing w:after="0"/>
              <w:rPr>
                <w:sz w:val="20"/>
                <w:szCs w:val="20"/>
                <w:color w:val="auto"/>
              </w:rPr>
            </w:pPr>
          </w:p>
        </w:tc>
        <w:tc>
          <w:tcPr>
            <w:tcW w:w="9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6,292</w:t>
            </w:r>
          </w:p>
        </w:tc>
        <w:tc>
          <w:tcPr>
            <w:tcW w:w="60" w:type="dxa"/>
            <w:vAlign w:val="bottom"/>
            <w:tcBorders>
              <w:top w:val="single" w:sz="8" w:color="E0E0E0"/>
            </w:tcBorders>
            <w:shd w:val="clear" w:color="auto" w:fill="E0E0E0"/>
          </w:tcPr>
          <w:p>
            <w:pPr>
              <w:spacing w:after="0"/>
              <w:rPr>
                <w:sz w:val="20"/>
                <w:szCs w:val="20"/>
                <w:color w:val="auto"/>
              </w:rPr>
            </w:pPr>
          </w:p>
        </w:tc>
        <w:tc>
          <w:tcPr>
            <w:tcW w:w="120" w:type="dxa"/>
            <w:vAlign w:val="bottom"/>
            <w:tcBorders>
              <w:top w:val="single" w:sz="8" w:color="E0E0E0"/>
            </w:tcBorders>
            <w:shd w:val="clear" w:color="auto" w:fill="E0E0E0"/>
          </w:tcPr>
          <w:p>
            <w:pPr>
              <w:spacing w:after="0"/>
              <w:rPr>
                <w:sz w:val="20"/>
                <w:szCs w:val="20"/>
                <w:color w:val="auto"/>
              </w:rPr>
            </w:pPr>
          </w:p>
        </w:tc>
        <w:tc>
          <w:tcPr>
            <w:tcW w:w="160" w:type="dxa"/>
            <w:vAlign w:val="bottom"/>
            <w:tcBorders>
              <w:top w:val="single" w:sz="8" w:color="auto"/>
              <w:bottom w:val="single" w:sz="8" w:color="auto"/>
            </w:tcBorders>
            <w:shd w:val="clear" w:color="auto" w:fill="E0E0E0"/>
          </w:tcPr>
          <w:p>
            <w:pPr>
              <w:spacing w:after="0"/>
              <w:rPr>
                <w:sz w:val="20"/>
                <w:szCs w:val="20"/>
                <w:color w:val="auto"/>
              </w:rPr>
            </w:pPr>
          </w:p>
        </w:tc>
        <w:tc>
          <w:tcPr>
            <w:tcW w:w="9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10,639</w:t>
            </w:r>
          </w:p>
        </w:tc>
        <w:tc>
          <w:tcPr>
            <w:tcW w:w="80" w:type="dxa"/>
            <w:vAlign w:val="bottom"/>
            <w:tcBorders>
              <w:top w:val="single" w:sz="8" w:color="E0E0E0"/>
            </w:tcBorders>
            <w:shd w:val="clear" w:color="auto" w:fill="E0E0E0"/>
          </w:tcPr>
          <w:p>
            <w:pPr>
              <w:spacing w:after="0"/>
              <w:rPr>
                <w:sz w:val="20"/>
                <w:szCs w:val="20"/>
                <w:color w:val="auto"/>
              </w:rPr>
            </w:pPr>
          </w:p>
        </w:tc>
        <w:tc>
          <w:tcPr>
            <w:tcW w:w="100" w:type="dxa"/>
            <w:vAlign w:val="bottom"/>
            <w:tcBorders>
              <w:top w:val="single" w:sz="8" w:color="E0E0E0"/>
            </w:tcBorders>
            <w:shd w:val="clear" w:color="auto" w:fill="E0E0E0"/>
          </w:tcPr>
          <w:p>
            <w:pPr>
              <w:spacing w:after="0"/>
              <w:rPr>
                <w:sz w:val="20"/>
                <w:szCs w:val="20"/>
                <w:color w:val="auto"/>
              </w:rPr>
            </w:pPr>
          </w:p>
        </w:tc>
        <w:tc>
          <w:tcPr>
            <w:tcW w:w="180" w:type="dxa"/>
            <w:vAlign w:val="bottom"/>
            <w:tcBorders>
              <w:top w:val="single" w:sz="8" w:color="auto"/>
              <w:bottom w:val="single" w:sz="8" w:color="auto"/>
            </w:tcBorders>
            <w:shd w:val="clear" w:color="auto" w:fill="E0E0E0"/>
          </w:tcPr>
          <w:p>
            <w:pPr>
              <w:spacing w:after="0"/>
              <w:rPr>
                <w:sz w:val="20"/>
                <w:szCs w:val="20"/>
                <w:color w:val="auto"/>
              </w:rPr>
            </w:pPr>
          </w:p>
        </w:tc>
        <w:tc>
          <w:tcPr>
            <w:tcW w:w="980" w:type="dxa"/>
            <w:vAlign w:val="bottom"/>
            <w:tcBorders>
              <w:top w:val="single" w:sz="8" w:color="auto"/>
              <w:bottom w:val="single" w:sz="8" w:color="auto"/>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11,174</w:t>
            </w:r>
          </w:p>
        </w:tc>
        <w:tc>
          <w:tcPr>
            <w:tcW w:w="80" w:type="dxa"/>
            <w:vAlign w:val="bottom"/>
            <w:tcBorders>
              <w:top w:val="single" w:sz="8" w:color="E0E0E0"/>
              <w:left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before provision (benefit) for income taxes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(79,914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(74,809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(68,958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4"/>
        </w:trPr>
        <w:tc>
          <w:tcPr>
            <w:tcW w:w="532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100" w:type="dxa"/>
            <w:vAlign w:val="bottom"/>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spacing w:after="0"/>
              <w:rPr>
                <w:sz w:val="21"/>
                <w:szCs w:val="21"/>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(2,172</w:t>
            </w:r>
          </w:p>
        </w:tc>
        <w:tc>
          <w:tcPr>
            <w:tcW w:w="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20" w:type="dxa"/>
            <w:vAlign w:val="bottom"/>
            <w:shd w:val="clear" w:color="auto" w:fill="E0E0E0"/>
          </w:tcPr>
          <w:p>
            <w:pPr>
              <w:spacing w:after="0"/>
              <w:rPr>
                <w:sz w:val="21"/>
                <w:szCs w:val="21"/>
                <w:color w:val="auto"/>
              </w:rPr>
            </w:pPr>
          </w:p>
        </w:tc>
        <w:tc>
          <w:tcPr>
            <w:tcW w:w="160" w:type="dxa"/>
            <w:vAlign w:val="bottom"/>
            <w:tcBorders>
              <w:bottom w:val="single" w:sz="8" w:color="auto"/>
            </w:tcBorders>
            <w:shd w:val="clear" w:color="auto" w:fill="E0E0E0"/>
          </w:tcPr>
          <w:p>
            <w:pPr>
              <w:spacing w:after="0"/>
              <w:rPr>
                <w:sz w:val="21"/>
                <w:szCs w:val="21"/>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(16,100</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00" w:type="dxa"/>
            <w:vAlign w:val="bottom"/>
            <w:shd w:val="clear" w:color="auto" w:fill="E0E0E0"/>
          </w:tcPr>
          <w:p>
            <w:pPr>
              <w:spacing w:after="0"/>
              <w:rPr>
                <w:sz w:val="21"/>
                <w:szCs w:val="21"/>
                <w:color w:val="auto"/>
              </w:rPr>
            </w:pPr>
          </w:p>
        </w:tc>
        <w:tc>
          <w:tcPr>
            <w:tcW w:w="180" w:type="dxa"/>
            <w:vAlign w:val="bottom"/>
            <w:tcBorders>
              <w:bottom w:val="single" w:sz="8" w:color="auto"/>
            </w:tcBorders>
            <w:shd w:val="clear" w:color="auto" w:fill="E0E0E0"/>
          </w:tcPr>
          <w:p>
            <w:pPr>
              <w:spacing w:after="0"/>
              <w:rPr>
                <w:sz w:val="21"/>
                <w:szCs w:val="21"/>
                <w:color w:val="auto"/>
              </w:rPr>
            </w:pPr>
          </w:p>
        </w:tc>
        <w:tc>
          <w:tcPr>
            <w:tcW w:w="980" w:type="dxa"/>
            <w:vAlign w:val="bottom"/>
            <w:tcBorders>
              <w:bottom w:val="single" w:sz="8" w:color="auto"/>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left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(77,742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(58,709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(68,960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4"/>
        </w:trPr>
        <w:tc>
          <w:tcPr>
            <w:tcW w:w="53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Unrealized (loss) gain on available for sale investments, net of</w:t>
            </w:r>
          </w:p>
        </w:tc>
        <w:tc>
          <w:tcPr>
            <w:tcW w:w="1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940" w:type="dxa"/>
            <w:vAlign w:val="bottom"/>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9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980" w:type="dxa"/>
            <w:vAlign w:val="bottom"/>
            <w:tcBorders>
              <w:right w:val="single" w:sz="8" w:color="E0E0E0"/>
            </w:tcBorders>
            <w:shd w:val="clear" w:color="auto" w:fill="E0E0E0"/>
          </w:tcPr>
          <w:p>
            <w:pPr>
              <w:spacing w:after="0"/>
              <w:rPr>
                <w:sz w:val="21"/>
                <w:szCs w:val="21"/>
                <w:color w:val="auto"/>
              </w:rPr>
            </w:pPr>
          </w:p>
        </w:tc>
        <w:tc>
          <w:tcPr>
            <w:tcW w:w="80" w:type="dxa"/>
            <w:vAlign w:val="bottom"/>
            <w:tcBorders>
              <w:left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tax</w:t>
            </w:r>
          </w:p>
        </w:tc>
        <w:tc>
          <w:tcPr>
            <w:tcW w:w="10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0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98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635</w:t>
            </w:r>
          </w:p>
        </w:tc>
        <w:tc>
          <w:tcPr>
            <w:tcW w:w="80" w:type="dxa"/>
            <w:vAlign w:val="bottom"/>
            <w:tcBorders>
              <w:left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 currency translation (loss) gain</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tcBorders>
              <w:top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Total other comprehensive (loss) income</w:t>
            </w:r>
          </w:p>
        </w:tc>
        <w:tc>
          <w:tcPr>
            <w:tcW w:w="100" w:type="dxa"/>
            <w:vAlign w:val="bottom"/>
            <w:tcBorders>
              <w:top w:val="single" w:sz="8" w:color="E0E0E0"/>
            </w:tcBorders>
            <w:shd w:val="clear" w:color="auto" w:fill="E0E0E0"/>
          </w:tcPr>
          <w:p>
            <w:pPr>
              <w:spacing w:after="0"/>
              <w:rPr>
                <w:sz w:val="20"/>
                <w:szCs w:val="20"/>
                <w:color w:val="auto"/>
              </w:rPr>
            </w:pPr>
          </w:p>
        </w:tc>
        <w:tc>
          <w:tcPr>
            <w:tcW w:w="280" w:type="dxa"/>
            <w:vAlign w:val="bottom"/>
            <w:tcBorders>
              <w:top w:val="single" w:sz="8" w:color="auto"/>
              <w:bottom w:val="single" w:sz="8" w:color="auto"/>
            </w:tcBorders>
            <w:shd w:val="clear" w:color="auto" w:fill="E0E0E0"/>
          </w:tcPr>
          <w:p>
            <w:pPr>
              <w:spacing w:after="0"/>
              <w:rPr>
                <w:sz w:val="20"/>
                <w:szCs w:val="20"/>
                <w:color w:val="auto"/>
              </w:rPr>
            </w:pPr>
          </w:p>
        </w:tc>
        <w:tc>
          <w:tcPr>
            <w:tcW w:w="9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20" w:type="dxa"/>
            <w:vAlign w:val="bottom"/>
            <w:tcBorders>
              <w:top w:val="single" w:sz="8" w:color="E0E0E0"/>
            </w:tcBorders>
            <w:shd w:val="clear" w:color="auto" w:fill="E0E0E0"/>
          </w:tcPr>
          <w:p>
            <w:pPr>
              <w:spacing w:after="0"/>
              <w:rPr>
                <w:sz w:val="20"/>
                <w:szCs w:val="20"/>
                <w:color w:val="auto"/>
              </w:rPr>
            </w:pPr>
          </w:p>
        </w:tc>
        <w:tc>
          <w:tcPr>
            <w:tcW w:w="160" w:type="dxa"/>
            <w:vAlign w:val="bottom"/>
            <w:tcBorders>
              <w:top w:val="single" w:sz="8" w:color="auto"/>
              <w:bottom w:val="single" w:sz="8" w:color="auto"/>
            </w:tcBorders>
            <w:shd w:val="clear" w:color="auto" w:fill="E0E0E0"/>
          </w:tcPr>
          <w:p>
            <w:pPr>
              <w:spacing w:after="0"/>
              <w:rPr>
                <w:sz w:val="20"/>
                <w:szCs w:val="20"/>
                <w:color w:val="auto"/>
              </w:rPr>
            </w:pPr>
          </w:p>
        </w:tc>
        <w:tc>
          <w:tcPr>
            <w:tcW w:w="9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8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00" w:type="dxa"/>
            <w:vAlign w:val="bottom"/>
            <w:tcBorders>
              <w:top w:val="single" w:sz="8" w:color="E0E0E0"/>
            </w:tcBorders>
            <w:shd w:val="clear" w:color="auto" w:fill="E0E0E0"/>
          </w:tcPr>
          <w:p>
            <w:pPr>
              <w:spacing w:after="0"/>
              <w:rPr>
                <w:sz w:val="20"/>
                <w:szCs w:val="20"/>
                <w:color w:val="auto"/>
              </w:rPr>
            </w:pPr>
          </w:p>
        </w:tc>
        <w:tc>
          <w:tcPr>
            <w:tcW w:w="180" w:type="dxa"/>
            <w:vAlign w:val="bottom"/>
            <w:tcBorders>
              <w:top w:val="single" w:sz="8" w:color="auto"/>
              <w:bottom w:val="single" w:sz="8" w:color="auto"/>
            </w:tcBorders>
            <w:shd w:val="clear" w:color="auto" w:fill="E0E0E0"/>
          </w:tcPr>
          <w:p>
            <w:pPr>
              <w:spacing w:after="0"/>
              <w:rPr>
                <w:sz w:val="20"/>
                <w:szCs w:val="20"/>
                <w:color w:val="auto"/>
              </w:rPr>
            </w:pPr>
          </w:p>
        </w:tc>
        <w:tc>
          <w:tcPr>
            <w:tcW w:w="980" w:type="dxa"/>
            <w:vAlign w:val="bottom"/>
            <w:tcBorders>
              <w:top w:val="single" w:sz="8" w:color="auto"/>
              <w:bottom w:val="single" w:sz="8" w:color="auto"/>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669</w:t>
            </w:r>
          </w:p>
        </w:tc>
        <w:tc>
          <w:tcPr>
            <w:tcW w:w="80" w:type="dxa"/>
            <w:vAlign w:val="bottom"/>
            <w:tcBorders>
              <w:top w:val="single" w:sz="8" w:color="E0E0E0"/>
              <w:left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Comprehensive loss</w:t>
            </w:r>
          </w:p>
        </w:tc>
        <w:tc>
          <w:tcPr>
            <w:tcW w:w="100" w:type="dxa"/>
            <w:vAlign w:val="bottom"/>
          </w:tcPr>
          <w:p>
            <w:pPr>
              <w:spacing w:after="0"/>
              <w:rPr>
                <w:sz w:val="22"/>
                <w:szCs w:val="22"/>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(77,797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(58,794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(68,291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E0E0E0"/>
            </w:tcBorders>
            <w:shd w:val="clear" w:color="auto" w:fill="E0E0E0"/>
          </w:tcPr>
          <w:p>
            <w:pPr>
              <w:spacing w:after="0" w:line="20" w:lineRule="exact"/>
              <w:rPr>
                <w:sz w:val="1"/>
                <w:szCs w:val="1"/>
                <w:color w:val="auto"/>
              </w:rPr>
            </w:pPr>
          </w:p>
        </w:tc>
        <w:tc>
          <w:tcPr>
            <w:tcW w:w="100" w:type="dxa"/>
            <w:vAlign w:val="bottom"/>
            <w:tcBorders>
              <w:top w:val="single" w:sz="8" w:color="E0E0E0"/>
            </w:tcBorders>
            <w:shd w:val="clear" w:color="auto" w:fill="E0E0E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E0E0E0"/>
            </w:tcBorders>
            <w:shd w:val="clear" w:color="auto" w:fill="E0E0E0"/>
          </w:tcPr>
          <w:p>
            <w:pPr>
              <w:spacing w:after="0" w:line="20" w:lineRule="exact"/>
              <w:rPr>
                <w:sz w:val="1"/>
                <w:szCs w:val="1"/>
                <w:color w:val="auto"/>
              </w:rPr>
            </w:pPr>
          </w:p>
        </w:tc>
        <w:tc>
          <w:tcPr>
            <w:tcW w:w="120" w:type="dxa"/>
            <w:vAlign w:val="bottom"/>
            <w:tcBorders>
              <w:top w:val="single" w:sz="8" w:color="E0E0E0"/>
            </w:tcBorders>
            <w:shd w:val="clear" w:color="auto" w:fill="E0E0E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0E0E0"/>
            </w:tcBorders>
            <w:shd w:val="clear" w:color="auto" w:fill="E0E0E0"/>
          </w:tcPr>
          <w:p>
            <w:pPr>
              <w:spacing w:after="0" w:line="20" w:lineRule="exact"/>
              <w:rPr>
                <w:sz w:val="1"/>
                <w:szCs w:val="1"/>
                <w:color w:val="auto"/>
              </w:rPr>
            </w:pPr>
          </w:p>
        </w:tc>
        <w:tc>
          <w:tcPr>
            <w:tcW w:w="100" w:type="dxa"/>
            <w:vAlign w:val="bottom"/>
            <w:tcBorders>
              <w:top w:val="single" w:sz="8" w:color="E0E0E0"/>
            </w:tcBorders>
            <w:shd w:val="clear" w:color="auto" w:fill="E0E0E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E0E0E0"/>
              <w:left w:val="single" w:sz="8" w:color="E0E0E0"/>
            </w:tcBorders>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20" w:type="dxa"/>
            <w:vAlign w:val="bottom"/>
            <w:shd w:val="clear" w:color="auto" w:fill="E0E0E0"/>
          </w:tcPr>
          <w:p>
            <w:pPr>
              <w:ind w:left="200"/>
              <w:spacing w:after="0" w:line="228" w:lineRule="exact"/>
              <w:rPr>
                <w:sz w:val="20"/>
                <w:szCs w:val="20"/>
                <w:color w:val="auto"/>
              </w:rPr>
            </w:pPr>
            <w:r>
              <w:rPr>
                <w:rFonts w:ascii="Times New Roman" w:cs="Times New Roman" w:eastAsia="Times New Roman" w:hAnsi="Times New Roman"/>
                <w:sz w:val="20"/>
                <w:szCs w:val="20"/>
                <w:color w:val="auto"/>
              </w:rPr>
              <w:t>Net loss per share -- basic and diluted</w:t>
            </w:r>
          </w:p>
        </w:tc>
        <w:tc>
          <w:tcPr>
            <w:tcW w:w="10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80"/>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E0E0E0"/>
          </w:tcPr>
          <w:p>
            <w:pPr>
              <w:jc w:val="right"/>
              <w:spacing w:after="0" w:line="228" w:lineRule="exact"/>
              <w:rPr>
                <w:sz w:val="20"/>
                <w:szCs w:val="20"/>
                <w:color w:val="auto"/>
              </w:rPr>
            </w:pPr>
            <w:r>
              <w:rPr>
                <w:rFonts w:ascii="Times New Roman" w:cs="Times New Roman" w:eastAsia="Times New Roman" w:hAnsi="Times New Roman"/>
                <w:sz w:val="20"/>
                <w:szCs w:val="20"/>
                <w:color w:val="auto"/>
              </w:rPr>
              <w:t>(1.48</w:t>
            </w:r>
          </w:p>
        </w:tc>
        <w:tc>
          <w:tcPr>
            <w:tcW w:w="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2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60" w:type="dxa"/>
            <w:vAlign w:val="bottom"/>
            <w:shd w:val="clear" w:color="auto" w:fill="E0E0E0"/>
          </w:tcPr>
          <w:p>
            <w:pPr>
              <w:jc w:val="right"/>
              <w:spacing w:after="0" w:line="228" w:lineRule="exact"/>
              <w:rPr>
                <w:sz w:val="20"/>
                <w:szCs w:val="20"/>
                <w:color w:val="auto"/>
              </w:rPr>
            </w:pPr>
            <w:r>
              <w:rPr>
                <w:rFonts w:ascii="Times New Roman" w:cs="Times New Roman" w:eastAsia="Times New Roman" w:hAnsi="Times New Roman"/>
                <w:sz w:val="20"/>
                <w:szCs w:val="20"/>
                <w:color w:val="auto"/>
              </w:rPr>
              <w:t>(1.14</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00" w:type="dxa"/>
            <w:vAlign w:val="bottom"/>
            <w:shd w:val="clear" w:color="auto" w:fill="E0E0E0"/>
          </w:tcPr>
          <w:p>
            <w:pPr>
              <w:spacing w:after="0"/>
              <w:rPr>
                <w:sz w:val="19"/>
                <w:szCs w:val="19"/>
                <w:color w:val="auto"/>
              </w:rPr>
            </w:pPr>
          </w:p>
        </w:tc>
        <w:tc>
          <w:tcPr>
            <w:tcW w:w="180" w:type="dxa"/>
            <w:vAlign w:val="bottom"/>
            <w:shd w:val="clear" w:color="auto" w:fill="E0E0E0"/>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980" w:type="dxa"/>
            <w:vAlign w:val="bottom"/>
            <w:tcBorders>
              <w:right w:val="single" w:sz="8" w:color="E0E0E0"/>
            </w:tcBorders>
            <w:shd w:val="clear" w:color="auto" w:fill="E0E0E0"/>
          </w:tcPr>
          <w:p>
            <w:pPr>
              <w:jc w:val="right"/>
              <w:spacing w:after="0" w:line="228" w:lineRule="exact"/>
              <w:rPr>
                <w:sz w:val="20"/>
                <w:szCs w:val="20"/>
                <w:color w:val="auto"/>
              </w:rPr>
            </w:pPr>
            <w:r>
              <w:rPr>
                <w:rFonts w:ascii="Times New Roman" w:cs="Times New Roman" w:eastAsia="Times New Roman" w:hAnsi="Times New Roman"/>
                <w:sz w:val="20"/>
                <w:szCs w:val="20"/>
                <w:color w:val="auto"/>
              </w:rPr>
              <w:t>(1.44</w:t>
            </w:r>
          </w:p>
        </w:tc>
        <w:tc>
          <w:tcPr>
            <w:tcW w:w="80" w:type="dxa"/>
            <w:vAlign w:val="bottom"/>
            <w:tcBorders>
              <w:lef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0" w:type="dxa"/>
            <w:vAlign w:val="bottom"/>
          </w:tcPr>
          <w:p>
            <w:pPr>
              <w:spacing w:after="0"/>
              <w:rPr>
                <w:sz w:val="1"/>
                <w:szCs w:val="1"/>
                <w:color w:val="auto"/>
              </w:rPr>
            </w:pPr>
          </w:p>
        </w:tc>
      </w:tr>
      <w:tr>
        <w:trPr>
          <w:trHeight w:val="267"/>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Weighted-average common shares outstanding</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52,541,613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51,578,807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48,014,645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-2229485</wp:posOffset>
                </wp:positionV>
                <wp:extent cx="59436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5.5499pt" to="468pt,-175.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3444875</wp:posOffset>
                </wp:positionH>
                <wp:positionV relativeFrom="paragraph">
                  <wp:posOffset>-1597660</wp:posOffset>
                </wp:positionV>
                <wp:extent cx="76581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581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25pt,-125.7999pt" to="331.55pt,-125.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4326890</wp:posOffset>
                </wp:positionH>
                <wp:positionV relativeFrom="paragraph">
                  <wp:posOffset>-1597660</wp:posOffset>
                </wp:positionV>
                <wp:extent cx="7112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7pt,-125.7999pt" to="396.7pt,-125.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5154930</wp:posOffset>
                </wp:positionH>
                <wp:positionV relativeFrom="paragraph">
                  <wp:posOffset>-1597660</wp:posOffset>
                </wp:positionV>
                <wp:extent cx="72961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961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9pt,-125.7999pt" to="463.35pt,-125.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3444875</wp:posOffset>
                </wp:positionH>
                <wp:positionV relativeFrom="paragraph">
                  <wp:posOffset>-1281430</wp:posOffset>
                </wp:positionV>
                <wp:extent cx="76581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581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25pt,-100.8999pt" to="331.55pt,-100.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4326890</wp:posOffset>
                </wp:positionH>
                <wp:positionV relativeFrom="paragraph">
                  <wp:posOffset>-1281430</wp:posOffset>
                </wp:positionV>
                <wp:extent cx="7112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0.7pt,-100.8999pt" to="396.7pt,-100.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5154930</wp:posOffset>
                </wp:positionH>
                <wp:positionV relativeFrom="paragraph">
                  <wp:posOffset>-1281430</wp:posOffset>
                </wp:positionV>
                <wp:extent cx="72961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96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9pt,-100.8999pt" to="463.35pt,-100.8999pt" o:allowincell="f" strokecolor="#FFFFFF" strokeweight="0.72pt"/>
            </w:pict>
          </mc:Fallback>
        </mc:AlternateConten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360"/>
          </w:cols>
          <w:pgMar w:left="1440" w:top="1416" w:right="1440" w:bottom="175" w:gutter="0" w:footer="0" w:header="0"/>
          <w:type w:val="continuous"/>
        </w:sectPr>
      </w:pPr>
    </w:p>
    <w:bookmarkStart w:id="111" w:name="page112"/>
    <w:bookmarkEnd w:id="111"/>
    <w:p>
      <w:pPr>
        <w:jc w:val="center"/>
        <w:ind w:right="-679"/>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44"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 (Deficit)</w:t>
      </w:r>
    </w:p>
    <w:p>
      <w:pPr>
        <w:jc w:val="center"/>
        <w:ind w:right="-679"/>
        <w:spacing w:after="0"/>
        <w:rPr>
          <w:sz w:val="20"/>
          <w:szCs w:val="20"/>
          <w:color w:val="auto"/>
        </w:rPr>
      </w:pPr>
      <w:r>
        <w:rPr>
          <w:rFonts w:ascii="Times New Roman" w:cs="Times New Roman" w:eastAsia="Times New Roman" w:hAnsi="Times New Roman"/>
          <w:sz w:val="20"/>
          <w:szCs w:val="20"/>
          <w:b w:val="1"/>
          <w:bCs w:val="1"/>
          <w:color w:val="auto"/>
        </w:rPr>
        <w:t>(in thousands except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6"/>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6"/>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8"/>
        </w:trPr>
        <w:tc>
          <w:tcPr>
            <w:tcW w:w="6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6"/>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7"/>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9"/>
          </w:tcPr>
          <w:p>
            <w:pPr>
              <w:jc w:val="center"/>
              <w:ind w:left="931"/>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6"/>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7"/>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Equity (Deficit)</w:t>
            </w: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36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Borders>
              <w:top w:val="single" w:sz="8" w:color="auto"/>
              <w:bottom w:val="single" w:sz="8" w:color="E0E0E0"/>
            </w:tcBorders>
          </w:tcPr>
          <w:p>
            <w:pPr>
              <w:spacing w:after="0"/>
              <w:rPr>
                <w:sz w:val="14"/>
                <w:szCs w:val="14"/>
                <w:color w:val="auto"/>
              </w:rPr>
            </w:pPr>
          </w:p>
        </w:tc>
        <w:tc>
          <w:tcPr>
            <w:tcW w:w="20" w:type="dxa"/>
            <w:vAlign w:val="bottom"/>
            <w:tcBorders>
              <w:top w:val="single" w:sz="8" w:color="auto"/>
              <w:bottom w:val="single" w:sz="8" w:color="E0E0E0"/>
            </w:tcBorders>
          </w:tcPr>
          <w:p>
            <w:pPr>
              <w:spacing w:after="0"/>
              <w:rPr>
                <w:sz w:val="14"/>
                <w:szCs w:val="14"/>
                <w:color w:val="auto"/>
              </w:rPr>
            </w:pPr>
          </w:p>
        </w:tc>
        <w:tc>
          <w:tcPr>
            <w:tcW w:w="120" w:type="dxa"/>
            <w:vAlign w:val="bottom"/>
            <w:tcBorders>
              <w:top w:val="single" w:sz="8" w:color="auto"/>
              <w:bottom w:val="single" w:sz="8" w:color="E0E0E0"/>
            </w:tcBorders>
          </w:tcPr>
          <w:p>
            <w:pPr>
              <w:spacing w:after="0"/>
              <w:rPr>
                <w:sz w:val="14"/>
                <w:szCs w:val="14"/>
                <w:color w:val="auto"/>
              </w:rPr>
            </w:pPr>
          </w:p>
        </w:tc>
        <w:tc>
          <w:tcPr>
            <w:tcW w:w="20" w:type="dxa"/>
            <w:vAlign w:val="bottom"/>
            <w:tcBorders>
              <w:top w:val="single" w:sz="8" w:color="auto"/>
              <w:bottom w:val="single" w:sz="8" w:color="E0E0E0"/>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80" w:type="dxa"/>
            <w:vAlign w:val="bottom"/>
          </w:tcPr>
          <w:p>
            <w:pPr>
              <w:spacing w:after="0"/>
              <w:rPr>
                <w:sz w:val="12"/>
                <w:szCs w:val="12"/>
                <w:color w:val="auto"/>
              </w:rPr>
            </w:pPr>
          </w:p>
        </w:tc>
        <w:tc>
          <w:tcPr>
            <w:tcW w:w="3360" w:type="dxa"/>
            <w:vAlign w:val="bottom"/>
            <w:tcBorders>
              <w:top w:val="single" w:sz="8" w:color="E0E0E0"/>
            </w:tcBorders>
            <w:shd w:val="clear" w:color="auto" w:fill="E0E0E0"/>
          </w:tcPr>
          <w:p>
            <w:pPr>
              <w:spacing w:after="0" w:line="145" w:lineRule="exact"/>
              <w:rPr>
                <w:sz w:val="20"/>
                <w:szCs w:val="20"/>
                <w:color w:val="auto"/>
              </w:rPr>
            </w:pPr>
            <w:r>
              <w:rPr>
                <w:rFonts w:ascii="Times New Roman" w:cs="Times New Roman" w:eastAsia="Times New Roman" w:hAnsi="Times New Roman"/>
                <w:sz w:val="14"/>
                <w:szCs w:val="14"/>
                <w:color w:val="auto"/>
              </w:rPr>
              <w:t>Balance at December 31, 2022</w:t>
            </w:r>
          </w:p>
        </w:tc>
        <w:tc>
          <w:tcPr>
            <w:tcW w:w="2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E0E0E0"/>
              <w:bottom w:val="single" w:sz="8" w:color="auto"/>
            </w:tcBorders>
            <w:shd w:val="clear" w:color="auto" w:fill="E0E0E0"/>
          </w:tcPr>
          <w:p>
            <w:pPr>
              <w:spacing w:after="0"/>
              <w:rPr>
                <w:sz w:val="12"/>
                <w:szCs w:val="12"/>
                <w:color w:val="auto"/>
              </w:rPr>
            </w:pP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180" w:type="dxa"/>
            <w:vAlign w:val="bottom"/>
            <w:tcBorders>
              <w:top w:val="single" w:sz="8" w:color="E0E0E0"/>
              <w:bottom w:val="single" w:sz="8" w:color="auto"/>
            </w:tcBorders>
            <w:shd w:val="clear" w:color="auto" w:fill="E0E0E0"/>
          </w:tcPr>
          <w:p>
            <w:pPr>
              <w:jc w:val="right"/>
              <w:spacing w:after="0" w:line="145" w:lineRule="exact"/>
              <w:rPr>
                <w:sz w:val="20"/>
                <w:szCs w:val="20"/>
                <w:color w:val="auto"/>
              </w:rPr>
            </w:pPr>
            <w:r>
              <w:rPr>
                <w:rFonts w:ascii="Times New Roman" w:cs="Times New Roman" w:eastAsia="Times New Roman" w:hAnsi="Times New Roman"/>
                <w:sz w:val="14"/>
                <w:szCs w:val="14"/>
                <w:color w:val="auto"/>
              </w:rPr>
              <w:t>45,771,332</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0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2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E0E0E0"/>
              <w:bottom w:val="single" w:sz="8" w:color="auto"/>
            </w:tcBorders>
            <w:shd w:val="clear" w:color="auto" w:fill="E0E0E0"/>
          </w:tcPr>
          <w:p>
            <w:pPr>
              <w:jc w:val="center"/>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380" w:type="dxa"/>
            <w:vAlign w:val="bottom"/>
            <w:tcBorders>
              <w:top w:val="single" w:sz="8" w:color="E0E0E0"/>
              <w:bottom w:val="single" w:sz="8" w:color="auto"/>
            </w:tcBorders>
            <w:shd w:val="clear" w:color="auto" w:fill="E0E0E0"/>
          </w:tcPr>
          <w:p>
            <w:pPr>
              <w:spacing w:after="0"/>
              <w:rPr>
                <w:sz w:val="12"/>
                <w:szCs w:val="12"/>
                <w:color w:val="auto"/>
              </w:rPr>
            </w:pPr>
          </w:p>
        </w:tc>
        <w:tc>
          <w:tcPr>
            <w:tcW w:w="1120" w:type="dxa"/>
            <w:vAlign w:val="bottom"/>
            <w:tcBorders>
              <w:top w:val="single" w:sz="8" w:color="E0E0E0"/>
              <w:bottom w:val="single" w:sz="8" w:color="auto"/>
            </w:tcBorders>
            <w:shd w:val="clear" w:color="auto" w:fill="E0E0E0"/>
          </w:tcPr>
          <w:p>
            <w:pPr>
              <w:ind w:left="98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8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2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E0E0E0"/>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120" w:type="dxa"/>
            <w:vAlign w:val="bottom"/>
            <w:tcBorders>
              <w:top w:val="single" w:sz="8" w:color="E0E0E0"/>
              <w:bottom w:val="single" w:sz="8" w:color="auto"/>
            </w:tcBorders>
            <w:shd w:val="clear" w:color="auto" w:fill="E0E0E0"/>
          </w:tcPr>
          <w:p>
            <w:pPr>
              <w:jc w:val="right"/>
              <w:spacing w:after="0" w:line="145" w:lineRule="exact"/>
              <w:rPr>
                <w:sz w:val="20"/>
                <w:szCs w:val="20"/>
                <w:color w:val="auto"/>
              </w:rPr>
            </w:pPr>
            <w:r>
              <w:rPr>
                <w:rFonts w:ascii="Times New Roman" w:cs="Times New Roman" w:eastAsia="Times New Roman" w:hAnsi="Times New Roman"/>
                <w:sz w:val="14"/>
                <w:szCs w:val="14"/>
                <w:color w:val="auto"/>
              </w:rPr>
              <w:t>487,516</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24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20" w:type="dxa"/>
            <w:vAlign w:val="bottom"/>
            <w:tcBorders>
              <w:top w:val="single" w:sz="8" w:color="E0E0E0"/>
              <w:bottom w:val="single" w:sz="8" w:color="auto"/>
            </w:tcBorders>
            <w:shd w:val="clear" w:color="auto" w:fill="E0E0E0"/>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100" w:type="dxa"/>
            <w:vAlign w:val="bottom"/>
            <w:tcBorders>
              <w:top w:val="single" w:sz="8" w:color="E0E0E0"/>
              <w:bottom w:val="single" w:sz="8" w:color="auto"/>
            </w:tcBorders>
            <w:shd w:val="clear" w:color="auto" w:fill="E0E0E0"/>
          </w:tcPr>
          <w:p>
            <w:pPr>
              <w:jc w:val="right"/>
              <w:spacing w:after="0" w:line="145" w:lineRule="exact"/>
              <w:rPr>
                <w:sz w:val="20"/>
                <w:szCs w:val="20"/>
                <w:color w:val="auto"/>
              </w:rPr>
            </w:pPr>
            <w:r>
              <w:rPr>
                <w:rFonts w:ascii="Times New Roman" w:cs="Times New Roman" w:eastAsia="Times New Roman" w:hAnsi="Times New Roman"/>
                <w:sz w:val="14"/>
                <w:szCs w:val="14"/>
                <w:color w:val="auto"/>
              </w:rPr>
              <w:t>(445</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20" w:type="dxa"/>
            <w:vAlign w:val="bottom"/>
            <w:tcBorders>
              <w:top w:val="single" w:sz="8" w:color="E0E0E0"/>
            </w:tcBorders>
            <w:shd w:val="clear" w:color="auto" w:fill="E0E0E0"/>
          </w:tcPr>
          <w:p>
            <w:pPr>
              <w:jc w:val="right"/>
              <w:spacing w:after="0" w:line="145" w:lineRule="exact"/>
              <w:rPr>
                <w:sz w:val="20"/>
                <w:szCs w:val="20"/>
                <w:color w:val="auto"/>
              </w:rPr>
            </w:pPr>
            <w:r>
              <w:rPr>
                <w:rFonts w:ascii="Times New Roman" w:cs="Times New Roman" w:eastAsia="Times New Roman" w:hAnsi="Times New Roman"/>
                <w:sz w:val="14"/>
                <w:szCs w:val="14"/>
                <w:color w:val="auto"/>
                <w:w w:val="84"/>
              </w:rPr>
              <w:t>)</w:t>
            </w:r>
          </w:p>
        </w:tc>
        <w:tc>
          <w:tcPr>
            <w:tcW w:w="2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20" w:type="dxa"/>
            <w:vAlign w:val="bottom"/>
            <w:tcBorders>
              <w:top w:val="single" w:sz="8" w:color="E0E0E0"/>
              <w:bottom w:val="single" w:sz="8" w:color="auto"/>
            </w:tcBorders>
            <w:shd w:val="clear" w:color="auto" w:fill="E0E0E0"/>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120" w:type="dxa"/>
            <w:vAlign w:val="bottom"/>
            <w:tcBorders>
              <w:top w:val="single" w:sz="8" w:color="E0E0E0"/>
              <w:bottom w:val="single" w:sz="8" w:color="auto"/>
            </w:tcBorders>
            <w:shd w:val="clear" w:color="auto" w:fill="E0E0E0"/>
          </w:tcPr>
          <w:p>
            <w:pPr>
              <w:jc w:val="right"/>
              <w:spacing w:after="0" w:line="145" w:lineRule="exact"/>
              <w:rPr>
                <w:sz w:val="20"/>
                <w:szCs w:val="20"/>
                <w:color w:val="auto"/>
              </w:rPr>
            </w:pPr>
            <w:r>
              <w:rPr>
                <w:rFonts w:ascii="Times New Roman" w:cs="Times New Roman" w:eastAsia="Times New Roman" w:hAnsi="Times New Roman"/>
                <w:sz w:val="14"/>
                <w:szCs w:val="14"/>
                <w:color w:val="auto"/>
              </w:rPr>
              <w:t>(241,043</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80" w:type="dxa"/>
            <w:vAlign w:val="bottom"/>
            <w:tcBorders>
              <w:top w:val="single" w:sz="8" w:color="E0E0E0"/>
            </w:tcBorders>
            <w:shd w:val="clear" w:color="auto" w:fill="E0E0E0"/>
          </w:tcPr>
          <w:p>
            <w:pPr>
              <w:jc w:val="right"/>
              <w:ind w:right="55"/>
              <w:spacing w:after="0"/>
              <w:rPr>
                <w:sz w:val="20"/>
                <w:szCs w:val="20"/>
                <w:color w:val="auto"/>
              </w:rPr>
            </w:pPr>
            <w:r>
              <w:rPr>
                <w:rFonts w:ascii="Times New Roman" w:cs="Times New Roman" w:eastAsia="Times New Roman" w:hAnsi="Times New Roman"/>
                <w:sz w:val="1"/>
                <w:szCs w:val="1"/>
                <w:color w:val="auto"/>
                <w:w w:val="4294967281"/>
              </w:rPr>
              <w:t>)</w:t>
            </w:r>
          </w:p>
        </w:tc>
        <w:tc>
          <w:tcPr>
            <w:tcW w:w="20" w:type="dxa"/>
            <w:vAlign w:val="bottom"/>
            <w:tcBorders>
              <w:top w:val="single" w:sz="8" w:color="E0E0E0"/>
            </w:tcBorders>
            <w:shd w:val="clear" w:color="auto" w:fill="E0E0E0"/>
          </w:tcPr>
          <w:p>
            <w:pPr>
              <w:spacing w:after="0"/>
              <w:rPr>
                <w:sz w:val="12"/>
                <w:szCs w:val="12"/>
                <w:color w:val="auto"/>
              </w:rPr>
            </w:pPr>
          </w:p>
        </w:tc>
        <w:tc>
          <w:tcPr>
            <w:tcW w:w="12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100" w:type="dxa"/>
            <w:vAlign w:val="bottom"/>
            <w:tcBorders>
              <w:top w:val="single" w:sz="8" w:color="E0E0E0"/>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140" w:type="dxa"/>
            <w:vAlign w:val="bottom"/>
            <w:tcBorders>
              <w:top w:val="single" w:sz="8" w:color="E0E0E0"/>
              <w:bottom w:val="single" w:sz="8" w:color="auto"/>
            </w:tcBorders>
            <w:shd w:val="clear" w:color="auto" w:fill="E0E0E0"/>
          </w:tcPr>
          <w:p>
            <w:pPr>
              <w:jc w:val="right"/>
              <w:spacing w:after="0" w:line="145" w:lineRule="exact"/>
              <w:rPr>
                <w:sz w:val="20"/>
                <w:szCs w:val="20"/>
                <w:color w:val="auto"/>
              </w:rPr>
            </w:pPr>
            <w:r>
              <w:rPr>
                <w:rFonts w:ascii="Times New Roman" w:cs="Times New Roman" w:eastAsia="Times New Roman" w:hAnsi="Times New Roman"/>
                <w:sz w:val="14"/>
                <w:szCs w:val="14"/>
                <w:color w:val="auto"/>
              </w:rPr>
              <w:t>246,028</w:t>
            </w:r>
          </w:p>
        </w:tc>
        <w:tc>
          <w:tcPr>
            <w:tcW w:w="20" w:type="dxa"/>
            <w:vAlign w:val="bottom"/>
            <w:tcBorders>
              <w:top w:val="single" w:sz="8" w:color="E0E0E0"/>
              <w:bottom w:val="single" w:sz="8" w:color="auto"/>
            </w:tcBorders>
            <w:shd w:val="clear" w:color="auto" w:fill="E0E0E0"/>
          </w:tcPr>
          <w:p>
            <w:pPr>
              <w:spacing w:after="0"/>
              <w:rPr>
                <w:sz w:val="12"/>
                <w:szCs w:val="12"/>
                <w:color w:val="auto"/>
              </w:rPr>
            </w:pPr>
          </w:p>
        </w:tc>
        <w:tc>
          <w:tcPr>
            <w:tcW w:w="100" w:type="dxa"/>
            <w:vAlign w:val="bottom"/>
            <w:tcBorders>
              <w:top w:val="single" w:sz="8" w:color="E0E0E0"/>
            </w:tcBorders>
            <w:shd w:val="clear" w:color="auto" w:fill="E0E0E0"/>
          </w:tcPr>
          <w:p>
            <w:pPr>
              <w:spacing w:after="0"/>
              <w:rPr>
                <w:sz w:val="12"/>
                <w:szCs w:val="12"/>
                <w:color w:val="auto"/>
              </w:rPr>
            </w:pPr>
          </w:p>
        </w:tc>
        <w:tc>
          <w:tcPr>
            <w:tcW w:w="20" w:type="dxa"/>
            <w:vAlign w:val="bottom"/>
            <w:tcBorders>
              <w:top w:val="single" w:sz="8" w:color="E0E0E0"/>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500" w:type="dxa"/>
            <w:vAlign w:val="bottom"/>
            <w:gridSpan w:val="4"/>
          </w:tcPr>
          <w:p>
            <w:pPr>
              <w:spacing w:after="0" w:line="135" w:lineRule="exact"/>
              <w:rPr>
                <w:sz w:val="20"/>
                <w:szCs w:val="20"/>
                <w:color w:val="auto"/>
              </w:rPr>
            </w:pPr>
            <w:r>
              <w:rPr>
                <w:rFonts w:ascii="Times New Roman" w:cs="Times New Roman" w:eastAsia="Times New Roman" w:hAnsi="Times New Roman"/>
                <w:sz w:val="14"/>
                <w:szCs w:val="14"/>
                <w:color w:val="auto"/>
              </w:rPr>
              <w:t>Exercise of stock options and common stock issued under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80" w:type="dxa"/>
            <w:vAlign w:val="bottom"/>
          </w:tcPr>
          <w:p>
            <w:pPr>
              <w:spacing w:after="0"/>
              <w:rPr>
                <w:sz w:val="16"/>
                <w:szCs w:val="16"/>
                <w:color w:val="auto"/>
              </w:rPr>
            </w:pPr>
          </w:p>
        </w:tc>
        <w:tc>
          <w:tcPr>
            <w:tcW w:w="3500" w:type="dxa"/>
            <w:vAlign w:val="bottom"/>
            <w:tcBorders>
              <w:bottom w:val="single" w:sz="8" w:color="E0E0E0"/>
            </w:tcBorders>
            <w:gridSpan w:val="4"/>
          </w:tcPr>
          <w:p>
            <w:pPr>
              <w:spacing w:after="0"/>
              <w:rPr>
                <w:sz w:val="20"/>
                <w:szCs w:val="20"/>
                <w:color w:val="auto"/>
              </w:rPr>
            </w:pPr>
            <w:r>
              <w:rPr>
                <w:rFonts w:ascii="Times New Roman" w:cs="Times New Roman" w:eastAsia="Times New Roman" w:hAnsi="Times New Roman"/>
                <w:sz w:val="14"/>
                <w:szCs w:val="14"/>
                <w:color w:val="auto"/>
              </w:rPr>
              <w:t>the 2020 ESPP</w:t>
            </w:r>
          </w:p>
        </w:tc>
        <w:tc>
          <w:tcPr>
            <w:tcW w:w="130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525,084</w:t>
            </w:r>
          </w:p>
        </w:tc>
        <w:tc>
          <w:tcPr>
            <w:tcW w:w="20" w:type="dxa"/>
            <w:vAlign w:val="bottom"/>
            <w:tcBorders>
              <w:bottom w:val="single" w:sz="8" w:color="E0E0E0"/>
            </w:tcBorders>
          </w:tcPr>
          <w:p>
            <w:pPr>
              <w:spacing w:after="0"/>
              <w:rPr>
                <w:sz w:val="16"/>
                <w:szCs w:val="16"/>
                <w:color w:val="auto"/>
              </w:rPr>
            </w:pPr>
          </w:p>
        </w:tc>
        <w:tc>
          <w:tcPr>
            <w:tcW w:w="10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0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380" w:type="dxa"/>
            <w:vAlign w:val="bottom"/>
            <w:tcBorders>
              <w:bottom w:val="single" w:sz="8" w:color="E0E0E0"/>
            </w:tcBorders>
          </w:tcPr>
          <w:p>
            <w:pPr>
              <w:spacing w:after="0"/>
              <w:rPr>
                <w:sz w:val="16"/>
                <w:szCs w:val="16"/>
                <w:color w:val="auto"/>
              </w:rPr>
            </w:pPr>
          </w:p>
        </w:tc>
        <w:tc>
          <w:tcPr>
            <w:tcW w:w="1140" w:type="dxa"/>
            <w:vAlign w:val="bottom"/>
            <w:tcBorders>
              <w:bottom w:val="single" w:sz="8" w:color="E0E0E0"/>
            </w:tcBorders>
            <w:gridSpan w:val="2"/>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E0E0E0"/>
            </w:tcBorders>
          </w:tcPr>
          <w:p>
            <w:pPr>
              <w:spacing w:after="0"/>
              <w:rPr>
                <w:sz w:val="16"/>
                <w:szCs w:val="16"/>
                <w:color w:val="auto"/>
              </w:rPr>
            </w:pPr>
          </w:p>
        </w:tc>
        <w:tc>
          <w:tcPr>
            <w:tcW w:w="8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00" w:type="dxa"/>
            <w:vAlign w:val="bottom"/>
            <w:tcBorders>
              <w:bottom w:val="single" w:sz="8" w:color="E0E0E0"/>
            </w:tcBorders>
          </w:tcPr>
          <w:p>
            <w:pPr>
              <w:spacing w:after="0"/>
              <w:rPr>
                <w:sz w:val="16"/>
                <w:szCs w:val="16"/>
                <w:color w:val="auto"/>
              </w:rPr>
            </w:pPr>
          </w:p>
        </w:tc>
        <w:tc>
          <w:tcPr>
            <w:tcW w:w="1160" w:type="dxa"/>
            <w:vAlign w:val="bottom"/>
            <w:tcBorders>
              <w:bottom w:val="single" w:sz="8" w:color="E0E0E0"/>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456</w:t>
            </w:r>
          </w:p>
        </w:tc>
        <w:tc>
          <w:tcPr>
            <w:tcW w:w="24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380" w:type="dxa"/>
            <w:vAlign w:val="bottom"/>
            <w:tcBorders>
              <w:bottom w:val="single" w:sz="8" w:color="E0E0E0"/>
            </w:tcBorders>
            <w:gridSpan w:val="6"/>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1400" w:type="dxa"/>
            <w:vAlign w:val="bottom"/>
            <w:tcBorders>
              <w:bottom w:val="single" w:sz="8" w:color="E0E0E0"/>
            </w:tcBorders>
            <w:gridSpan w:val="7"/>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0E0E0"/>
            </w:tcBorders>
          </w:tcPr>
          <w:p>
            <w:pPr>
              <w:spacing w:after="0"/>
              <w:rPr>
                <w:sz w:val="16"/>
                <w:szCs w:val="16"/>
                <w:color w:val="auto"/>
              </w:rPr>
            </w:pPr>
          </w:p>
        </w:tc>
        <w:tc>
          <w:tcPr>
            <w:tcW w:w="1180" w:type="dxa"/>
            <w:vAlign w:val="bottom"/>
            <w:tcBorders>
              <w:bottom w:val="single" w:sz="8" w:color="E0E0E0"/>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E0E0E0"/>
          </w:tcPr>
          <w:p>
            <w:pPr>
              <w:spacing w:after="0" w:line="157" w:lineRule="exact"/>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shd w:val="clear" w:color="auto" w:fill="E0E0E0"/>
          </w:tcPr>
          <w:p>
            <w:pPr>
              <w:jc w:val="right"/>
              <w:spacing w:after="0" w:line="157" w:lineRule="exact"/>
              <w:rPr>
                <w:sz w:val="20"/>
                <w:szCs w:val="20"/>
                <w:color w:val="auto"/>
              </w:rPr>
            </w:pPr>
            <w:r>
              <w:rPr>
                <w:rFonts w:ascii="Times New Roman" w:cs="Times New Roman" w:eastAsia="Times New Roman" w:hAnsi="Times New Roman"/>
                <w:sz w:val="14"/>
                <w:szCs w:val="14"/>
                <w:color w:val="auto"/>
              </w:rPr>
              <w:t>5,149,446</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line="157" w:lineRule="exact"/>
              <w:rPr>
                <w:sz w:val="20"/>
                <w:szCs w:val="20"/>
                <w:color w:val="auto"/>
              </w:rPr>
            </w:pPr>
            <w:r>
              <w:rPr>
                <w:rFonts w:ascii="Times New Roman" w:cs="Times New Roman" w:eastAsia="Times New Roman" w:hAnsi="Times New Roman"/>
                <w:sz w:val="14"/>
                <w:szCs w:val="14"/>
                <w:color w:val="auto"/>
              </w:rPr>
              <w:t>35,121</w:t>
            </w:r>
          </w:p>
        </w:tc>
        <w:tc>
          <w:tcPr>
            <w:tcW w:w="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shd w:val="clear" w:color="auto" w:fill="E0E0E0"/>
          </w:tcPr>
          <w:p>
            <w:pPr>
              <w:jc w:val="right"/>
              <w:spacing w:after="0" w:line="157" w:lineRule="exact"/>
              <w:rPr>
                <w:sz w:val="20"/>
                <w:szCs w:val="20"/>
                <w:color w:val="auto"/>
              </w:rPr>
            </w:pPr>
            <w:r>
              <w:rPr>
                <w:rFonts w:ascii="Times New Roman" w:cs="Times New Roman" w:eastAsia="Times New Roman" w:hAnsi="Times New Roman"/>
                <w:sz w:val="14"/>
                <w:szCs w:val="14"/>
                <w:color w:val="auto"/>
              </w:rPr>
              <w:t>35,121</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33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38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tcPr>
          <w:p>
            <w:pPr>
              <w:ind w:left="98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12,375</w:t>
            </w:r>
          </w:p>
        </w:tc>
        <w:tc>
          <w:tcPr>
            <w:tcW w:w="20" w:type="dxa"/>
            <w:vAlign w:val="bottom"/>
            <w:tcBorders>
              <w:bottom w:val="single" w:sz="8" w:color="E0E0E0"/>
            </w:tcBorders>
          </w:tcPr>
          <w:p>
            <w:pPr>
              <w:spacing w:after="0"/>
              <w:rPr>
                <w:sz w:val="15"/>
                <w:szCs w:val="15"/>
                <w:color w:val="auto"/>
              </w:rPr>
            </w:pPr>
          </w:p>
        </w:tc>
        <w:tc>
          <w:tcPr>
            <w:tcW w:w="2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gridSpan w:val="2"/>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12,375</w:t>
            </w: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3360" w:type="dxa"/>
            <w:vAlign w:val="bottom"/>
            <w:shd w:val="clear" w:color="auto" w:fill="E0E0E0"/>
          </w:tcPr>
          <w:p>
            <w:pPr>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shd w:val="clear" w:color="auto" w:fill="E0E0E0"/>
          </w:tcPr>
          <w:p>
            <w:pPr>
              <w:spacing w:after="0"/>
              <w:rPr>
                <w:sz w:val="13"/>
                <w:szCs w:val="13"/>
                <w:color w:val="auto"/>
              </w:rPr>
            </w:pPr>
          </w:p>
        </w:tc>
        <w:tc>
          <w:tcPr>
            <w:tcW w:w="1120" w:type="dxa"/>
            <w:vAlign w:val="bottom"/>
            <w:shd w:val="clear" w:color="auto" w:fill="E0E0E0"/>
          </w:tcPr>
          <w:p>
            <w:pPr>
              <w:ind w:left="9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(68,960</w:t>
            </w:r>
          </w:p>
        </w:tc>
        <w:tc>
          <w:tcPr>
            <w:tcW w:w="40" w:type="dxa"/>
            <w:vAlign w:val="bottom"/>
            <w:gridSpan w:val="2"/>
            <w:shd w:val="clear" w:color="auto" w:fill="E0E0E0"/>
          </w:tcPr>
          <w:p>
            <w:pPr>
              <w:spacing w:after="0"/>
              <w:rPr>
                <w:sz w:val="13"/>
                <w:szCs w:val="13"/>
                <w:color w:val="auto"/>
              </w:rPr>
            </w:pPr>
          </w:p>
        </w:tc>
        <w:tc>
          <w:tcPr>
            <w:tcW w:w="80" w:type="dxa"/>
            <w:vAlign w:val="bottom"/>
            <w:shd w:val="clear" w:color="auto" w:fill="E0E0E0"/>
          </w:tcPr>
          <w:p>
            <w:pPr>
              <w:jc w:val="right"/>
              <w:ind w:right="55"/>
              <w:spacing w:after="0"/>
              <w:rPr>
                <w:sz w:val="20"/>
                <w:szCs w:val="20"/>
                <w:color w:val="auto"/>
              </w:rPr>
            </w:pPr>
            <w:r>
              <w:rPr>
                <w:rFonts w:ascii="Times New Roman" w:cs="Times New Roman" w:eastAsia="Times New Roman" w:hAnsi="Times New Roman"/>
                <w:sz w:val="1"/>
                <w:szCs w:val="1"/>
                <w:color w:val="auto"/>
                <w:w w:val="4294967281"/>
              </w:rPr>
              <w:t>)</w:t>
            </w: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(68,960</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3500" w:type="dxa"/>
            <w:vAlign w:val="bottom"/>
            <w:tcBorders>
              <w:bottom w:val="single" w:sz="8" w:color="E0E0E0"/>
            </w:tcBorders>
            <w:gridSpan w:val="4"/>
          </w:tcPr>
          <w:p>
            <w:pPr>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0" w:type="dxa"/>
            <w:vAlign w:val="bottom"/>
            <w:tcBorders>
              <w:bottom w:val="single" w:sz="8" w:color="E0E0E0"/>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380" w:type="dxa"/>
            <w:vAlign w:val="bottom"/>
            <w:tcBorders>
              <w:bottom w:val="single" w:sz="8" w:color="E0E0E0"/>
            </w:tcBorders>
          </w:tcPr>
          <w:p>
            <w:pPr>
              <w:spacing w:after="0"/>
              <w:rPr>
                <w:sz w:val="15"/>
                <w:szCs w:val="15"/>
                <w:color w:val="auto"/>
              </w:rPr>
            </w:pPr>
          </w:p>
        </w:tc>
        <w:tc>
          <w:tcPr>
            <w:tcW w:w="1140" w:type="dxa"/>
            <w:vAlign w:val="bottom"/>
            <w:tcBorders>
              <w:bottom w:val="single" w:sz="8" w:color="E0E0E0"/>
            </w:tcBorders>
            <w:gridSpan w:val="2"/>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40" w:type="dxa"/>
            <w:vAlign w:val="bottom"/>
            <w:tcBorders>
              <w:bottom w:val="single" w:sz="8" w:color="E0E0E0"/>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1140" w:type="dxa"/>
            <w:vAlign w:val="bottom"/>
            <w:tcBorders>
              <w:bottom w:val="single" w:sz="8" w:color="E0E0E0"/>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400" w:type="dxa"/>
            <w:vAlign w:val="bottom"/>
            <w:tcBorders>
              <w:bottom w:val="single" w:sz="8" w:color="E0E0E0"/>
            </w:tcBorders>
            <w:gridSpan w:val="7"/>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0E0E0"/>
            </w:tcBorders>
          </w:tcPr>
          <w:p>
            <w:pPr>
              <w:spacing w:after="0"/>
              <w:rPr>
                <w:sz w:val="15"/>
                <w:szCs w:val="15"/>
                <w:color w:val="auto"/>
              </w:rPr>
            </w:pPr>
          </w:p>
        </w:tc>
        <w:tc>
          <w:tcPr>
            <w:tcW w:w="1180" w:type="dxa"/>
            <w:vAlign w:val="bottom"/>
            <w:tcBorders>
              <w:bottom w:val="single" w:sz="8" w:color="E0E0E0"/>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3360" w:type="dxa"/>
            <w:vAlign w:val="bottom"/>
            <w:shd w:val="clear" w:color="auto" w:fill="E0E0E0"/>
          </w:tcPr>
          <w:p>
            <w:pPr>
              <w:spacing w:after="0" w:line="155" w:lineRule="exact"/>
              <w:rPr>
                <w:sz w:val="20"/>
                <w:szCs w:val="20"/>
                <w:color w:val="auto"/>
              </w:rPr>
            </w:pPr>
            <w:r>
              <w:rPr>
                <w:rFonts w:ascii="Times New Roman" w:cs="Times New Roman" w:eastAsia="Times New Roman" w:hAnsi="Times New Roman"/>
                <w:sz w:val="14"/>
                <w:szCs w:val="14"/>
                <w:color w:val="auto"/>
              </w:rPr>
              <w:t>Foreign currency translation gain</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8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38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ind w:left="9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0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34</w:t>
            </w:r>
          </w:p>
        </w:tc>
        <w:tc>
          <w:tcPr>
            <w:tcW w:w="20" w:type="dxa"/>
            <w:vAlign w:val="bottom"/>
            <w:tcBorders>
              <w:bottom w:val="single" w:sz="8" w:color="auto"/>
            </w:tcBorders>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4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34</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500" w:type="dxa"/>
            <w:vAlign w:val="bottom"/>
            <w:tcBorders>
              <w:bottom w:val="single" w:sz="8" w:color="E0E0E0"/>
            </w:tcBorders>
            <w:gridSpan w:val="4"/>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51,445,862</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E0E0E0"/>
            </w:tcBorders>
            <w:gridSpan w:val="4"/>
          </w:tcPr>
          <w:p>
            <w:pPr>
              <w:spacing w:after="0"/>
              <w:rPr>
                <w:sz w:val="14"/>
                <w:szCs w:val="14"/>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E0E0E0"/>
            </w:tcBorders>
            <w:gridSpan w:val="3"/>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535,468</w:t>
            </w:r>
          </w:p>
        </w:tc>
        <w:tc>
          <w:tcPr>
            <w:tcW w:w="24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(310,003</w:t>
            </w:r>
          </w:p>
        </w:tc>
        <w:tc>
          <w:tcPr>
            <w:tcW w:w="100" w:type="dxa"/>
            <w:vAlign w:val="bottom"/>
            <w:tcBorders>
              <w:bottom w:val="single" w:sz="8" w:color="E0E0E0"/>
            </w:tcBorders>
            <w:gridSpan w:val="2"/>
          </w:tcPr>
          <w:p>
            <w:pPr>
              <w:jc w:val="right"/>
              <w:ind w:right="55"/>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225,689</w:t>
            </w: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3360" w:type="dxa"/>
            <w:vAlign w:val="bottom"/>
            <w:shd w:val="clear" w:color="auto" w:fill="E0E0E0"/>
          </w:tcPr>
          <w:p>
            <w:pPr>
              <w:spacing w:after="0"/>
              <w:rPr>
                <w:sz w:val="20"/>
                <w:szCs w:val="20"/>
                <w:color w:val="auto"/>
              </w:rPr>
            </w:pPr>
            <w:r>
              <w:rPr>
                <w:rFonts w:ascii="Times New Roman" w:cs="Times New Roman" w:eastAsia="Times New Roman" w:hAnsi="Times New Roman"/>
                <w:sz w:val="14"/>
                <w:szCs w:val="14"/>
                <w:color w:val="auto"/>
              </w:rPr>
              <w:t>Exercise of stock options, common stock issued under the</w:t>
            </w:r>
          </w:p>
        </w:tc>
        <w:tc>
          <w:tcPr>
            <w:tcW w:w="140" w:type="dxa"/>
            <w:vAlign w:val="bottom"/>
            <w:gridSpan w:val="3"/>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3360" w:type="dxa"/>
            <w:vAlign w:val="bottom"/>
            <w:shd w:val="clear" w:color="auto" w:fill="E0E0E0"/>
          </w:tcPr>
          <w:p>
            <w:pPr>
              <w:spacing w:after="0"/>
              <w:rPr>
                <w:sz w:val="20"/>
                <w:szCs w:val="20"/>
                <w:color w:val="auto"/>
              </w:rPr>
            </w:pPr>
            <w:r>
              <w:rPr>
                <w:rFonts w:ascii="Times New Roman" w:cs="Times New Roman" w:eastAsia="Times New Roman" w:hAnsi="Times New Roman"/>
                <w:sz w:val="14"/>
                <w:szCs w:val="14"/>
                <w:color w:val="auto"/>
              </w:rPr>
              <w:t>2020 ESPP, and release of vested restricted stock units</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489,272</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shd w:val="clear" w:color="auto" w:fill="E0E0E0"/>
          </w:tcPr>
          <w:p>
            <w:pPr>
              <w:spacing w:after="0"/>
              <w:rPr>
                <w:sz w:val="13"/>
                <w:szCs w:val="13"/>
                <w:color w:val="auto"/>
              </w:rPr>
            </w:pPr>
          </w:p>
        </w:tc>
        <w:tc>
          <w:tcPr>
            <w:tcW w:w="1120" w:type="dxa"/>
            <w:vAlign w:val="bottom"/>
            <w:shd w:val="clear" w:color="auto" w:fill="E0E0E0"/>
          </w:tcPr>
          <w:p>
            <w:pPr>
              <w:ind w:left="98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3500" w:type="dxa"/>
            <w:vAlign w:val="bottom"/>
            <w:tcBorders>
              <w:bottom w:val="single" w:sz="8" w:color="E0E0E0"/>
            </w:tcBorders>
            <w:gridSpan w:val="4"/>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0" w:type="dxa"/>
            <w:vAlign w:val="bottom"/>
            <w:tcBorders>
              <w:bottom w:val="single" w:sz="8" w:color="E0E0E0"/>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380" w:type="dxa"/>
            <w:vAlign w:val="bottom"/>
            <w:tcBorders>
              <w:bottom w:val="single" w:sz="8" w:color="E0E0E0"/>
            </w:tcBorders>
          </w:tcPr>
          <w:p>
            <w:pPr>
              <w:spacing w:after="0"/>
              <w:rPr>
                <w:sz w:val="15"/>
                <w:szCs w:val="15"/>
                <w:color w:val="auto"/>
              </w:rPr>
            </w:pPr>
          </w:p>
        </w:tc>
        <w:tc>
          <w:tcPr>
            <w:tcW w:w="1140" w:type="dxa"/>
            <w:vAlign w:val="bottom"/>
            <w:tcBorders>
              <w:bottom w:val="single" w:sz="8" w:color="E0E0E0"/>
            </w:tcBorders>
            <w:gridSpan w:val="2"/>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1160" w:type="dxa"/>
            <w:vAlign w:val="bottom"/>
            <w:tcBorders>
              <w:bottom w:val="single" w:sz="8" w:color="E0E0E0"/>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8,872</w:t>
            </w:r>
          </w:p>
        </w:tc>
        <w:tc>
          <w:tcPr>
            <w:tcW w:w="2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E0E0E0"/>
            </w:tcBorders>
            <w:gridSpan w:val="3"/>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400" w:type="dxa"/>
            <w:vAlign w:val="bottom"/>
            <w:tcBorders>
              <w:bottom w:val="single" w:sz="8" w:color="E0E0E0"/>
            </w:tcBorders>
            <w:gridSpan w:val="7"/>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0E0E0"/>
            </w:tcBorders>
          </w:tcPr>
          <w:p>
            <w:pPr>
              <w:spacing w:after="0"/>
              <w:rPr>
                <w:sz w:val="15"/>
                <w:szCs w:val="15"/>
                <w:color w:val="auto"/>
              </w:rPr>
            </w:pPr>
          </w:p>
        </w:tc>
        <w:tc>
          <w:tcPr>
            <w:tcW w:w="1180" w:type="dxa"/>
            <w:vAlign w:val="bottom"/>
            <w:tcBorders>
              <w:bottom w:val="single" w:sz="8" w:color="E0E0E0"/>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8,872</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3360" w:type="dxa"/>
            <w:vAlign w:val="bottom"/>
            <w:tcBorders>
              <w:bottom w:val="single" w:sz="8" w:color="E0E0E0"/>
            </w:tcBorders>
            <w:shd w:val="clear" w:color="auto" w:fill="E0E0E0"/>
          </w:tcPr>
          <w:p>
            <w:pPr>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tcBorders>
              <w:bottom w:val="single" w:sz="8" w:color="E0E0E0"/>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tcBorders>
              <w:bottom w:val="single" w:sz="8" w:color="E0E0E0"/>
            </w:tcBorders>
            <w:shd w:val="clear" w:color="auto" w:fill="E0E0E0"/>
          </w:tcPr>
          <w:p>
            <w:pPr>
              <w:spacing w:after="0"/>
              <w:rPr>
                <w:sz w:val="13"/>
                <w:szCs w:val="13"/>
                <w:color w:val="auto"/>
              </w:rPr>
            </w:pPr>
          </w:p>
        </w:tc>
        <w:tc>
          <w:tcPr>
            <w:tcW w:w="1120" w:type="dxa"/>
            <w:vAlign w:val="bottom"/>
            <w:tcBorders>
              <w:bottom w:val="single" w:sz="8" w:color="E0E0E0"/>
            </w:tcBorders>
            <w:shd w:val="clear" w:color="auto" w:fill="E0E0E0"/>
          </w:tcPr>
          <w:p>
            <w:pPr>
              <w:ind w:left="9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E0E0E0"/>
          </w:tcPr>
          <w:p>
            <w:pPr>
              <w:spacing w:after="0"/>
              <w:rPr>
                <w:sz w:val="13"/>
                <w:szCs w:val="13"/>
                <w:color w:val="auto"/>
              </w:rPr>
            </w:pPr>
          </w:p>
        </w:tc>
        <w:tc>
          <w:tcPr>
            <w:tcW w:w="20" w:type="dxa"/>
            <w:vAlign w:val="bottom"/>
            <w:tcBorders>
              <w:bottom w:val="single" w:sz="8" w:color="E0E0E0"/>
            </w:tcBorders>
            <w:shd w:val="clear" w:color="auto" w:fill="E0E0E0"/>
          </w:tcPr>
          <w:p>
            <w:pPr>
              <w:spacing w:after="0"/>
              <w:rPr>
                <w:sz w:val="13"/>
                <w:szCs w:val="13"/>
                <w:color w:val="auto"/>
              </w:rPr>
            </w:pPr>
          </w:p>
        </w:tc>
        <w:tc>
          <w:tcPr>
            <w:tcW w:w="8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tcBorders>
              <w:bottom w:val="single" w:sz="8" w:color="E0E0E0"/>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24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tcBorders>
              <w:bottom w:val="single" w:sz="8" w:color="E0E0E0"/>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2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tcBorders>
              <w:bottom w:val="single" w:sz="8" w:color="E0E0E0"/>
            </w:tcBorders>
            <w:shd w:val="clear" w:color="auto" w:fill="E0E0E0"/>
          </w:tcPr>
          <w:p>
            <w:pPr>
              <w:spacing w:after="0"/>
              <w:rPr>
                <w:sz w:val="13"/>
                <w:szCs w:val="13"/>
                <w:color w:val="auto"/>
              </w:rPr>
            </w:pPr>
          </w:p>
        </w:tc>
        <w:tc>
          <w:tcPr>
            <w:tcW w:w="12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tcBorders>
              <w:bottom w:val="single" w:sz="8" w:color="E0E0E0"/>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(58,709</w:t>
            </w:r>
          </w:p>
        </w:tc>
        <w:tc>
          <w:tcPr>
            <w:tcW w:w="40" w:type="dxa"/>
            <w:vAlign w:val="bottom"/>
            <w:gridSpan w:val="2"/>
            <w:shd w:val="clear" w:color="auto" w:fill="E0E0E0"/>
          </w:tcPr>
          <w:p>
            <w:pPr>
              <w:spacing w:after="0"/>
              <w:rPr>
                <w:sz w:val="13"/>
                <w:szCs w:val="13"/>
                <w:color w:val="auto"/>
              </w:rPr>
            </w:pPr>
          </w:p>
        </w:tc>
        <w:tc>
          <w:tcPr>
            <w:tcW w:w="80" w:type="dxa"/>
            <w:vAlign w:val="bottom"/>
            <w:tcBorders>
              <w:bottom w:val="single" w:sz="8" w:color="E0E0E0"/>
            </w:tcBorders>
            <w:shd w:val="clear" w:color="auto" w:fill="E0E0E0"/>
          </w:tcPr>
          <w:p>
            <w:pPr>
              <w:jc w:val="right"/>
              <w:ind w:right="55"/>
              <w:spacing w:after="0"/>
              <w:rPr>
                <w:sz w:val="20"/>
                <w:szCs w:val="20"/>
                <w:color w:val="auto"/>
              </w:rPr>
            </w:pPr>
            <w:r>
              <w:rPr>
                <w:rFonts w:ascii="Times New Roman" w:cs="Times New Roman" w:eastAsia="Times New Roman" w:hAnsi="Times New Roman"/>
                <w:sz w:val="1"/>
                <w:szCs w:val="1"/>
                <w:color w:val="auto"/>
                <w:w w:val="4294967281"/>
              </w:rPr>
              <w:t>)</w:t>
            </w:r>
          </w:p>
        </w:tc>
        <w:tc>
          <w:tcPr>
            <w:tcW w:w="20" w:type="dxa"/>
            <w:vAlign w:val="bottom"/>
            <w:shd w:val="clear" w:color="auto" w:fill="E0E0E0"/>
          </w:tcPr>
          <w:p>
            <w:pPr>
              <w:spacing w:after="0"/>
              <w:rPr>
                <w:sz w:val="13"/>
                <w:szCs w:val="13"/>
                <w:color w:val="auto"/>
              </w:rPr>
            </w:pPr>
          </w:p>
        </w:tc>
        <w:tc>
          <w:tcPr>
            <w:tcW w:w="12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tcBorders>
              <w:bottom w:val="single" w:sz="8" w:color="E0E0E0"/>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(58,709</w:t>
            </w:r>
          </w:p>
        </w:tc>
        <w:tc>
          <w:tcPr>
            <w:tcW w:w="20" w:type="dxa"/>
            <w:vAlign w:val="bottom"/>
            <w:shd w:val="clear" w:color="auto" w:fill="E0E0E0"/>
          </w:tcPr>
          <w:p>
            <w:pPr>
              <w:spacing w:after="0"/>
              <w:rPr>
                <w:sz w:val="13"/>
                <w:szCs w:val="13"/>
                <w:color w:val="auto"/>
              </w:rPr>
            </w:pPr>
          </w:p>
        </w:tc>
        <w:tc>
          <w:tcPr>
            <w:tcW w:w="100" w:type="dxa"/>
            <w:vAlign w:val="bottom"/>
            <w:tcBorders>
              <w:bottom w:val="single" w:sz="8" w:color="E0E0E0"/>
            </w:tcBorders>
            <w:shd w:val="clear" w:color="auto" w:fill="E0E0E0"/>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3360" w:type="dxa"/>
            <w:vAlign w:val="bottom"/>
            <w:tcBorders>
              <w:bottom w:val="single" w:sz="8" w:color="E0E0E0"/>
            </w:tcBorders>
          </w:tcPr>
          <w:p>
            <w:pPr>
              <w:spacing w:after="0" w:line="154" w:lineRule="exact"/>
              <w:rPr>
                <w:sz w:val="20"/>
                <w:szCs w:val="20"/>
                <w:color w:val="auto"/>
              </w:rPr>
            </w:pPr>
            <w:r>
              <w:rPr>
                <w:rFonts w:ascii="Times New Roman" w:cs="Times New Roman" w:eastAsia="Times New Roman" w:hAnsi="Times New Roman"/>
                <w:sz w:val="14"/>
                <w:szCs w:val="14"/>
                <w:color w:val="auto"/>
              </w:rPr>
              <w:t>Unrealized loss on investments</w:t>
            </w: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80" w:type="dxa"/>
            <w:vAlign w:val="bottom"/>
            <w:tcBorders>
              <w:bottom w:val="single" w:sz="8" w:color="E0E0E0"/>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380" w:type="dxa"/>
            <w:vAlign w:val="bottom"/>
            <w:tcBorders>
              <w:bottom w:val="single" w:sz="8" w:color="E0E0E0"/>
            </w:tcBorders>
          </w:tcPr>
          <w:p>
            <w:pPr>
              <w:spacing w:after="0"/>
              <w:rPr>
                <w:sz w:val="13"/>
                <w:szCs w:val="13"/>
                <w:color w:val="auto"/>
              </w:rPr>
            </w:pPr>
          </w:p>
        </w:tc>
        <w:tc>
          <w:tcPr>
            <w:tcW w:w="1120" w:type="dxa"/>
            <w:vAlign w:val="bottom"/>
            <w:tcBorders>
              <w:bottom w:val="single" w:sz="8" w:color="E0E0E0"/>
            </w:tcBorders>
          </w:tcPr>
          <w:p>
            <w:pPr>
              <w:ind w:left="980"/>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8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20" w:type="dxa"/>
            <w:vAlign w:val="bottom"/>
            <w:tcBorders>
              <w:bottom w:val="single" w:sz="8" w:color="E0E0E0"/>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tcPr>
          <w:p>
            <w:pPr>
              <w:spacing w:after="0"/>
              <w:rPr>
                <w:sz w:val="13"/>
                <w:szCs w:val="13"/>
                <w:color w:val="auto"/>
              </w:rPr>
            </w:pPr>
          </w:p>
        </w:tc>
        <w:tc>
          <w:tcPr>
            <w:tcW w:w="24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00" w:type="dxa"/>
            <w:vAlign w:val="bottom"/>
            <w:tcBorders>
              <w:bottom w:val="single" w:sz="8" w:color="E0E0E0"/>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(50</w:t>
            </w: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w w:val="84"/>
              </w:rPr>
              <w:t>)</w:t>
            </w: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8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40" w:type="dxa"/>
            <w:vAlign w:val="bottom"/>
            <w:tcBorders>
              <w:bottom w:val="single" w:sz="8" w:color="E0E0E0"/>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(50</w:t>
            </w: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E0E0E0"/>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360" w:type="dxa"/>
            <w:vAlign w:val="bottom"/>
            <w:shd w:val="clear" w:color="auto" w:fill="E0E0E0"/>
          </w:tcPr>
          <w:p>
            <w:pPr>
              <w:spacing w:after="0" w:line="157" w:lineRule="exact"/>
              <w:rPr>
                <w:sz w:val="20"/>
                <w:szCs w:val="20"/>
                <w:color w:val="auto"/>
              </w:rPr>
            </w:pPr>
            <w:r>
              <w:rPr>
                <w:rFonts w:ascii="Times New Roman" w:cs="Times New Roman" w:eastAsia="Times New Roman" w:hAnsi="Times New Roman"/>
                <w:sz w:val="14"/>
                <w:szCs w:val="14"/>
                <w:color w:val="auto"/>
              </w:rPr>
              <w:t>Foreign currency translation loss</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80" w:type="dxa"/>
            <w:vAlign w:val="bottom"/>
            <w:tcBorders>
              <w:bottom w:val="single" w:sz="8" w:color="auto"/>
            </w:tcBorders>
            <w:shd w:val="clear" w:color="auto" w:fill="E0E0E0"/>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38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ind w:left="980"/>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00" w:type="dxa"/>
            <w:vAlign w:val="bottom"/>
            <w:tcBorders>
              <w:bottom w:val="single" w:sz="8" w:color="auto"/>
            </w:tcBorders>
            <w:shd w:val="clear" w:color="auto" w:fill="E0E0E0"/>
          </w:tcPr>
          <w:p>
            <w:pPr>
              <w:jc w:val="right"/>
              <w:spacing w:after="0" w:line="157"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Borders>
              <w:bottom w:val="single" w:sz="8" w:color="auto"/>
            </w:tcBorders>
            <w:shd w:val="clear" w:color="auto" w:fill="E0E0E0"/>
          </w:tcPr>
          <w:p>
            <w:pPr>
              <w:spacing w:after="0"/>
              <w:rPr>
                <w:sz w:val="13"/>
                <w:szCs w:val="13"/>
                <w:color w:val="auto"/>
              </w:rPr>
            </w:pPr>
          </w:p>
        </w:tc>
        <w:tc>
          <w:tcPr>
            <w:tcW w:w="120" w:type="dxa"/>
            <w:vAlign w:val="bottom"/>
            <w:shd w:val="clear" w:color="auto" w:fill="E0E0E0"/>
          </w:tcPr>
          <w:p>
            <w:pPr>
              <w:jc w:val="right"/>
              <w:spacing w:after="0" w:line="157" w:lineRule="exact"/>
              <w:rPr>
                <w:sz w:val="20"/>
                <w:szCs w:val="20"/>
                <w:color w:val="auto"/>
              </w:rPr>
            </w:pPr>
            <w:r>
              <w:rPr>
                <w:rFonts w:ascii="Times New Roman" w:cs="Times New Roman" w:eastAsia="Times New Roman" w:hAnsi="Times New Roman"/>
                <w:sz w:val="14"/>
                <w:szCs w:val="14"/>
                <w:color w:val="auto"/>
                <w:w w:val="84"/>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2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tcBorders>
              <w:bottom w:val="single" w:sz="8" w:color="auto"/>
            </w:tcBorders>
            <w:shd w:val="clear" w:color="auto" w:fill="E0E0E0"/>
          </w:tcPr>
          <w:p>
            <w:pPr>
              <w:spacing w:after="0"/>
              <w:rPr>
                <w:sz w:val="13"/>
                <w:szCs w:val="13"/>
                <w:color w:val="auto"/>
              </w:rPr>
            </w:pPr>
          </w:p>
        </w:tc>
        <w:tc>
          <w:tcPr>
            <w:tcW w:w="20" w:type="dxa"/>
            <w:vAlign w:val="bottom"/>
            <w:tcBorders>
              <w:bottom w:val="single" w:sz="8" w:color="auto"/>
            </w:tcBorders>
            <w:shd w:val="clear" w:color="auto" w:fill="E0E0E0"/>
          </w:tcPr>
          <w:p>
            <w:pPr>
              <w:spacing w:after="0"/>
              <w:rPr>
                <w:sz w:val="13"/>
                <w:szCs w:val="13"/>
                <w:color w:val="auto"/>
              </w:rPr>
            </w:pPr>
          </w:p>
        </w:tc>
        <w:tc>
          <w:tcPr>
            <w:tcW w:w="1140" w:type="dxa"/>
            <w:vAlign w:val="bottom"/>
            <w:tcBorders>
              <w:bottom w:val="single" w:sz="8" w:color="auto"/>
            </w:tcBorders>
            <w:shd w:val="clear" w:color="auto" w:fill="E0E0E0"/>
          </w:tcPr>
          <w:p>
            <w:pPr>
              <w:jc w:val="right"/>
              <w:spacing w:after="0" w:line="157"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Borders>
              <w:bottom w:val="single" w:sz="8" w:color="auto"/>
            </w:tcBorders>
            <w:shd w:val="clear" w:color="auto" w:fill="E0E0E0"/>
          </w:tcPr>
          <w:p>
            <w:pPr>
              <w:spacing w:after="0"/>
              <w:rPr>
                <w:sz w:val="13"/>
                <w:szCs w:val="13"/>
                <w:color w:val="auto"/>
              </w:rPr>
            </w:pPr>
          </w:p>
        </w:tc>
        <w:tc>
          <w:tcPr>
            <w:tcW w:w="100" w:type="dxa"/>
            <w:vAlign w:val="bottom"/>
            <w:shd w:val="clear" w:color="auto" w:fill="E0E0E0"/>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500" w:type="dxa"/>
            <w:vAlign w:val="bottom"/>
            <w:tcBorders>
              <w:bottom w:val="single" w:sz="8" w:color="E0E0E0"/>
            </w:tcBorders>
            <w:gridSpan w:val="4"/>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51,935,134</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E0E0E0"/>
            </w:tcBorders>
            <w:gridSpan w:val="4"/>
          </w:tcPr>
          <w:p>
            <w:pPr>
              <w:spacing w:after="0"/>
              <w:rPr>
                <w:sz w:val="14"/>
                <w:szCs w:val="14"/>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E0E0E0"/>
            </w:tcBorders>
            <w:gridSpan w:val="3"/>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544,653</w:t>
            </w:r>
          </w:p>
        </w:tc>
        <w:tc>
          <w:tcPr>
            <w:tcW w:w="24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(368,712</w:t>
            </w:r>
          </w:p>
        </w:tc>
        <w:tc>
          <w:tcPr>
            <w:tcW w:w="100" w:type="dxa"/>
            <w:vAlign w:val="bottom"/>
            <w:tcBorders>
              <w:bottom w:val="single" w:sz="8" w:color="E0E0E0"/>
            </w:tcBorders>
            <w:gridSpan w:val="2"/>
          </w:tcPr>
          <w:p>
            <w:pPr>
              <w:jc w:val="right"/>
              <w:ind w:right="55"/>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E0E0E0"/>
            </w:tcBorders>
          </w:tcPr>
          <w:p>
            <w:pPr>
              <w:spacing w:after="0"/>
              <w:rPr>
                <w:sz w:val="14"/>
                <w:szCs w:val="14"/>
                <w:color w:val="auto"/>
              </w:rPr>
            </w:pPr>
          </w:p>
        </w:tc>
        <w:tc>
          <w:tcPr>
            <w:tcW w:w="12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176,080</w:t>
            </w:r>
          </w:p>
        </w:tc>
        <w:tc>
          <w:tcPr>
            <w:tcW w:w="100" w:type="dxa"/>
            <w:vAlign w:val="bottom"/>
            <w:tcBorders>
              <w:bottom w:val="single" w:sz="8" w:color="E0E0E0"/>
            </w:tcBorders>
          </w:tcPr>
          <w:p>
            <w:pPr>
              <w:spacing w:after="0"/>
              <w:rPr>
                <w:sz w:val="14"/>
                <w:szCs w:val="14"/>
                <w:color w:val="auto"/>
              </w:rPr>
            </w:pPr>
          </w:p>
        </w:tc>
        <w:tc>
          <w:tcPr>
            <w:tcW w:w="20" w:type="dxa"/>
            <w:vAlign w:val="bottom"/>
            <w:tcBorders>
              <w:bottom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vMerge w:val="restart"/>
            <w:textDirection w:val="tbRl"/>
          </w:tcPr>
          <w:p>
            <w:pPr>
              <w:jc w:val="right"/>
              <w:ind w:right="337"/>
              <w:spacing w:after="0"/>
              <w:rPr>
                <w:sz w:val="20"/>
                <w:szCs w:val="20"/>
                <w:color w:val="auto"/>
              </w:rPr>
            </w:pP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10</w:t>
            </w:r>
          </w:p>
        </w:tc>
        <w:tc>
          <w:tcPr>
            <w:tcW w:w="3360" w:type="dxa"/>
            <w:vAlign w:val="bottom"/>
            <w:shd w:val="clear" w:color="auto" w:fill="E0E0E0"/>
          </w:tcPr>
          <w:p>
            <w:pPr>
              <w:spacing w:after="0"/>
              <w:rPr>
                <w:sz w:val="20"/>
                <w:szCs w:val="20"/>
                <w:color w:val="auto"/>
              </w:rPr>
            </w:pPr>
            <w:r>
              <w:rPr>
                <w:rFonts w:ascii="Times New Roman" w:cs="Times New Roman" w:eastAsia="Times New Roman" w:hAnsi="Times New Roman"/>
                <w:sz w:val="14"/>
                <w:szCs w:val="14"/>
                <w:color w:val="auto"/>
              </w:rPr>
              <w:t>Exercise of stock options, common stock issued under the</w:t>
            </w:r>
          </w:p>
        </w:tc>
        <w:tc>
          <w:tcPr>
            <w:tcW w:w="140" w:type="dxa"/>
            <w:vAlign w:val="bottom"/>
            <w:gridSpan w:val="3"/>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80" w:type="dxa"/>
            <w:vAlign w:val="bottom"/>
            <w:vMerge w:val="continue"/>
          </w:tcPr>
          <w:p>
            <w:pPr>
              <w:spacing w:after="0"/>
              <w:rPr>
                <w:sz w:val="13"/>
                <w:szCs w:val="13"/>
                <w:color w:val="auto"/>
              </w:rPr>
            </w:pPr>
          </w:p>
        </w:tc>
        <w:tc>
          <w:tcPr>
            <w:tcW w:w="3360" w:type="dxa"/>
            <w:vAlign w:val="bottom"/>
            <w:shd w:val="clear" w:color="auto" w:fill="E0E0E0"/>
          </w:tcPr>
          <w:p>
            <w:pPr>
              <w:spacing w:after="0"/>
              <w:rPr>
                <w:sz w:val="20"/>
                <w:szCs w:val="20"/>
                <w:color w:val="auto"/>
              </w:rPr>
            </w:pPr>
            <w:r>
              <w:rPr>
                <w:rFonts w:ascii="Times New Roman" w:cs="Times New Roman" w:eastAsia="Times New Roman" w:hAnsi="Times New Roman"/>
                <w:sz w:val="14"/>
                <w:szCs w:val="14"/>
                <w:color w:val="auto"/>
              </w:rPr>
              <w:t>2020 ESPP, and release of vested restricted stock units</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1,396,632</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shd w:val="clear" w:color="auto" w:fill="E0E0E0"/>
          </w:tcPr>
          <w:p>
            <w:pPr>
              <w:spacing w:after="0"/>
              <w:rPr>
                <w:sz w:val="13"/>
                <w:szCs w:val="13"/>
                <w:color w:val="auto"/>
              </w:rPr>
            </w:pPr>
          </w:p>
        </w:tc>
        <w:tc>
          <w:tcPr>
            <w:tcW w:w="1120" w:type="dxa"/>
            <w:vAlign w:val="bottom"/>
            <w:shd w:val="clear" w:color="auto" w:fill="E0E0E0"/>
          </w:tcPr>
          <w:p>
            <w:pPr>
              <w:ind w:left="98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80" w:type="dxa"/>
            <w:vAlign w:val="bottom"/>
          </w:tcPr>
          <w:p>
            <w:pPr>
              <w:spacing w:after="0"/>
              <w:rPr>
                <w:sz w:val="15"/>
                <w:szCs w:val="15"/>
                <w:color w:val="auto"/>
              </w:rPr>
            </w:pPr>
          </w:p>
        </w:tc>
        <w:tc>
          <w:tcPr>
            <w:tcW w:w="3500" w:type="dxa"/>
            <w:vAlign w:val="bottom"/>
            <w:tcBorders>
              <w:bottom w:val="single" w:sz="8" w:color="E0E0E0"/>
            </w:tcBorders>
            <w:gridSpan w:val="4"/>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0" w:type="dxa"/>
            <w:vAlign w:val="bottom"/>
            <w:tcBorders>
              <w:bottom w:val="single" w:sz="8" w:color="E0E0E0"/>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380" w:type="dxa"/>
            <w:vAlign w:val="bottom"/>
            <w:tcBorders>
              <w:bottom w:val="single" w:sz="8" w:color="E0E0E0"/>
            </w:tcBorders>
          </w:tcPr>
          <w:p>
            <w:pPr>
              <w:spacing w:after="0"/>
              <w:rPr>
                <w:sz w:val="15"/>
                <w:szCs w:val="15"/>
                <w:color w:val="auto"/>
              </w:rPr>
            </w:pPr>
          </w:p>
        </w:tc>
        <w:tc>
          <w:tcPr>
            <w:tcW w:w="1140" w:type="dxa"/>
            <w:vAlign w:val="bottom"/>
            <w:tcBorders>
              <w:bottom w:val="single" w:sz="8" w:color="E0E0E0"/>
            </w:tcBorders>
            <w:gridSpan w:val="2"/>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1160" w:type="dxa"/>
            <w:vAlign w:val="bottom"/>
            <w:tcBorders>
              <w:bottom w:val="single" w:sz="8" w:color="E0E0E0"/>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5,924</w:t>
            </w:r>
          </w:p>
        </w:tc>
        <w:tc>
          <w:tcPr>
            <w:tcW w:w="2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120" w:type="dxa"/>
            <w:vAlign w:val="bottom"/>
            <w:tcBorders>
              <w:bottom w:val="single" w:sz="8" w:color="E0E0E0"/>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E0E0E0"/>
            </w:tcBorders>
            <w:gridSpan w:val="3"/>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400" w:type="dxa"/>
            <w:vAlign w:val="bottom"/>
            <w:tcBorders>
              <w:bottom w:val="single" w:sz="8" w:color="E0E0E0"/>
            </w:tcBorders>
            <w:gridSpan w:val="7"/>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E0E0E0"/>
            </w:tcBorders>
          </w:tcPr>
          <w:p>
            <w:pPr>
              <w:spacing w:after="0"/>
              <w:rPr>
                <w:sz w:val="15"/>
                <w:szCs w:val="15"/>
                <w:color w:val="auto"/>
              </w:rPr>
            </w:pPr>
          </w:p>
        </w:tc>
        <w:tc>
          <w:tcPr>
            <w:tcW w:w="1180" w:type="dxa"/>
            <w:vAlign w:val="bottom"/>
            <w:tcBorders>
              <w:bottom w:val="single" w:sz="8" w:color="E0E0E0"/>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5,924</w:t>
            </w:r>
          </w:p>
        </w:tc>
        <w:tc>
          <w:tcPr>
            <w:tcW w:w="1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3360" w:type="dxa"/>
            <w:vAlign w:val="bottom"/>
            <w:shd w:val="clear" w:color="auto" w:fill="E0E0E0"/>
          </w:tcPr>
          <w:p>
            <w:pPr>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8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380" w:type="dxa"/>
            <w:vAlign w:val="bottom"/>
            <w:shd w:val="clear" w:color="auto" w:fill="E0E0E0"/>
          </w:tcPr>
          <w:p>
            <w:pPr>
              <w:spacing w:after="0"/>
              <w:rPr>
                <w:sz w:val="13"/>
                <w:szCs w:val="13"/>
                <w:color w:val="auto"/>
              </w:rPr>
            </w:pPr>
          </w:p>
        </w:tc>
        <w:tc>
          <w:tcPr>
            <w:tcW w:w="1120" w:type="dxa"/>
            <w:vAlign w:val="bottom"/>
            <w:shd w:val="clear" w:color="auto" w:fill="E0E0E0"/>
          </w:tcPr>
          <w:p>
            <w:pPr>
              <w:ind w:left="9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8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24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0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2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(77,742</w:t>
            </w:r>
          </w:p>
        </w:tc>
        <w:tc>
          <w:tcPr>
            <w:tcW w:w="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80" w:type="dxa"/>
            <w:vAlign w:val="bottom"/>
            <w:shd w:val="clear" w:color="auto" w:fill="E0E0E0"/>
          </w:tcPr>
          <w:p>
            <w:pPr>
              <w:jc w:val="right"/>
              <w:ind w:right="55"/>
              <w:spacing w:after="0"/>
              <w:rPr>
                <w:sz w:val="20"/>
                <w:szCs w:val="20"/>
                <w:color w:val="auto"/>
              </w:rPr>
            </w:pPr>
            <w:r>
              <w:rPr>
                <w:rFonts w:ascii="Times New Roman" w:cs="Times New Roman" w:eastAsia="Times New Roman" w:hAnsi="Times New Roman"/>
                <w:sz w:val="1"/>
                <w:szCs w:val="1"/>
                <w:color w:val="auto"/>
                <w:w w:val="4294967281"/>
              </w:rPr>
              <w:t>)</w:t>
            </w:r>
          </w:p>
        </w:tc>
        <w:tc>
          <w:tcPr>
            <w:tcW w:w="20" w:type="dxa"/>
            <w:vAlign w:val="bottom"/>
            <w:shd w:val="clear" w:color="auto" w:fill="E0E0E0"/>
          </w:tcPr>
          <w:p>
            <w:pPr>
              <w:spacing w:after="0"/>
              <w:rPr>
                <w:sz w:val="13"/>
                <w:szCs w:val="13"/>
                <w:color w:val="auto"/>
              </w:rPr>
            </w:pPr>
          </w:p>
        </w:tc>
        <w:tc>
          <w:tcPr>
            <w:tcW w:w="12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spacing w:after="0"/>
              <w:rPr>
                <w:sz w:val="13"/>
                <w:szCs w:val="13"/>
                <w:color w:val="auto"/>
              </w:rPr>
            </w:pPr>
          </w:p>
        </w:tc>
        <w:tc>
          <w:tcPr>
            <w:tcW w:w="20" w:type="dxa"/>
            <w:vAlign w:val="bottom"/>
            <w:shd w:val="clear" w:color="auto" w:fill="E0E0E0"/>
          </w:tcPr>
          <w:p>
            <w:pPr>
              <w:spacing w:after="0"/>
              <w:rPr>
                <w:sz w:val="13"/>
                <w:szCs w:val="13"/>
                <w:color w:val="auto"/>
              </w:rPr>
            </w:pPr>
          </w:p>
        </w:tc>
        <w:tc>
          <w:tcPr>
            <w:tcW w:w="1140" w:type="dxa"/>
            <w:vAlign w:val="bottom"/>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(77,742</w:t>
            </w:r>
          </w:p>
        </w:tc>
        <w:tc>
          <w:tcPr>
            <w:tcW w:w="20" w:type="dxa"/>
            <w:vAlign w:val="bottom"/>
            <w:shd w:val="clear" w:color="auto" w:fill="E0E0E0"/>
          </w:tcPr>
          <w:p>
            <w:pPr>
              <w:spacing w:after="0"/>
              <w:rPr>
                <w:sz w:val="13"/>
                <w:szCs w:val="13"/>
                <w:color w:val="auto"/>
              </w:rPr>
            </w:pPr>
          </w:p>
        </w:tc>
        <w:tc>
          <w:tcPr>
            <w:tcW w:w="100" w:type="dxa"/>
            <w:vAlign w:val="bottom"/>
            <w:shd w:val="clear" w:color="auto" w:fill="E0E0E0"/>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investments on available for sale</w:t>
            </w:r>
          </w:p>
        </w:tc>
        <w:tc>
          <w:tcPr>
            <w:tcW w:w="14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33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4"/>
                <w:szCs w:val="14"/>
                <w:color w:val="auto"/>
              </w:rPr>
              <w:t>investments</w:t>
            </w: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380" w:type="dxa"/>
            <w:vAlign w:val="bottom"/>
            <w:tcBorders>
              <w:bottom w:val="single" w:sz="8" w:color="E0E0E0"/>
            </w:tcBorders>
          </w:tcPr>
          <w:p>
            <w:pPr>
              <w:spacing w:after="0"/>
              <w:rPr>
                <w:sz w:val="13"/>
                <w:szCs w:val="13"/>
                <w:color w:val="auto"/>
              </w:rPr>
            </w:pPr>
          </w:p>
        </w:tc>
        <w:tc>
          <w:tcPr>
            <w:tcW w:w="1120" w:type="dxa"/>
            <w:vAlign w:val="bottom"/>
            <w:tcBorders>
              <w:bottom w:val="single" w:sz="8" w:color="E0E0E0"/>
            </w:tcBorders>
          </w:tcPr>
          <w:p>
            <w:pPr>
              <w:ind w:left="98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8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E0E0E0"/>
            </w:tcBorders>
          </w:tcPr>
          <w:p>
            <w:pPr>
              <w:spacing w:after="0"/>
              <w:rPr>
                <w:sz w:val="13"/>
                <w:szCs w:val="13"/>
                <w:color w:val="auto"/>
              </w:rPr>
            </w:pPr>
          </w:p>
        </w:tc>
        <w:tc>
          <w:tcPr>
            <w:tcW w:w="24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gridSpan w:val="2"/>
          </w:tcPr>
          <w:p>
            <w:pPr>
              <w:spacing w:after="0"/>
              <w:rPr>
                <w:sz w:val="13"/>
                <w:szCs w:val="13"/>
                <w:color w:val="auto"/>
              </w:rPr>
            </w:pPr>
          </w:p>
        </w:tc>
        <w:tc>
          <w:tcPr>
            <w:tcW w:w="8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2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spacing w:after="0"/>
              <w:rPr>
                <w:sz w:val="13"/>
                <w:szCs w:val="13"/>
                <w:color w:val="auto"/>
              </w:rPr>
            </w:pPr>
          </w:p>
        </w:tc>
        <w:tc>
          <w:tcPr>
            <w:tcW w:w="20" w:type="dxa"/>
            <w:vAlign w:val="bottom"/>
            <w:tcBorders>
              <w:bottom w:val="single" w:sz="8" w:color="E0E0E0"/>
            </w:tcBorders>
          </w:tcPr>
          <w:p>
            <w:pPr>
              <w:spacing w:after="0"/>
              <w:rPr>
                <w:sz w:val="13"/>
                <w:szCs w:val="13"/>
                <w:color w:val="auto"/>
              </w:rPr>
            </w:pPr>
          </w:p>
        </w:tc>
        <w:tc>
          <w:tcPr>
            <w:tcW w:w="1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 w:type="dxa"/>
            <w:vAlign w:val="bottom"/>
            <w:tcBorders>
              <w:bottom w:val="single" w:sz="8" w:color="E0E0E0"/>
            </w:tcBorders>
          </w:tcPr>
          <w:p>
            <w:pPr>
              <w:spacing w:after="0"/>
              <w:rPr>
                <w:sz w:val="13"/>
                <w:szCs w:val="13"/>
                <w:color w:val="auto"/>
              </w:rPr>
            </w:pPr>
          </w:p>
        </w:tc>
        <w:tc>
          <w:tcPr>
            <w:tcW w:w="100" w:type="dxa"/>
            <w:vAlign w:val="bottom"/>
            <w:tcBorders>
              <w:bottom w:val="single" w:sz="8" w:color="E0E0E0"/>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E0E0E0"/>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3360" w:type="dxa"/>
            <w:vAlign w:val="bottom"/>
            <w:tcBorders>
              <w:bottom w:val="single" w:sz="8" w:color="E0E0E0"/>
            </w:tcBorders>
            <w:shd w:val="clear" w:color="auto" w:fill="E0E0E0"/>
          </w:tcPr>
          <w:p>
            <w:pPr>
              <w:spacing w:after="0" w:line="155" w:lineRule="exact"/>
              <w:rPr>
                <w:sz w:val="20"/>
                <w:szCs w:val="20"/>
                <w:color w:val="auto"/>
              </w:rPr>
            </w:pPr>
            <w:r>
              <w:rPr>
                <w:rFonts w:ascii="Times New Roman" w:cs="Times New Roman" w:eastAsia="Times New Roman" w:hAnsi="Times New Roman"/>
                <w:sz w:val="14"/>
                <w:szCs w:val="14"/>
                <w:color w:val="auto"/>
              </w:rPr>
              <w:t>Foreign currency translation gain</w:t>
            </w:r>
          </w:p>
        </w:tc>
        <w:tc>
          <w:tcPr>
            <w:tcW w:w="20" w:type="dxa"/>
            <w:vAlign w:val="bottom"/>
            <w:tcBorders>
              <w:bottom w:val="single" w:sz="8" w:color="E0E0E0"/>
            </w:tcBorders>
            <w:shd w:val="clear" w:color="auto" w:fill="E0E0E0"/>
          </w:tcPr>
          <w:p>
            <w:pPr>
              <w:spacing w:after="0"/>
              <w:rPr>
                <w:sz w:val="16"/>
                <w:szCs w:val="16"/>
                <w:color w:val="auto"/>
              </w:rPr>
            </w:pPr>
          </w:p>
        </w:tc>
        <w:tc>
          <w:tcPr>
            <w:tcW w:w="10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00" w:type="dxa"/>
            <w:vAlign w:val="bottom"/>
            <w:tcBorders>
              <w:bottom w:val="single" w:sz="8" w:color="auto"/>
            </w:tcBorders>
            <w:shd w:val="clear" w:color="auto" w:fill="E0E0E0"/>
          </w:tcPr>
          <w:p>
            <w:pPr>
              <w:spacing w:after="0"/>
              <w:rPr>
                <w:sz w:val="16"/>
                <w:szCs w:val="16"/>
                <w:color w:val="auto"/>
              </w:rPr>
            </w:pPr>
          </w:p>
        </w:tc>
        <w:tc>
          <w:tcPr>
            <w:tcW w:w="20" w:type="dxa"/>
            <w:vAlign w:val="bottom"/>
            <w:tcBorders>
              <w:bottom w:val="single" w:sz="8" w:color="auto"/>
            </w:tcBorders>
            <w:shd w:val="clear" w:color="auto" w:fill="E0E0E0"/>
          </w:tcPr>
          <w:p>
            <w:pPr>
              <w:spacing w:after="0"/>
              <w:rPr>
                <w:sz w:val="16"/>
                <w:szCs w:val="16"/>
                <w:color w:val="auto"/>
              </w:rPr>
            </w:pPr>
          </w:p>
        </w:tc>
        <w:tc>
          <w:tcPr>
            <w:tcW w:w="118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6"/>
                <w:szCs w:val="16"/>
                <w:color w:val="auto"/>
              </w:rPr>
            </w:pPr>
          </w:p>
        </w:tc>
        <w:tc>
          <w:tcPr>
            <w:tcW w:w="10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00" w:type="dxa"/>
            <w:vAlign w:val="bottom"/>
            <w:tcBorders>
              <w:bottom w:val="single" w:sz="8" w:color="auto"/>
            </w:tcBorders>
            <w:shd w:val="clear" w:color="auto" w:fill="E0E0E0"/>
          </w:tcPr>
          <w:p>
            <w:pPr>
              <w:spacing w:after="0"/>
              <w:rPr>
                <w:sz w:val="16"/>
                <w:szCs w:val="16"/>
                <w:color w:val="auto"/>
              </w:rPr>
            </w:pPr>
          </w:p>
        </w:tc>
        <w:tc>
          <w:tcPr>
            <w:tcW w:w="20" w:type="dxa"/>
            <w:vAlign w:val="bottom"/>
            <w:tcBorders>
              <w:bottom w:val="single" w:sz="8" w:color="auto"/>
            </w:tcBorders>
            <w:shd w:val="clear" w:color="auto" w:fill="E0E0E0"/>
          </w:tcPr>
          <w:p>
            <w:pPr>
              <w:spacing w:after="0"/>
              <w:rPr>
                <w:sz w:val="16"/>
                <w:szCs w:val="16"/>
                <w:color w:val="auto"/>
              </w:rPr>
            </w:pPr>
          </w:p>
        </w:tc>
        <w:tc>
          <w:tcPr>
            <w:tcW w:w="380" w:type="dxa"/>
            <w:vAlign w:val="bottom"/>
            <w:tcBorders>
              <w:bottom w:val="single" w:sz="8" w:color="auto"/>
            </w:tcBorders>
            <w:shd w:val="clear" w:color="auto" w:fill="E0E0E0"/>
          </w:tcPr>
          <w:p>
            <w:pPr>
              <w:spacing w:after="0"/>
              <w:rPr>
                <w:sz w:val="16"/>
                <w:szCs w:val="16"/>
                <w:color w:val="auto"/>
              </w:rPr>
            </w:pPr>
          </w:p>
        </w:tc>
        <w:tc>
          <w:tcPr>
            <w:tcW w:w="1120" w:type="dxa"/>
            <w:vAlign w:val="bottom"/>
            <w:tcBorders>
              <w:bottom w:val="single" w:sz="8" w:color="auto"/>
            </w:tcBorders>
            <w:shd w:val="clear" w:color="auto" w:fill="E0E0E0"/>
          </w:tcPr>
          <w:p>
            <w:pPr>
              <w:ind w:left="9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shd w:val="clear" w:color="auto" w:fill="E0E0E0"/>
          </w:tcPr>
          <w:p>
            <w:pPr>
              <w:spacing w:after="0"/>
              <w:rPr>
                <w:sz w:val="16"/>
                <w:szCs w:val="16"/>
                <w:color w:val="auto"/>
              </w:rPr>
            </w:pPr>
          </w:p>
        </w:tc>
        <w:tc>
          <w:tcPr>
            <w:tcW w:w="20" w:type="dxa"/>
            <w:vAlign w:val="bottom"/>
            <w:tcBorders>
              <w:bottom w:val="single" w:sz="8" w:color="auto"/>
            </w:tcBorders>
            <w:shd w:val="clear" w:color="auto" w:fill="E0E0E0"/>
          </w:tcPr>
          <w:p>
            <w:pPr>
              <w:spacing w:after="0"/>
              <w:rPr>
                <w:sz w:val="16"/>
                <w:szCs w:val="16"/>
                <w:color w:val="auto"/>
              </w:rPr>
            </w:pPr>
          </w:p>
        </w:tc>
        <w:tc>
          <w:tcPr>
            <w:tcW w:w="8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00" w:type="dxa"/>
            <w:vAlign w:val="bottom"/>
            <w:tcBorders>
              <w:bottom w:val="single" w:sz="8" w:color="auto"/>
            </w:tcBorders>
            <w:shd w:val="clear" w:color="auto" w:fill="E0E0E0"/>
          </w:tcPr>
          <w:p>
            <w:pPr>
              <w:spacing w:after="0"/>
              <w:rPr>
                <w:sz w:val="16"/>
                <w:szCs w:val="16"/>
                <w:color w:val="auto"/>
              </w:rPr>
            </w:pPr>
          </w:p>
        </w:tc>
        <w:tc>
          <w:tcPr>
            <w:tcW w:w="20" w:type="dxa"/>
            <w:vAlign w:val="bottom"/>
            <w:tcBorders>
              <w:bottom w:val="single" w:sz="8" w:color="auto"/>
            </w:tcBorders>
            <w:shd w:val="clear" w:color="auto" w:fill="E0E0E0"/>
          </w:tcPr>
          <w:p>
            <w:pPr>
              <w:spacing w:after="0"/>
              <w:rPr>
                <w:sz w:val="16"/>
                <w:szCs w:val="16"/>
                <w:color w:val="auto"/>
              </w:rPr>
            </w:pPr>
          </w:p>
        </w:tc>
        <w:tc>
          <w:tcPr>
            <w:tcW w:w="112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E0E0E0"/>
          </w:tcPr>
          <w:p>
            <w:pPr>
              <w:spacing w:after="0"/>
              <w:rPr>
                <w:sz w:val="16"/>
                <w:szCs w:val="16"/>
                <w:color w:val="auto"/>
              </w:rPr>
            </w:pPr>
          </w:p>
        </w:tc>
        <w:tc>
          <w:tcPr>
            <w:tcW w:w="2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auto"/>
            </w:tcBorders>
            <w:shd w:val="clear" w:color="auto" w:fill="E0E0E0"/>
          </w:tcPr>
          <w:p>
            <w:pPr>
              <w:spacing w:after="0"/>
              <w:rPr>
                <w:sz w:val="16"/>
                <w:szCs w:val="16"/>
                <w:color w:val="auto"/>
              </w:rPr>
            </w:pPr>
          </w:p>
        </w:tc>
        <w:tc>
          <w:tcPr>
            <w:tcW w:w="20" w:type="dxa"/>
            <w:vAlign w:val="bottom"/>
            <w:tcBorders>
              <w:bottom w:val="single" w:sz="8" w:color="auto"/>
            </w:tcBorders>
            <w:shd w:val="clear" w:color="auto" w:fill="E0E0E0"/>
          </w:tcPr>
          <w:p>
            <w:pPr>
              <w:spacing w:after="0"/>
              <w:rPr>
                <w:sz w:val="16"/>
                <w:szCs w:val="16"/>
                <w:color w:val="auto"/>
              </w:rPr>
            </w:pPr>
          </w:p>
        </w:tc>
        <w:tc>
          <w:tcPr>
            <w:tcW w:w="110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bottom w:val="single" w:sz="8" w:color="auto"/>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0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auto"/>
            </w:tcBorders>
            <w:shd w:val="clear" w:color="auto" w:fill="E0E0E0"/>
          </w:tcPr>
          <w:p>
            <w:pPr>
              <w:spacing w:after="0"/>
              <w:rPr>
                <w:sz w:val="16"/>
                <w:szCs w:val="16"/>
                <w:color w:val="auto"/>
              </w:rPr>
            </w:pPr>
          </w:p>
        </w:tc>
        <w:tc>
          <w:tcPr>
            <w:tcW w:w="20" w:type="dxa"/>
            <w:vAlign w:val="bottom"/>
            <w:tcBorders>
              <w:bottom w:val="single" w:sz="8" w:color="auto"/>
            </w:tcBorders>
            <w:shd w:val="clear" w:color="auto" w:fill="E0E0E0"/>
          </w:tcPr>
          <w:p>
            <w:pPr>
              <w:spacing w:after="0"/>
              <w:rPr>
                <w:sz w:val="16"/>
                <w:szCs w:val="16"/>
                <w:color w:val="auto"/>
              </w:rPr>
            </w:pPr>
          </w:p>
        </w:tc>
        <w:tc>
          <w:tcPr>
            <w:tcW w:w="1120" w:type="dxa"/>
            <w:vAlign w:val="bottom"/>
            <w:tcBorders>
              <w:bottom w:val="single" w:sz="8" w:color="auto"/>
            </w:tcBorders>
            <w:shd w:val="clear" w:color="auto" w:fill="E0E0E0"/>
          </w:tcPr>
          <w:p>
            <w:pPr>
              <w:spacing w:after="0"/>
              <w:rPr>
                <w:sz w:val="16"/>
                <w:szCs w:val="16"/>
                <w:color w:val="auto"/>
              </w:rPr>
            </w:pPr>
          </w:p>
        </w:tc>
        <w:tc>
          <w:tcPr>
            <w:tcW w:w="20" w:type="dxa"/>
            <w:vAlign w:val="bottom"/>
            <w:tcBorders>
              <w:bottom w:val="single" w:sz="8" w:color="auto"/>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8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00" w:type="dxa"/>
            <w:vAlign w:val="bottom"/>
            <w:tcBorders>
              <w:bottom w:val="single" w:sz="8" w:color="auto"/>
            </w:tcBorders>
            <w:shd w:val="clear" w:color="auto" w:fill="E0E0E0"/>
          </w:tcPr>
          <w:p>
            <w:pPr>
              <w:spacing w:after="0"/>
              <w:rPr>
                <w:sz w:val="16"/>
                <w:szCs w:val="16"/>
                <w:color w:val="auto"/>
              </w:rPr>
            </w:pPr>
          </w:p>
        </w:tc>
        <w:tc>
          <w:tcPr>
            <w:tcW w:w="20" w:type="dxa"/>
            <w:vAlign w:val="bottom"/>
            <w:tcBorders>
              <w:bottom w:val="single" w:sz="8" w:color="auto"/>
            </w:tcBorders>
            <w:shd w:val="clear" w:color="auto" w:fill="E0E0E0"/>
          </w:tcPr>
          <w:p>
            <w:pPr>
              <w:spacing w:after="0"/>
              <w:rPr>
                <w:sz w:val="16"/>
                <w:szCs w:val="16"/>
                <w:color w:val="auto"/>
              </w:rPr>
            </w:pPr>
          </w:p>
        </w:tc>
        <w:tc>
          <w:tcPr>
            <w:tcW w:w="1140" w:type="dxa"/>
            <w:vAlign w:val="bottom"/>
            <w:tcBorders>
              <w:bottom w:val="single" w:sz="8" w:color="auto"/>
            </w:tcBorders>
            <w:shd w:val="clear" w:color="auto" w:fill="E0E0E0"/>
          </w:tcPr>
          <w:p>
            <w:pPr>
              <w:jc w:val="right"/>
              <w:spacing w:after="0" w:line="155"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bottom w:val="single" w:sz="8" w:color="auto"/>
            </w:tcBorders>
            <w:shd w:val="clear" w:color="auto" w:fill="E0E0E0"/>
          </w:tcPr>
          <w:p>
            <w:pPr>
              <w:spacing w:after="0"/>
              <w:rPr>
                <w:sz w:val="16"/>
                <w:szCs w:val="16"/>
                <w:color w:val="auto"/>
              </w:rPr>
            </w:pPr>
          </w:p>
        </w:tc>
        <w:tc>
          <w:tcPr>
            <w:tcW w:w="10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500" w:type="dxa"/>
            <w:vAlign w:val="bottom"/>
            <w:gridSpan w:val="4"/>
          </w:tcPr>
          <w:p>
            <w:pPr>
              <w:spacing w:after="0" w:line="127" w:lineRule="exact"/>
              <w:rPr>
                <w:sz w:val="20"/>
                <w:szCs w:val="20"/>
                <w:color w:val="auto"/>
              </w:rPr>
            </w:pPr>
            <w:r>
              <w:rPr>
                <w:rFonts w:ascii="Times New Roman" w:cs="Times New Roman" w:eastAsia="Times New Roman" w:hAnsi="Times New Roman"/>
                <w:sz w:val="14"/>
                <w:szCs w:val="14"/>
                <w:color w:val="auto"/>
              </w:rPr>
              <w:t>Balance at December 31, 2025</w:t>
            </w:r>
          </w:p>
        </w:tc>
        <w:tc>
          <w:tcPr>
            <w:tcW w:w="1300" w:type="dxa"/>
            <w:vAlign w:val="bottom"/>
            <w:gridSpan w:val="3"/>
          </w:tcPr>
          <w:p>
            <w:pPr>
              <w:jc w:val="right"/>
              <w:spacing w:after="0" w:line="127" w:lineRule="exact"/>
              <w:rPr>
                <w:sz w:val="20"/>
                <w:szCs w:val="20"/>
                <w:color w:val="auto"/>
              </w:rPr>
            </w:pPr>
            <w:r>
              <w:rPr>
                <w:rFonts w:ascii="Times New Roman" w:cs="Times New Roman" w:eastAsia="Times New Roman" w:hAnsi="Times New Roman"/>
                <w:sz w:val="14"/>
                <w:szCs w:val="14"/>
                <w:color w:val="auto"/>
              </w:rPr>
              <w:t>53,331,766</w:t>
            </w:r>
          </w:p>
        </w:tc>
        <w:tc>
          <w:tcPr>
            <w:tcW w:w="20" w:type="dxa"/>
            <w:vAlign w:val="bottom"/>
          </w:tcPr>
          <w:p>
            <w:pPr>
              <w:spacing w:after="0"/>
              <w:rPr>
                <w:sz w:val="11"/>
                <w:szCs w:val="11"/>
                <w:color w:val="auto"/>
              </w:rPr>
            </w:pPr>
          </w:p>
        </w:tc>
        <w:tc>
          <w:tcPr>
            <w:tcW w:w="260" w:type="dxa"/>
            <w:vAlign w:val="bottom"/>
            <w:gridSpan w:val="4"/>
          </w:tcPr>
          <w:p>
            <w:pPr>
              <w:spacing w:after="0"/>
              <w:rPr>
                <w:sz w:val="11"/>
                <w:szCs w:val="11"/>
                <w:color w:val="auto"/>
              </w:rPr>
            </w:pPr>
          </w:p>
        </w:tc>
        <w:tc>
          <w:tcPr>
            <w:tcW w:w="1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980"/>
              <w:spacing w:after="0" w:line="127"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1"/>
                <w:szCs w:val="11"/>
                <w:color w:val="auto"/>
              </w:rPr>
            </w:pPr>
          </w:p>
        </w:tc>
        <w:tc>
          <w:tcPr>
            <w:tcW w:w="2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3"/>
          </w:tcPr>
          <w:p>
            <w:pPr>
              <w:jc w:val="right"/>
              <w:ind w:right="20"/>
              <w:spacing w:after="0" w:line="127" w:lineRule="exact"/>
              <w:rPr>
                <w:sz w:val="20"/>
                <w:szCs w:val="20"/>
                <w:color w:val="auto"/>
              </w:rPr>
            </w:pPr>
            <w:r>
              <w:rPr>
                <w:rFonts w:ascii="Times New Roman" w:cs="Times New Roman" w:eastAsia="Times New Roman" w:hAnsi="Times New Roman"/>
                <w:sz w:val="14"/>
                <w:szCs w:val="14"/>
                <w:color w:val="auto"/>
              </w:rPr>
              <w:t>551,082</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3"/>
          </w:tcPr>
          <w:p>
            <w:pPr>
              <w:jc w:val="right"/>
              <w:spacing w:after="0" w:line="127" w:lineRule="exact"/>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3"/>
          </w:tcPr>
          <w:p>
            <w:pPr>
              <w:jc w:val="right"/>
              <w:ind w:right="20"/>
              <w:spacing w:after="0" w:line="127" w:lineRule="exact"/>
              <w:rPr>
                <w:sz w:val="20"/>
                <w:szCs w:val="20"/>
                <w:color w:val="auto"/>
              </w:rPr>
            </w:pPr>
            <w:r>
              <w:rPr>
                <w:rFonts w:ascii="Times New Roman" w:cs="Times New Roman" w:eastAsia="Times New Roman" w:hAnsi="Times New Roman"/>
                <w:sz w:val="14"/>
                <w:szCs w:val="14"/>
                <w:color w:val="auto"/>
              </w:rPr>
              <w:t>(446,454</w:t>
            </w:r>
          </w:p>
        </w:tc>
        <w:tc>
          <w:tcPr>
            <w:tcW w:w="100" w:type="dxa"/>
            <w:vAlign w:val="bottom"/>
            <w:gridSpan w:val="2"/>
          </w:tcPr>
          <w:p>
            <w:pPr>
              <w:jc w:val="right"/>
              <w:ind w:right="55"/>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3"/>
          </w:tcPr>
          <w:p>
            <w:pPr>
              <w:jc w:val="right"/>
              <w:ind w:right="20"/>
              <w:spacing w:after="0" w:line="127" w:lineRule="exact"/>
              <w:rPr>
                <w:sz w:val="20"/>
                <w:szCs w:val="20"/>
                <w:color w:val="auto"/>
              </w:rPr>
            </w:pPr>
            <w:r>
              <w:rPr>
                <w:rFonts w:ascii="Times New Roman" w:cs="Times New Roman" w:eastAsia="Times New Roman" w:hAnsi="Times New Roman"/>
                <w:sz w:val="14"/>
                <w:szCs w:val="14"/>
                <w:color w:val="auto"/>
              </w:rPr>
              <w:t>104,712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4690745</wp:posOffset>
                </wp:positionH>
                <wp:positionV relativeFrom="paragraph">
                  <wp:posOffset>-2579370</wp:posOffset>
                </wp:positionV>
                <wp:extent cx="16573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35pt,-203.0999pt" to="382.4pt,-203.09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431165</wp:posOffset>
                </wp:positionH>
                <wp:positionV relativeFrom="paragraph">
                  <wp:posOffset>-2250440</wp:posOffset>
                </wp:positionV>
                <wp:extent cx="823023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302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177.1999pt" to="682pt,-177.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4690745</wp:posOffset>
                </wp:positionH>
                <wp:positionV relativeFrom="paragraph">
                  <wp:posOffset>-1803400</wp:posOffset>
                </wp:positionV>
                <wp:extent cx="16573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35pt,-142pt" to="382.4pt,-142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4690745</wp:posOffset>
                </wp:positionH>
                <wp:positionV relativeFrom="paragraph">
                  <wp:posOffset>-1021715</wp:posOffset>
                </wp:positionV>
                <wp:extent cx="16573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35pt,-80.4499pt" to="382.4pt,-80.4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431165</wp:posOffset>
                </wp:positionH>
                <wp:positionV relativeFrom="paragraph">
                  <wp:posOffset>-465455</wp:posOffset>
                </wp:positionV>
                <wp:extent cx="823023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302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5pt,-36.6499pt" to="682pt,-36.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4690745</wp:posOffset>
                </wp:positionH>
                <wp:positionV relativeFrom="paragraph">
                  <wp:posOffset>-138430</wp:posOffset>
                </wp:positionV>
                <wp:extent cx="16573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35pt,-10.8999pt" to="382.4pt,-10.8999pt" o:allowincell="f" strokecolor="#FFFFFF" strokeweight="1.2pt"/>
            </w:pict>
          </mc:Fallback>
        </mc:AlternateContent>
      </w:r>
    </w:p>
    <w:p>
      <w:pPr>
        <w:spacing w:after="0" w:line="15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5840" w:h="12240" w:orient="landscape"/>
          <w:cols w:equalWidth="0" w:num="1">
            <w:col w:w="13640"/>
          </w:cols>
          <w:pgMar w:left="760" w:top="1384"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5360" w:type="dxa"/>
            <w:vAlign w:val="bottom"/>
            <w:tcBorders>
              <w:bottom w:val="single" w:sz="8" w:color="E0E0E0"/>
            </w:tcBorders>
          </w:tcPr>
          <w:p>
            <w:pPr>
              <w:spacing w:after="0"/>
              <w:rPr>
                <w:sz w:val="16"/>
                <w:szCs w:val="16"/>
                <w:color w:val="auto"/>
              </w:rPr>
            </w:pPr>
          </w:p>
        </w:tc>
        <w:tc>
          <w:tcPr>
            <w:tcW w:w="140" w:type="dxa"/>
            <w:vAlign w:val="bottom"/>
            <w:tcBorders>
              <w:bottom w:val="single" w:sz="8" w:color="E0E0E0"/>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E0E0E0"/>
            </w:tcBorders>
          </w:tcPr>
          <w:p>
            <w:pPr>
              <w:spacing w:after="0"/>
              <w:rPr>
                <w:sz w:val="16"/>
                <w:szCs w:val="16"/>
                <w:color w:val="auto"/>
              </w:rPr>
            </w:pPr>
          </w:p>
        </w:tc>
        <w:tc>
          <w:tcPr>
            <w:tcW w:w="140" w:type="dxa"/>
            <w:vAlign w:val="bottom"/>
            <w:tcBorders>
              <w:bottom w:val="single" w:sz="8" w:color="E0E0E0"/>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90" w:type="dxa"/>
            <w:vAlign w:val="bottom"/>
            <w:tcBorders>
              <w:bottom w:val="single" w:sz="8" w:color="E0E0E0"/>
            </w:tcBorders>
          </w:tcPr>
          <w:p>
            <w:pPr>
              <w:spacing w:after="0"/>
              <w:rPr>
                <w:sz w:val="16"/>
                <w:szCs w:val="16"/>
                <w:color w:val="auto"/>
              </w:rPr>
            </w:pPr>
          </w:p>
        </w:tc>
        <w:tc>
          <w:tcPr>
            <w:tcW w:w="130" w:type="dxa"/>
            <w:vAlign w:val="bottom"/>
            <w:tcBorders>
              <w:bottom w:val="single" w:sz="8" w:color="E0E0E0"/>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E0E0E0"/>
            </w:tcBorders>
          </w:tcPr>
          <w:p>
            <w:pPr>
              <w:spacing w:after="0"/>
              <w:rPr>
                <w:sz w:val="16"/>
                <w:szCs w:val="16"/>
                <w:color w:val="auto"/>
              </w:rPr>
            </w:pPr>
          </w:p>
        </w:tc>
      </w:tr>
      <w:tr>
        <w:trPr>
          <w:trHeight w:val="234"/>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4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90" w:type="dxa"/>
            <w:vAlign w:val="bottom"/>
            <w:shd w:val="clear" w:color="auto" w:fill="E0E0E0"/>
          </w:tcPr>
          <w:p>
            <w:pPr>
              <w:spacing w:after="0"/>
              <w:rPr>
                <w:sz w:val="20"/>
                <w:szCs w:val="20"/>
                <w:color w:val="auto"/>
              </w:rPr>
            </w:pPr>
          </w:p>
        </w:tc>
        <w:tc>
          <w:tcPr>
            <w:tcW w:w="13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86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(77,742 )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auto"/>
              </w:rPr>
              <w:t>(58,709 )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(68,960 )</w:t>
            </w:r>
          </w:p>
        </w:tc>
      </w:tr>
      <w:tr>
        <w:trPr>
          <w:trHeight w:val="245"/>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w:t>
            </w:r>
          </w:p>
        </w:tc>
        <w:tc>
          <w:tcPr>
            <w:tcW w:w="1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90" w:type="dxa"/>
            <w:vAlign w:val="bottom"/>
            <w:shd w:val="clear" w:color="auto" w:fill="E0E0E0"/>
          </w:tcPr>
          <w:p>
            <w:pPr>
              <w:spacing w:after="0"/>
              <w:rPr>
                <w:sz w:val="21"/>
                <w:szCs w:val="21"/>
                <w:color w:val="auto"/>
              </w:rPr>
            </w:pPr>
          </w:p>
        </w:tc>
        <w:tc>
          <w:tcPr>
            <w:tcW w:w="13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29"/>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activities:</w:t>
            </w:r>
          </w:p>
        </w:tc>
        <w:tc>
          <w:tcPr>
            <w:tcW w:w="14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90" w:type="dxa"/>
            <w:vAlign w:val="bottom"/>
            <w:shd w:val="clear" w:color="auto" w:fill="E0E0E0"/>
          </w:tcPr>
          <w:p>
            <w:pPr>
              <w:spacing w:after="0"/>
              <w:rPr>
                <w:sz w:val="19"/>
                <w:szCs w:val="19"/>
                <w:color w:val="auto"/>
              </w:rPr>
            </w:pPr>
          </w:p>
        </w:tc>
        <w:tc>
          <w:tcPr>
            <w:tcW w:w="13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86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4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8,872</w:t>
            </w:r>
          </w:p>
        </w:tc>
        <w:tc>
          <w:tcPr>
            <w:tcW w:w="9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12,375</w:t>
            </w:r>
          </w:p>
        </w:tc>
        <w:tc>
          <w:tcPr>
            <w:tcW w:w="80" w:type="dxa"/>
            <w:vAlign w:val="bottom"/>
          </w:tcPr>
          <w:p>
            <w:pPr>
              <w:spacing w:after="0"/>
              <w:rPr>
                <w:sz w:val="21"/>
                <w:szCs w:val="21"/>
                <w:color w:val="auto"/>
              </w:rPr>
            </w:pPr>
          </w:p>
        </w:tc>
      </w:tr>
      <w:tr>
        <w:trPr>
          <w:trHeight w:val="245"/>
        </w:trPr>
        <w:tc>
          <w:tcPr>
            <w:tcW w:w="5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Depreciation</w:t>
            </w:r>
          </w:p>
        </w:tc>
        <w:tc>
          <w:tcPr>
            <w:tcW w:w="1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1,144</w:t>
            </w:r>
          </w:p>
        </w:tc>
        <w:tc>
          <w:tcPr>
            <w:tcW w:w="90" w:type="dxa"/>
            <w:vAlign w:val="bottom"/>
            <w:shd w:val="clear" w:color="auto" w:fill="E0E0E0"/>
          </w:tcPr>
          <w:p>
            <w:pPr>
              <w:spacing w:after="0"/>
              <w:rPr>
                <w:sz w:val="21"/>
                <w:szCs w:val="21"/>
                <w:color w:val="auto"/>
              </w:rPr>
            </w:pPr>
          </w:p>
        </w:tc>
        <w:tc>
          <w:tcPr>
            <w:tcW w:w="13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1,257</w:t>
            </w:r>
          </w:p>
        </w:tc>
        <w:tc>
          <w:tcPr>
            <w:tcW w:w="80" w:type="dxa"/>
            <w:vAlign w:val="bottom"/>
            <w:shd w:val="clear" w:color="auto" w:fill="E0E0E0"/>
          </w:tcPr>
          <w:p>
            <w:pPr>
              <w:spacing w:after="0"/>
              <w:rPr>
                <w:sz w:val="21"/>
                <w:szCs w:val="21"/>
                <w:color w:val="auto"/>
              </w:rPr>
            </w:pPr>
          </w:p>
        </w:tc>
      </w:tr>
      <w:tr>
        <w:trPr>
          <w:trHeight w:val="24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Accretion of discounts on marketable securities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(2,771 )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9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(5,371 )</w:t>
            </w:r>
          </w:p>
        </w:tc>
        <w:tc>
          <w:tcPr>
            <w:tcW w:w="13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(5,386 )</w:t>
            </w:r>
          </w:p>
        </w:tc>
      </w:tr>
      <w:tr>
        <w:trPr>
          <w:trHeight w:val="244"/>
        </w:trPr>
        <w:tc>
          <w:tcPr>
            <w:tcW w:w="5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Non-cash lease income</w:t>
            </w:r>
          </w:p>
        </w:tc>
        <w:tc>
          <w:tcPr>
            <w:tcW w:w="1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9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0E0E0"/>
              </w:rPr>
              <w:t>)</w:t>
            </w:r>
          </w:p>
        </w:tc>
        <w:tc>
          <w:tcPr>
            <w:tcW w:w="13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r>
      <w:tr>
        <w:trPr>
          <w:trHeight w:val="245"/>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on termination of lease, net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4,604</w:t>
            </w:r>
          </w:p>
        </w:tc>
        <w:tc>
          <w:tcPr>
            <w:tcW w:w="9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r>
      <w:tr>
        <w:trPr>
          <w:trHeight w:val="244"/>
        </w:trPr>
        <w:tc>
          <w:tcPr>
            <w:tcW w:w="5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Loss on sales and disposals of fixed assets, net</w:t>
            </w:r>
          </w:p>
        </w:tc>
        <w:tc>
          <w:tcPr>
            <w:tcW w:w="1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90" w:type="dxa"/>
            <w:vAlign w:val="bottom"/>
            <w:shd w:val="clear" w:color="auto" w:fill="E0E0E0"/>
          </w:tcPr>
          <w:p>
            <w:pPr>
              <w:spacing w:after="0"/>
              <w:rPr>
                <w:sz w:val="21"/>
                <w:szCs w:val="21"/>
                <w:color w:val="auto"/>
              </w:rPr>
            </w:pPr>
          </w:p>
        </w:tc>
        <w:tc>
          <w:tcPr>
            <w:tcW w:w="13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21"/>
                <w:szCs w:val="21"/>
                <w:color w:val="auto"/>
              </w:rPr>
            </w:pPr>
          </w:p>
        </w:tc>
      </w:tr>
      <w:tr>
        <w:trPr>
          <w:trHeight w:val="244"/>
        </w:trPr>
        <w:tc>
          <w:tcPr>
            <w:tcW w:w="5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net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9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(44 )</w:t>
            </w:r>
          </w:p>
        </w:tc>
        <w:tc>
          <w:tcPr>
            <w:tcW w:w="13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3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Change in operating assets and liabilities:</w:t>
            </w:r>
          </w:p>
        </w:tc>
        <w:tc>
          <w:tcPr>
            <w:tcW w:w="1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90" w:type="dxa"/>
            <w:vAlign w:val="bottom"/>
            <w:shd w:val="clear" w:color="auto" w:fill="E0E0E0"/>
          </w:tcPr>
          <w:p>
            <w:pPr>
              <w:spacing w:after="0"/>
              <w:rPr>
                <w:sz w:val="21"/>
                <w:szCs w:val="21"/>
                <w:color w:val="auto"/>
              </w:rPr>
            </w:pPr>
          </w:p>
        </w:tc>
        <w:tc>
          <w:tcPr>
            <w:tcW w:w="13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4"/>
        </w:trPr>
        <w:tc>
          <w:tcPr>
            <w:tcW w:w="53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9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(2,674 )</w:t>
            </w:r>
          </w:p>
        </w:tc>
        <w:tc>
          <w:tcPr>
            <w:tcW w:w="13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w:t>
            </w:r>
          </w:p>
        </w:tc>
        <w:tc>
          <w:tcPr>
            <w:tcW w:w="80" w:type="dxa"/>
            <w:vAlign w:val="bottom"/>
          </w:tcPr>
          <w:p>
            <w:pPr>
              <w:spacing w:after="0"/>
              <w:rPr>
                <w:sz w:val="21"/>
                <w:szCs w:val="21"/>
                <w:color w:val="auto"/>
              </w:rPr>
            </w:pPr>
          </w:p>
        </w:tc>
      </w:tr>
      <w:tr>
        <w:trPr>
          <w:trHeight w:val="244"/>
        </w:trPr>
        <w:tc>
          <w:tcPr>
            <w:tcW w:w="536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Operating lease right-of-use assets and liabilities</w:t>
            </w:r>
          </w:p>
        </w:tc>
        <w:tc>
          <w:tcPr>
            <w:tcW w:w="1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90" w:type="dxa"/>
            <w:vAlign w:val="bottom"/>
            <w:shd w:val="clear" w:color="auto" w:fill="E0E0E0"/>
          </w:tcPr>
          <w:p>
            <w:pPr>
              <w:spacing w:after="0"/>
              <w:rPr>
                <w:sz w:val="21"/>
                <w:szCs w:val="21"/>
                <w:color w:val="auto"/>
              </w:rPr>
            </w:pPr>
          </w:p>
        </w:tc>
        <w:tc>
          <w:tcPr>
            <w:tcW w:w="13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837</w:t>
            </w:r>
          </w:p>
        </w:tc>
        <w:tc>
          <w:tcPr>
            <w:tcW w:w="80" w:type="dxa"/>
            <w:vAlign w:val="bottom"/>
            <w:shd w:val="clear" w:color="auto" w:fill="E0E0E0"/>
          </w:tcPr>
          <w:p>
            <w:pPr>
              <w:spacing w:after="0"/>
              <w:rPr>
                <w:sz w:val="21"/>
                <w:szCs w:val="21"/>
                <w:color w:val="auto"/>
              </w:rPr>
            </w:pPr>
          </w:p>
        </w:tc>
      </w:tr>
      <w:tr>
        <w:trPr>
          <w:trHeight w:val="244"/>
        </w:trPr>
        <w:tc>
          <w:tcPr>
            <w:tcW w:w="53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Accounts payable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(3,424 )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3,342</w:t>
            </w:r>
          </w:p>
        </w:tc>
        <w:tc>
          <w:tcPr>
            <w:tcW w:w="9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80" w:type="dxa"/>
            <w:vAlign w:val="bottom"/>
          </w:tcPr>
          <w:p>
            <w:pPr>
              <w:spacing w:after="0"/>
              <w:rPr>
                <w:sz w:val="21"/>
                <w:szCs w:val="21"/>
                <w:color w:val="auto"/>
              </w:rPr>
            </w:pPr>
          </w:p>
        </w:tc>
      </w:tr>
      <w:tr>
        <w:trPr>
          <w:trHeight w:val="265"/>
        </w:trPr>
        <w:tc>
          <w:tcPr>
            <w:tcW w:w="536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Accrued expenses</w:t>
            </w:r>
          </w:p>
        </w:tc>
        <w:tc>
          <w:tcPr>
            <w:tcW w:w="14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auto"/>
            </w:tcBorders>
            <w:shd w:val="clear" w:color="auto" w:fill="E0E0E0"/>
          </w:tcPr>
          <w:p>
            <w:pPr>
              <w:spacing w:after="0"/>
              <w:rPr>
                <w:sz w:val="23"/>
                <w:szCs w:val="23"/>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418</w:t>
            </w:r>
          </w:p>
        </w:tc>
        <w:tc>
          <w:tcPr>
            <w:tcW w:w="80" w:type="dxa"/>
            <w:vAlign w:val="bottom"/>
            <w:tcBorders>
              <w:bottom w:val="single" w:sz="8" w:color="E0E0E0"/>
            </w:tcBorders>
            <w:shd w:val="clear" w:color="auto" w:fill="E0E0E0"/>
          </w:tcPr>
          <w:p>
            <w:pPr>
              <w:spacing w:after="0"/>
              <w:rPr>
                <w:sz w:val="23"/>
                <w:szCs w:val="23"/>
                <w:color w:val="auto"/>
              </w:rPr>
            </w:pPr>
          </w:p>
        </w:tc>
        <w:tc>
          <w:tcPr>
            <w:tcW w:w="14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(2,501</w:t>
            </w:r>
          </w:p>
        </w:tc>
        <w:tc>
          <w:tcPr>
            <w:tcW w:w="9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0E0E0"/>
              </w:rPr>
              <w:t>)</w:t>
            </w:r>
          </w:p>
        </w:tc>
        <w:tc>
          <w:tcPr>
            <w:tcW w:w="130" w:type="dxa"/>
            <w:vAlign w:val="bottom"/>
            <w:tcBorders>
              <w:bottom w:val="single" w:sz="8" w:color="E0E0E0"/>
            </w:tcBorders>
            <w:shd w:val="clear" w:color="auto" w:fill="E0E0E0"/>
          </w:tcPr>
          <w:p>
            <w:pPr>
              <w:spacing w:after="0"/>
              <w:rPr>
                <w:sz w:val="23"/>
                <w:szCs w:val="23"/>
                <w:color w:val="auto"/>
              </w:rPr>
            </w:pPr>
          </w:p>
        </w:tc>
        <w:tc>
          <w:tcPr>
            <w:tcW w:w="260" w:type="dxa"/>
            <w:vAlign w:val="bottom"/>
            <w:tcBorders>
              <w:bottom w:val="single" w:sz="8" w:color="auto"/>
            </w:tcBorders>
            <w:shd w:val="clear" w:color="auto" w:fill="E0E0E0"/>
          </w:tcPr>
          <w:p>
            <w:pPr>
              <w:spacing w:after="0"/>
              <w:rPr>
                <w:sz w:val="23"/>
                <w:szCs w:val="23"/>
                <w:color w:val="auto"/>
              </w:rPr>
            </w:pPr>
          </w:p>
        </w:tc>
        <w:tc>
          <w:tcPr>
            <w:tcW w:w="8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2,632</w:t>
            </w:r>
          </w:p>
        </w:tc>
        <w:tc>
          <w:tcPr>
            <w:tcW w:w="80" w:type="dxa"/>
            <w:vAlign w:val="bottom"/>
            <w:tcBorders>
              <w:bottom w:val="single" w:sz="8" w:color="E0E0E0"/>
            </w:tcBorders>
            <w:shd w:val="clear" w:color="auto" w:fill="E0E0E0"/>
          </w:tcPr>
          <w:p>
            <w:pPr>
              <w:spacing w:after="0"/>
              <w:rPr>
                <w:sz w:val="23"/>
                <w:szCs w:val="23"/>
                <w:color w:val="auto"/>
              </w:rPr>
            </w:pPr>
          </w:p>
        </w:tc>
      </w:tr>
      <w:tr>
        <w:trPr>
          <w:trHeight w:val="214"/>
        </w:trPr>
        <w:tc>
          <w:tcPr>
            <w:tcW w:w="5360" w:type="dxa"/>
            <w:vAlign w:val="bottom"/>
            <w:tcBorders>
              <w:bottom w:val="single" w:sz="8" w:color="E0E0E0"/>
            </w:tcBorders>
          </w:tcPr>
          <w:p>
            <w:pPr>
              <w:ind w:left="600"/>
              <w:spacing w:after="0" w:line="214"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140" w:type="dxa"/>
            <w:vAlign w:val="bottom"/>
            <w:tcBorders>
              <w:bottom w:val="single" w:sz="8" w:color="E0E0E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(73,577</w:t>
            </w: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(51,282</w:t>
            </w:r>
          </w:p>
        </w:tc>
        <w:tc>
          <w:tcPr>
            <w:tcW w:w="90" w:type="dxa"/>
            <w:vAlign w:val="bottom"/>
            <w:tcBorders>
              <w:bottom w:val="single" w:sz="8" w:color="E0E0E0"/>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89"/>
              </w:rPr>
              <w:t>)</w:t>
            </w:r>
          </w:p>
        </w:tc>
        <w:tc>
          <w:tcPr>
            <w:tcW w:w="130" w:type="dxa"/>
            <w:vAlign w:val="bottom"/>
            <w:tcBorders>
              <w:bottom w:val="single" w:sz="8" w:color="E0E0E0"/>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(55,657</w:t>
            </w: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3"/>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4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90" w:type="dxa"/>
            <w:vAlign w:val="bottom"/>
            <w:shd w:val="clear" w:color="auto" w:fill="E0E0E0"/>
          </w:tcPr>
          <w:p>
            <w:pPr>
              <w:spacing w:after="0"/>
              <w:rPr>
                <w:sz w:val="20"/>
                <w:szCs w:val="20"/>
                <w:color w:val="auto"/>
              </w:rPr>
            </w:pPr>
          </w:p>
        </w:tc>
        <w:tc>
          <w:tcPr>
            <w:tcW w:w="13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86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9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(655 )</w:t>
            </w:r>
          </w:p>
        </w:tc>
        <w:tc>
          <w:tcPr>
            <w:tcW w:w="13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(962 )</w:t>
            </w:r>
          </w:p>
        </w:tc>
      </w:tr>
      <w:tr>
        <w:trPr>
          <w:trHeight w:val="245"/>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Proceeds from sale of property and equipment</w:t>
            </w:r>
          </w:p>
        </w:tc>
        <w:tc>
          <w:tcPr>
            <w:tcW w:w="1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90" w:type="dxa"/>
            <w:vAlign w:val="bottom"/>
            <w:shd w:val="clear" w:color="auto" w:fill="E0E0E0"/>
          </w:tcPr>
          <w:p>
            <w:pPr>
              <w:spacing w:after="0"/>
              <w:rPr>
                <w:sz w:val="21"/>
                <w:szCs w:val="21"/>
                <w:color w:val="auto"/>
              </w:rPr>
            </w:pPr>
          </w:p>
        </w:tc>
        <w:tc>
          <w:tcPr>
            <w:tcW w:w="13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21"/>
                <w:szCs w:val="21"/>
                <w:color w:val="auto"/>
              </w:rPr>
            </w:pPr>
          </w:p>
        </w:tc>
      </w:tr>
      <w:tr>
        <w:trPr>
          <w:trHeight w:val="244"/>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Purchases of marketable securities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(88,203 )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9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(148,286 )</w:t>
            </w:r>
          </w:p>
        </w:tc>
        <w:tc>
          <w:tcPr>
            <w:tcW w:w="13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(220,539 )</w:t>
            </w:r>
          </w:p>
        </w:tc>
      </w:tr>
      <w:tr>
        <w:trPr>
          <w:trHeight w:val="245"/>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Maturities of marketable securities</w:t>
            </w:r>
          </w:p>
        </w:tc>
        <w:tc>
          <w:tcPr>
            <w:tcW w:w="140" w:type="dxa"/>
            <w:vAlign w:val="bottom"/>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spacing w:after="0"/>
              <w:rPr>
                <w:sz w:val="21"/>
                <w:szCs w:val="21"/>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158,373</w:t>
            </w: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202,042</w:t>
            </w:r>
          </w:p>
        </w:tc>
        <w:tc>
          <w:tcPr>
            <w:tcW w:w="90" w:type="dxa"/>
            <w:vAlign w:val="bottom"/>
            <w:shd w:val="clear" w:color="auto" w:fill="E0E0E0"/>
          </w:tcPr>
          <w:p>
            <w:pPr>
              <w:spacing w:after="0"/>
              <w:rPr>
                <w:sz w:val="21"/>
                <w:szCs w:val="21"/>
                <w:color w:val="auto"/>
              </w:rPr>
            </w:pPr>
          </w:p>
        </w:tc>
        <w:tc>
          <w:tcPr>
            <w:tcW w:w="130" w:type="dxa"/>
            <w:vAlign w:val="bottom"/>
            <w:shd w:val="clear" w:color="auto" w:fill="E0E0E0"/>
          </w:tcPr>
          <w:p>
            <w:pPr>
              <w:spacing w:after="0"/>
              <w:rPr>
                <w:sz w:val="21"/>
                <w:szCs w:val="21"/>
                <w:color w:val="auto"/>
              </w:rPr>
            </w:pPr>
          </w:p>
        </w:tc>
        <w:tc>
          <w:tcPr>
            <w:tcW w:w="260" w:type="dxa"/>
            <w:vAlign w:val="bottom"/>
            <w:tcBorders>
              <w:bottom w:val="single" w:sz="8" w:color="auto"/>
            </w:tcBorders>
            <w:shd w:val="clear" w:color="auto" w:fill="E0E0E0"/>
          </w:tcPr>
          <w:p>
            <w:pPr>
              <w:spacing w:after="0"/>
              <w:rPr>
                <w:sz w:val="21"/>
                <w:szCs w:val="21"/>
                <w:color w:val="auto"/>
              </w:rPr>
            </w:pPr>
          </w:p>
        </w:tc>
        <w:tc>
          <w:tcPr>
            <w:tcW w:w="8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170,956</w:t>
            </w:r>
          </w:p>
        </w:tc>
        <w:tc>
          <w:tcPr>
            <w:tcW w:w="80" w:type="dxa"/>
            <w:vAlign w:val="bottom"/>
            <w:shd w:val="clear" w:color="auto" w:fill="E0E0E0"/>
          </w:tcPr>
          <w:p>
            <w:pPr>
              <w:spacing w:after="0"/>
              <w:rPr>
                <w:sz w:val="21"/>
                <w:szCs w:val="21"/>
                <w:color w:val="auto"/>
              </w:rPr>
            </w:pPr>
          </w:p>
        </w:tc>
      </w:tr>
      <w:tr>
        <w:trPr>
          <w:trHeight w:val="233"/>
        </w:trPr>
        <w:tc>
          <w:tcPr>
            <w:tcW w:w="5360" w:type="dxa"/>
            <w:vAlign w:val="bottom"/>
            <w:tcBorders>
              <w:bottom w:val="single" w:sz="8" w:color="E0E0E0"/>
            </w:tcBorders>
          </w:tcPr>
          <w:p>
            <w:pPr>
              <w:ind w:left="600"/>
              <w:spacing w:after="0"/>
              <w:rPr>
                <w:sz w:val="20"/>
                <w:szCs w:val="20"/>
                <w:color w:val="auto"/>
              </w:rPr>
            </w:pPr>
            <w:r>
              <w:rPr>
                <w:rFonts w:ascii="Times New Roman" w:cs="Times New Roman" w:eastAsia="Times New Roman" w:hAnsi="Times New Roman"/>
                <w:sz w:val="20"/>
                <w:szCs w:val="20"/>
                <w:color w:val="auto"/>
              </w:rPr>
              <w:t>Net cash provided by investing activities</w:t>
            </w:r>
          </w:p>
        </w:tc>
        <w:tc>
          <w:tcPr>
            <w:tcW w:w="140" w:type="dxa"/>
            <w:vAlign w:val="bottom"/>
            <w:tcBorders>
              <w:bottom w:val="single" w:sz="8" w:color="E0E0E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70,172</w:t>
            </w:r>
          </w:p>
        </w:tc>
        <w:tc>
          <w:tcPr>
            <w:tcW w:w="80" w:type="dxa"/>
            <w:vAlign w:val="bottom"/>
            <w:tcBorders>
              <w:bottom w:val="single" w:sz="8" w:color="E0E0E0"/>
            </w:tcBorders>
          </w:tcPr>
          <w:p>
            <w:pPr>
              <w:spacing w:after="0"/>
              <w:rPr>
                <w:sz w:val="20"/>
                <w:szCs w:val="20"/>
                <w:color w:val="auto"/>
              </w:rPr>
            </w:pPr>
          </w:p>
        </w:tc>
        <w:tc>
          <w:tcPr>
            <w:tcW w:w="140" w:type="dxa"/>
            <w:vAlign w:val="bottom"/>
            <w:tcBorders>
              <w:bottom w:val="single" w:sz="8" w:color="E0E0E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53,352</w:t>
            </w:r>
          </w:p>
        </w:tc>
        <w:tc>
          <w:tcPr>
            <w:tcW w:w="90" w:type="dxa"/>
            <w:vAlign w:val="bottom"/>
            <w:tcBorders>
              <w:bottom w:val="single" w:sz="8" w:color="E0E0E0"/>
            </w:tcBorders>
          </w:tcPr>
          <w:p>
            <w:pPr>
              <w:spacing w:after="0"/>
              <w:rPr>
                <w:sz w:val="20"/>
                <w:szCs w:val="20"/>
                <w:color w:val="auto"/>
              </w:rPr>
            </w:pPr>
          </w:p>
        </w:tc>
        <w:tc>
          <w:tcPr>
            <w:tcW w:w="130" w:type="dxa"/>
            <w:vAlign w:val="bottom"/>
            <w:tcBorders>
              <w:bottom w:val="single" w:sz="8" w:color="E0E0E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(50,545</w:t>
            </w: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4"/>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4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90" w:type="dxa"/>
            <w:vAlign w:val="bottom"/>
            <w:shd w:val="clear" w:color="auto" w:fill="E0E0E0"/>
          </w:tcPr>
          <w:p>
            <w:pPr>
              <w:spacing w:after="0"/>
              <w:rPr>
                <w:sz w:val="20"/>
                <w:szCs w:val="20"/>
                <w:color w:val="auto"/>
              </w:rPr>
            </w:pPr>
          </w:p>
        </w:tc>
        <w:tc>
          <w:tcPr>
            <w:tcW w:w="13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86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44"/>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 net of issuance costs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4"/>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35,121</w:t>
            </w:r>
          </w:p>
        </w:tc>
        <w:tc>
          <w:tcPr>
            <w:tcW w:w="80" w:type="dxa"/>
            <w:vAlign w:val="bottom"/>
          </w:tcPr>
          <w:p>
            <w:pPr>
              <w:spacing w:after="0"/>
              <w:rPr>
                <w:sz w:val="21"/>
                <w:szCs w:val="21"/>
                <w:color w:val="auto"/>
              </w:rPr>
            </w:pPr>
          </w:p>
        </w:tc>
      </w:tr>
      <w:tr>
        <w:trPr>
          <w:trHeight w:val="245"/>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Proceeds from the exercise of stock options and common stock</w:t>
            </w:r>
          </w:p>
        </w:tc>
        <w:tc>
          <w:tcPr>
            <w:tcW w:w="1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90" w:type="dxa"/>
            <w:vAlign w:val="bottom"/>
            <w:shd w:val="clear" w:color="auto" w:fill="E0E0E0"/>
          </w:tcPr>
          <w:p>
            <w:pPr>
              <w:spacing w:after="0"/>
              <w:rPr>
                <w:sz w:val="21"/>
                <w:szCs w:val="21"/>
                <w:color w:val="auto"/>
              </w:rPr>
            </w:pPr>
          </w:p>
        </w:tc>
        <w:tc>
          <w:tcPr>
            <w:tcW w:w="13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9"/>
        </w:trPr>
        <w:tc>
          <w:tcPr>
            <w:tcW w:w="53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issued under the 2020 EIP</w:t>
            </w:r>
          </w:p>
        </w:tc>
        <w:tc>
          <w:tcPr>
            <w:tcW w:w="140" w:type="dxa"/>
            <w:vAlign w:val="bottom"/>
            <w:tcBorders>
              <w:bottom w:val="single" w:sz="8" w:color="E0E0E0"/>
            </w:tcBorders>
            <w:shd w:val="clear" w:color="auto" w:fill="E0E0E0"/>
          </w:tcPr>
          <w:p>
            <w:pPr>
              <w:spacing w:after="0"/>
              <w:rPr>
                <w:sz w:val="21"/>
                <w:szCs w:val="21"/>
                <w:color w:val="auto"/>
              </w:rPr>
            </w:pPr>
          </w:p>
        </w:tc>
        <w:tc>
          <w:tcPr>
            <w:tcW w:w="120" w:type="dxa"/>
            <w:vAlign w:val="bottom"/>
            <w:tcBorders>
              <w:bottom w:val="single" w:sz="8" w:color="auto"/>
            </w:tcBorders>
            <w:shd w:val="clear" w:color="auto" w:fill="E0E0E0"/>
          </w:tcPr>
          <w:p>
            <w:pPr>
              <w:spacing w:after="0"/>
              <w:rPr>
                <w:sz w:val="21"/>
                <w:szCs w:val="21"/>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80" w:type="dxa"/>
            <w:vAlign w:val="bottom"/>
            <w:tcBorders>
              <w:bottom w:val="single" w:sz="8" w:color="E0E0E0"/>
            </w:tcBorders>
            <w:shd w:val="clear" w:color="auto" w:fill="E0E0E0"/>
          </w:tcPr>
          <w:p>
            <w:pPr>
              <w:spacing w:after="0"/>
              <w:rPr>
                <w:sz w:val="21"/>
                <w:szCs w:val="21"/>
                <w:color w:val="auto"/>
              </w:rPr>
            </w:pPr>
          </w:p>
        </w:tc>
        <w:tc>
          <w:tcPr>
            <w:tcW w:w="140" w:type="dxa"/>
            <w:vAlign w:val="bottom"/>
            <w:tcBorders>
              <w:bottom w:val="single" w:sz="8" w:color="E0E0E0"/>
            </w:tcBorders>
            <w:shd w:val="clear" w:color="auto" w:fill="E0E0E0"/>
          </w:tcPr>
          <w:p>
            <w:pPr>
              <w:spacing w:after="0"/>
              <w:rPr>
                <w:sz w:val="21"/>
                <w:szCs w:val="21"/>
                <w:color w:val="auto"/>
              </w:rPr>
            </w:pPr>
          </w:p>
        </w:tc>
        <w:tc>
          <w:tcPr>
            <w:tcW w:w="100" w:type="dxa"/>
            <w:vAlign w:val="bottom"/>
            <w:tcBorders>
              <w:bottom w:val="single" w:sz="8" w:color="auto"/>
            </w:tcBorders>
            <w:shd w:val="clear" w:color="auto" w:fill="E0E0E0"/>
          </w:tcPr>
          <w:p>
            <w:pPr>
              <w:spacing w:after="0"/>
              <w:rPr>
                <w:sz w:val="21"/>
                <w:szCs w:val="21"/>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90" w:type="dxa"/>
            <w:vAlign w:val="bottom"/>
            <w:tcBorders>
              <w:bottom w:val="single" w:sz="8" w:color="E0E0E0"/>
            </w:tcBorders>
            <w:shd w:val="clear" w:color="auto" w:fill="E0E0E0"/>
          </w:tcPr>
          <w:p>
            <w:pPr>
              <w:spacing w:after="0"/>
              <w:rPr>
                <w:sz w:val="21"/>
                <w:szCs w:val="21"/>
                <w:color w:val="auto"/>
              </w:rPr>
            </w:pPr>
          </w:p>
        </w:tc>
        <w:tc>
          <w:tcPr>
            <w:tcW w:w="130" w:type="dxa"/>
            <w:vAlign w:val="bottom"/>
            <w:tcBorders>
              <w:bottom w:val="single" w:sz="8" w:color="E0E0E0"/>
            </w:tcBorders>
            <w:shd w:val="clear" w:color="auto" w:fill="E0E0E0"/>
          </w:tcPr>
          <w:p>
            <w:pPr>
              <w:spacing w:after="0"/>
              <w:rPr>
                <w:sz w:val="21"/>
                <w:szCs w:val="21"/>
                <w:color w:val="auto"/>
              </w:rPr>
            </w:pPr>
          </w:p>
        </w:tc>
        <w:tc>
          <w:tcPr>
            <w:tcW w:w="260" w:type="dxa"/>
            <w:vAlign w:val="bottom"/>
            <w:tcBorders>
              <w:bottom w:val="single" w:sz="8" w:color="auto"/>
            </w:tcBorders>
            <w:shd w:val="clear" w:color="auto" w:fill="E0E0E0"/>
          </w:tcPr>
          <w:p>
            <w:pPr>
              <w:spacing w:after="0"/>
              <w:rPr>
                <w:sz w:val="21"/>
                <w:szCs w:val="21"/>
                <w:color w:val="auto"/>
              </w:rPr>
            </w:pPr>
          </w:p>
        </w:tc>
        <w:tc>
          <w:tcPr>
            <w:tcW w:w="8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80" w:type="dxa"/>
            <w:vAlign w:val="bottom"/>
            <w:tcBorders>
              <w:bottom w:val="single" w:sz="8" w:color="E0E0E0"/>
            </w:tcBorders>
            <w:shd w:val="clear" w:color="auto" w:fill="E0E0E0"/>
          </w:tcPr>
          <w:p>
            <w:pPr>
              <w:spacing w:after="0"/>
              <w:rPr>
                <w:sz w:val="21"/>
                <w:szCs w:val="21"/>
                <w:color w:val="auto"/>
              </w:rPr>
            </w:pPr>
          </w:p>
        </w:tc>
      </w:tr>
      <w:tr>
        <w:trPr>
          <w:trHeight w:val="214"/>
        </w:trPr>
        <w:tc>
          <w:tcPr>
            <w:tcW w:w="5360" w:type="dxa"/>
            <w:vAlign w:val="bottom"/>
            <w:tcBorders>
              <w:bottom w:val="single" w:sz="8" w:color="E0E0E0"/>
            </w:tcBorders>
          </w:tcPr>
          <w:p>
            <w:pPr>
              <w:ind w:left="600"/>
              <w:spacing w:after="0" w:line="214" w:lineRule="exact"/>
              <w:rPr>
                <w:sz w:val="20"/>
                <w:szCs w:val="20"/>
                <w:color w:val="auto"/>
              </w:rPr>
            </w:pPr>
            <w:r>
              <w:rPr>
                <w:rFonts w:ascii="Times New Roman" w:cs="Times New Roman" w:eastAsia="Times New Roman" w:hAnsi="Times New Roman"/>
                <w:sz w:val="20"/>
                <w:szCs w:val="20"/>
                <w:color w:val="auto"/>
              </w:rPr>
              <w:t>Net cash provided by financing activities</w:t>
            </w:r>
          </w:p>
        </w:tc>
        <w:tc>
          <w:tcPr>
            <w:tcW w:w="140" w:type="dxa"/>
            <w:vAlign w:val="bottom"/>
            <w:tcBorders>
              <w:bottom w:val="single" w:sz="8" w:color="E0E0E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505</w:t>
            </w:r>
          </w:p>
        </w:tc>
        <w:tc>
          <w:tcPr>
            <w:tcW w:w="80" w:type="dxa"/>
            <w:vAlign w:val="bottom"/>
            <w:tcBorders>
              <w:bottom w:val="single" w:sz="8" w:color="E0E0E0"/>
            </w:tcBorders>
          </w:tcPr>
          <w:p>
            <w:pPr>
              <w:spacing w:after="0"/>
              <w:rPr>
                <w:sz w:val="18"/>
                <w:szCs w:val="18"/>
                <w:color w:val="auto"/>
              </w:rPr>
            </w:pPr>
          </w:p>
        </w:tc>
        <w:tc>
          <w:tcPr>
            <w:tcW w:w="140" w:type="dxa"/>
            <w:vAlign w:val="bottom"/>
            <w:tcBorders>
              <w:bottom w:val="single" w:sz="8" w:color="E0E0E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313</w:t>
            </w:r>
          </w:p>
        </w:tc>
        <w:tc>
          <w:tcPr>
            <w:tcW w:w="90" w:type="dxa"/>
            <w:vAlign w:val="bottom"/>
            <w:tcBorders>
              <w:bottom w:val="single" w:sz="8" w:color="E0E0E0"/>
            </w:tcBorders>
          </w:tcPr>
          <w:p>
            <w:pPr>
              <w:spacing w:after="0"/>
              <w:rPr>
                <w:sz w:val="18"/>
                <w:szCs w:val="18"/>
                <w:color w:val="auto"/>
              </w:rPr>
            </w:pPr>
          </w:p>
        </w:tc>
        <w:tc>
          <w:tcPr>
            <w:tcW w:w="130" w:type="dxa"/>
            <w:vAlign w:val="bottom"/>
            <w:tcBorders>
              <w:bottom w:val="single" w:sz="8" w:color="E0E0E0"/>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35,577</w:t>
            </w:r>
          </w:p>
        </w:tc>
        <w:tc>
          <w:tcPr>
            <w:tcW w:w="80" w:type="dxa"/>
            <w:vAlign w:val="bottom"/>
            <w:tcBorders>
              <w:bottom w:val="single" w:sz="8" w:color="E0E0E0"/>
            </w:tcBorders>
          </w:tcPr>
          <w:p>
            <w:pPr>
              <w:spacing w:after="0"/>
              <w:rPr>
                <w:sz w:val="18"/>
                <w:szCs w:val="18"/>
                <w:color w:val="auto"/>
              </w:rPr>
            </w:pPr>
          </w:p>
        </w:tc>
      </w:tr>
      <w:tr>
        <w:trPr>
          <w:trHeight w:val="234"/>
        </w:trPr>
        <w:tc>
          <w:tcPr>
            <w:tcW w:w="5360" w:type="dxa"/>
            <w:vAlign w:val="bottom"/>
            <w:shd w:val="clear" w:color="auto" w:fill="E0E0E0"/>
          </w:tcPr>
          <w:p>
            <w:pPr>
              <w:ind w:left="600"/>
              <w:spacing w:after="0"/>
              <w:rPr>
                <w:sz w:val="20"/>
                <w:szCs w:val="20"/>
                <w:color w:val="auto"/>
              </w:rPr>
            </w:pPr>
            <w:r>
              <w:rPr>
                <w:rFonts w:ascii="Times New Roman" w:cs="Times New Roman" w:eastAsia="Times New Roman" w:hAnsi="Times New Roman"/>
                <w:sz w:val="20"/>
                <w:szCs w:val="20"/>
                <w:color w:val="auto"/>
              </w:rPr>
              <w:t>Impact of exchange rates on cash, cash equivalents, and</w:t>
            </w:r>
          </w:p>
        </w:tc>
        <w:tc>
          <w:tcPr>
            <w:tcW w:w="14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00" w:type="dxa"/>
            <w:vAlign w:val="bottom"/>
            <w:shd w:val="clear" w:color="auto" w:fill="E0E0E0"/>
          </w:tcPr>
          <w:p>
            <w:pPr>
              <w:spacing w:after="0"/>
              <w:rPr>
                <w:sz w:val="20"/>
                <w:szCs w:val="20"/>
                <w:color w:val="auto"/>
              </w:rPr>
            </w:pPr>
          </w:p>
        </w:tc>
        <w:tc>
          <w:tcPr>
            <w:tcW w:w="90" w:type="dxa"/>
            <w:vAlign w:val="bottom"/>
            <w:shd w:val="clear" w:color="auto" w:fill="E0E0E0"/>
          </w:tcPr>
          <w:p>
            <w:pPr>
              <w:spacing w:after="0"/>
              <w:rPr>
                <w:sz w:val="20"/>
                <w:szCs w:val="20"/>
                <w:color w:val="auto"/>
              </w:rPr>
            </w:pPr>
          </w:p>
        </w:tc>
        <w:tc>
          <w:tcPr>
            <w:tcW w:w="13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86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r>
      <w:tr>
        <w:trPr>
          <w:trHeight w:val="229"/>
        </w:trPr>
        <w:tc>
          <w:tcPr>
            <w:tcW w:w="5360" w:type="dxa"/>
            <w:vAlign w:val="bottom"/>
            <w:shd w:val="clear" w:color="auto" w:fill="E0E0E0"/>
          </w:tcPr>
          <w:p>
            <w:pPr>
              <w:ind w:left="600"/>
              <w:spacing w:after="0"/>
              <w:rPr>
                <w:sz w:val="20"/>
                <w:szCs w:val="20"/>
                <w:color w:val="auto"/>
              </w:rPr>
            </w:pPr>
            <w:r>
              <w:rPr>
                <w:rFonts w:ascii="Times New Roman" w:cs="Times New Roman" w:eastAsia="Times New Roman" w:hAnsi="Times New Roman"/>
                <w:sz w:val="20"/>
                <w:szCs w:val="20"/>
                <w:color w:val="auto"/>
              </w:rPr>
              <w:t>restricted cash</w:t>
            </w:r>
          </w:p>
        </w:tc>
        <w:tc>
          <w:tcPr>
            <w:tcW w:w="14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9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E0E0E0"/>
              </w:rPr>
              <w:t>)</w:t>
            </w:r>
          </w:p>
        </w:tc>
        <w:tc>
          <w:tcPr>
            <w:tcW w:w="13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shd w:val="clear" w:color="auto" w:fill="E0E0E0"/>
          </w:tcPr>
          <w:p>
            <w:pPr>
              <w:spacing w:after="0"/>
              <w:rPr>
                <w:sz w:val="19"/>
                <w:szCs w:val="19"/>
                <w:color w:val="auto"/>
              </w:rPr>
            </w:pPr>
          </w:p>
        </w:tc>
      </w:tr>
      <w:tr>
        <w:trPr>
          <w:trHeight w:val="244"/>
        </w:trPr>
        <w:tc>
          <w:tcPr>
            <w:tcW w:w="53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Net (decrease) increase in cash and cash equivalents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(2,893 )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2,348</w:t>
            </w:r>
          </w:p>
        </w:tc>
        <w:tc>
          <w:tcPr>
            <w:tcW w:w="9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(70,591 )</w:t>
            </w:r>
          </w:p>
        </w:tc>
      </w:tr>
      <w:tr>
        <w:trPr>
          <w:trHeight w:val="245"/>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tc>
        <w:tc>
          <w:tcPr>
            <w:tcW w:w="1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90" w:type="dxa"/>
            <w:vAlign w:val="bottom"/>
            <w:shd w:val="clear" w:color="auto" w:fill="E0E0E0"/>
          </w:tcPr>
          <w:p>
            <w:pPr>
              <w:spacing w:after="0"/>
              <w:rPr>
                <w:sz w:val="21"/>
                <w:szCs w:val="21"/>
                <w:color w:val="auto"/>
              </w:rPr>
            </w:pPr>
          </w:p>
        </w:tc>
        <w:tc>
          <w:tcPr>
            <w:tcW w:w="13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44"/>
        </w:trPr>
        <w:tc>
          <w:tcPr>
            <w:tcW w:w="53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 beginning of period</w:t>
            </w:r>
          </w:p>
        </w:tc>
        <w:tc>
          <w:tcPr>
            <w:tcW w:w="140" w:type="dxa"/>
            <w:vAlign w:val="bottom"/>
            <w:tcBorders>
              <w:bottom w:val="single" w:sz="8" w:color="E0E0E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40,876</w:t>
            </w:r>
          </w:p>
        </w:tc>
        <w:tc>
          <w:tcPr>
            <w:tcW w:w="8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38,528</w:t>
            </w:r>
          </w:p>
        </w:tc>
        <w:tc>
          <w:tcPr>
            <w:tcW w:w="90" w:type="dxa"/>
            <w:vAlign w:val="bottom"/>
            <w:tcBorders>
              <w:bottom w:val="single" w:sz="8" w:color="E0E0E0"/>
            </w:tcBorders>
          </w:tcPr>
          <w:p>
            <w:pPr>
              <w:spacing w:after="0"/>
              <w:rPr>
                <w:sz w:val="21"/>
                <w:szCs w:val="21"/>
                <w:color w:val="auto"/>
              </w:rPr>
            </w:pPr>
          </w:p>
        </w:tc>
        <w:tc>
          <w:tcPr>
            <w:tcW w:w="130" w:type="dxa"/>
            <w:vAlign w:val="bottom"/>
            <w:tcBorders>
              <w:bottom w:val="single" w:sz="8" w:color="E0E0E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109,119</w:t>
            </w:r>
          </w:p>
        </w:tc>
        <w:tc>
          <w:tcPr>
            <w:tcW w:w="80" w:type="dxa"/>
            <w:vAlign w:val="bottom"/>
            <w:tcBorders>
              <w:bottom w:val="single" w:sz="8" w:color="E0E0E0"/>
            </w:tcBorders>
          </w:tcPr>
          <w:p>
            <w:pPr>
              <w:spacing w:after="0"/>
              <w:rPr>
                <w:sz w:val="21"/>
                <w:szCs w:val="21"/>
                <w:color w:val="auto"/>
              </w:rPr>
            </w:pPr>
          </w:p>
        </w:tc>
      </w:tr>
      <w:tr>
        <w:trPr>
          <w:trHeight w:val="234"/>
        </w:trPr>
        <w:tc>
          <w:tcPr>
            <w:tcW w:w="5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 end of period</w:t>
            </w:r>
          </w:p>
        </w:tc>
        <w:tc>
          <w:tcPr>
            <w:tcW w:w="140" w:type="dxa"/>
            <w:vAlign w:val="bottom"/>
            <w:shd w:val="clear" w:color="auto" w:fill="E0E0E0"/>
          </w:tcPr>
          <w:p>
            <w:pPr>
              <w:spacing w:after="0"/>
              <w:rPr>
                <w:sz w:val="20"/>
                <w:szCs w:val="20"/>
                <w:color w:val="auto"/>
              </w:rPr>
            </w:pPr>
          </w:p>
        </w:tc>
        <w:tc>
          <w:tcPr>
            <w:tcW w:w="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37,983</w:t>
            </w:r>
          </w:p>
        </w:tc>
        <w:tc>
          <w:tcPr>
            <w:tcW w:w="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40,876</w:t>
            </w:r>
          </w:p>
        </w:tc>
        <w:tc>
          <w:tcPr>
            <w:tcW w:w="90" w:type="dxa"/>
            <w:vAlign w:val="bottom"/>
            <w:shd w:val="clear" w:color="auto" w:fill="E0E0E0"/>
          </w:tcPr>
          <w:p>
            <w:pPr>
              <w:spacing w:after="0"/>
              <w:rPr>
                <w:sz w:val="20"/>
                <w:szCs w:val="20"/>
                <w:color w:val="auto"/>
              </w:rPr>
            </w:pPr>
          </w:p>
        </w:tc>
        <w:tc>
          <w:tcPr>
            <w:tcW w:w="130" w:type="dxa"/>
            <w:vAlign w:val="bottom"/>
            <w:shd w:val="clear" w:color="auto" w:fill="E0E0E0"/>
          </w:tcPr>
          <w:p>
            <w:pPr>
              <w:spacing w:after="0"/>
              <w:rPr>
                <w:sz w:val="20"/>
                <w:szCs w:val="20"/>
                <w:color w:val="auto"/>
              </w:rPr>
            </w:pPr>
          </w:p>
        </w:tc>
        <w:tc>
          <w:tcPr>
            <w:tcW w:w="260" w:type="dxa"/>
            <w:vAlign w:val="bottom"/>
            <w:tcBorders>
              <w:bottom w:val="single" w:sz="8" w:color="auto"/>
            </w:tcBorders>
            <w:shd w:val="clear" w:color="auto" w:fill="E0E0E0"/>
          </w:tcPr>
          <w:p>
            <w:pPr>
              <w:spacing w:after="0"/>
              <w:rPr>
                <w:sz w:val="20"/>
                <w:szCs w:val="20"/>
                <w:color w:val="auto"/>
              </w:rPr>
            </w:pPr>
          </w:p>
        </w:tc>
        <w:tc>
          <w:tcPr>
            <w:tcW w:w="8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38,528</w:t>
            </w:r>
          </w:p>
        </w:tc>
        <w:tc>
          <w:tcPr>
            <w:tcW w:w="80" w:type="dxa"/>
            <w:vAlign w:val="bottom"/>
            <w:shd w:val="clear" w:color="auto" w:fill="E0E0E0"/>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-4387215</wp:posOffset>
                </wp:positionV>
                <wp:extent cx="59436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5.4499pt" to="468pt,-345.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-4077335</wp:posOffset>
                </wp:positionV>
                <wp:extent cx="59436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1.0499pt" to="468pt,-321.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-339090</wp:posOffset>
                </wp:positionV>
                <wp:extent cx="59436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6999pt" to="468pt,-26.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3494405</wp:posOffset>
                </wp:positionH>
                <wp:positionV relativeFrom="paragraph">
                  <wp:posOffset>4445</wp:posOffset>
                </wp:positionV>
                <wp:extent cx="70612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6120"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15pt,0.35pt" to="330.75pt,0.35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4337685</wp:posOffset>
                </wp:positionH>
                <wp:positionV relativeFrom="paragraph">
                  <wp:posOffset>4445</wp:posOffset>
                </wp:positionV>
                <wp:extent cx="70675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6755"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55pt,0.35pt" to="397.2pt,0.35pt" o:allowincell="f" strokecolor="#FFFFFF" strokeweight="0.78pt"/>
            </w:pict>
          </mc:Fallback>
        </mc:AlternateContent>
        <mc:AlternateContent>
          <mc:Choice Requires="wps">
            <w:drawing>
              <wp:anchor simplePos="0" relativeHeight="251657728" behindDoc="1" locked="0" layoutInCell="0" allowOverlap="1">
                <wp:simplePos x="0" y="0"/>
                <wp:positionH relativeFrom="column">
                  <wp:posOffset>5182235</wp:posOffset>
                </wp:positionH>
                <wp:positionV relativeFrom="paragraph">
                  <wp:posOffset>4445</wp:posOffset>
                </wp:positionV>
                <wp:extent cx="70612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6120"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05pt,0.35pt" to="463.65pt,0.35pt" o:allowincell="f" strokecolor="#FFFFFF" strokeweight="0.78pt"/>
            </w:pict>
          </mc:Fallback>
        </mc:AlternateContent>
      </w:r>
    </w:p>
    <w:p>
      <w:pPr>
        <w:spacing w:after="0"/>
        <w:rPr>
          <w:sz w:val="20"/>
          <w:szCs w:val="20"/>
          <w:color w:val="auto"/>
        </w:rPr>
      </w:pPr>
      <w:r>
        <w:rPr>
          <w:rFonts w:ascii="Times New Roman" w:cs="Times New Roman" w:eastAsia="Times New Roman" w:hAnsi="Times New Roman"/>
          <w:sz w:val="20"/>
          <w:szCs w:val="20"/>
          <w:b w:val="1"/>
          <w:bCs w:val="1"/>
          <w:color w:val="auto"/>
        </w:rPr>
        <w:t>Supplemental disclosures of noncash investing activities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5943600" cy="15557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155575"/>
                        </a:xfrm>
                        <a:prstGeom prst="rect">
                          <a:avLst/>
                        </a:prstGeom>
                        <a:solidFill>
                          <a:srgbClr val="E0E0E0"/>
                        </a:solidFill>
                      </wps:spPr>
                      <wps:bodyPr/>
                    </wps:wsp>
                  </a:graphicData>
                </a:graphic>
              </wp:anchor>
            </w:drawing>
          </mc:Choice>
          <mc:Fallback>
            <w:pict>
              <v:rect id="Shape 51" o:spid="_x0000_s1076" style="position:absolute;margin-left:0pt;margin-top:0.75pt;width:468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3404870" cy="14605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04870" cy="146050"/>
                        </a:xfrm>
                        <a:prstGeom prst="rect">
                          <a:avLst/>
                        </a:prstGeom>
                        <a:solidFill>
                          <a:srgbClr val="E0E0E0"/>
                        </a:solidFill>
                      </wps:spPr>
                      <wps:bodyPr/>
                    </wps:wsp>
                  </a:graphicData>
                </a:graphic>
              </wp:anchor>
            </w:drawing>
          </mc:Choice>
          <mc:Fallback>
            <w:pict>
              <v:rect id="Shape 52" o:spid="_x0000_s1077" style="position:absolute;margin-left:0pt;margin-top:1.45pt;width:268.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3566795</wp:posOffset>
                </wp:positionH>
                <wp:positionV relativeFrom="paragraph">
                  <wp:posOffset>18415</wp:posOffset>
                </wp:positionV>
                <wp:extent cx="624840" cy="14605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840" cy="146050"/>
                        </a:xfrm>
                        <a:prstGeom prst="rect">
                          <a:avLst/>
                        </a:prstGeom>
                        <a:solidFill>
                          <a:srgbClr val="E0E0E0"/>
                        </a:solidFill>
                      </wps:spPr>
                      <wps:bodyPr/>
                    </wps:wsp>
                  </a:graphicData>
                </a:graphic>
              </wp:anchor>
            </w:drawing>
          </mc:Choice>
          <mc:Fallback>
            <w:pict>
              <v:rect id="Shape 53" o:spid="_x0000_s1078" style="position:absolute;margin-left:280.85pt;margin-top:1.45pt;width:49.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4410075</wp:posOffset>
                </wp:positionH>
                <wp:positionV relativeFrom="paragraph">
                  <wp:posOffset>18415</wp:posOffset>
                </wp:positionV>
                <wp:extent cx="624840" cy="14605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840" cy="146050"/>
                        </a:xfrm>
                        <a:prstGeom prst="rect">
                          <a:avLst/>
                        </a:prstGeom>
                        <a:solidFill>
                          <a:srgbClr val="E0E0E0"/>
                        </a:solidFill>
                      </wps:spPr>
                      <wps:bodyPr/>
                    </wps:wsp>
                  </a:graphicData>
                </a:graphic>
              </wp:anchor>
            </w:drawing>
          </mc:Choice>
          <mc:Fallback>
            <w:pict>
              <v:rect id="Shape 54" o:spid="_x0000_s1079" style="position:absolute;margin-left:347.25pt;margin-top:1.45pt;width:49.2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5254625</wp:posOffset>
                </wp:positionH>
                <wp:positionV relativeFrom="paragraph">
                  <wp:posOffset>18415</wp:posOffset>
                </wp:positionV>
                <wp:extent cx="625475" cy="14605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475" cy="146050"/>
                        </a:xfrm>
                        <a:prstGeom prst="rect">
                          <a:avLst/>
                        </a:prstGeom>
                        <a:solidFill>
                          <a:srgbClr val="E0E0E0"/>
                        </a:solidFill>
                      </wps:spPr>
                      <wps:bodyPr/>
                    </wps:wsp>
                  </a:graphicData>
                </a:graphic>
              </wp:anchor>
            </w:drawing>
          </mc:Choice>
          <mc:Fallback>
            <w:pict>
              <v:rect id="Shape 55" o:spid="_x0000_s1080" style="position:absolute;margin-left:413.75pt;margin-top:1.45pt;width:49.2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59436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E0E0E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468pt,1.15pt" o:allowincell="f" strokecolor="#E0E0E0" strokeweight="0.72pt"/>
            </w:pict>
          </mc:Fallback>
        </mc:AlternateContent>
      </w:r>
    </w:p>
    <w:p>
      <w:pPr>
        <w:spacing w:after="0"/>
        <w:tabs>
          <w:tab w:leader="none" w:pos="6380" w:val="left"/>
          <w:tab w:leader="none" w:pos="7720" w:val="left"/>
          <w:tab w:leader="none" w:pos="9140" w:val="left"/>
        </w:tabs>
        <w:rPr>
          <w:sz w:val="20"/>
          <w:szCs w:val="20"/>
          <w:color w:val="auto"/>
        </w:rPr>
      </w:pPr>
      <w:r>
        <w:rPr>
          <w:rFonts w:ascii="Times New Roman" w:cs="Times New Roman" w:eastAsia="Times New Roman" w:hAnsi="Times New Roman"/>
          <w:sz w:val="20"/>
          <w:szCs w:val="20"/>
          <w:color w:val="auto"/>
        </w:rPr>
        <w:t xml:space="preserve">Accrued purchases of property and equipment                </w:t>
      </w:r>
      <w:r>
        <w:rPr>
          <w:sz w:val="1"/>
          <w:szCs w:val="1"/>
          <w:color w:val="auto"/>
        </w:rPr>
        <w:drawing>
          <wp:inline distT="0" distB="0" distL="0" distR="0">
            <wp:extent cx="71120" cy="1460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
                      <a:extLst>
                        <a:ext uri="{28A0092B-C50C-407E-A947-70E740481C1C}"/>
                      </a:extLst>
                    </a:blip>
                    <a:srcRect/>
                    <a:stretch>
                      <a:fillRect/>
                    </a:stretch>
                  </pic:blipFill>
                  <pic:spPr bwMode="auto">
                    <a:xfrm>
                      <a:off x="0" y="0"/>
                      <a:ext cx="71120" cy="146050"/>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E0E0E0"/>
        </w:rPr>
        <w:t>$</w:t>
      </w:r>
      <w:r>
        <w:rPr>
          <w:sz w:val="20"/>
          <w:szCs w:val="20"/>
          <w:color w:val="auto"/>
        </w:rPr>
        <w:tab/>
      </w:r>
      <w:r>
        <w:rPr>
          <w:rFonts w:ascii="Times New Roman" w:cs="Times New Roman" w:eastAsia="Times New Roman" w:hAnsi="Times New Roman"/>
          <w:sz w:val="20"/>
          <w:szCs w:val="20"/>
          <w:color w:val="auto"/>
        </w:rPr>
        <w:t>—</w:t>
      </w:r>
      <w:r>
        <w:rPr>
          <w:sz w:val="1"/>
          <w:szCs w:val="1"/>
          <w:color w:val="auto"/>
        </w:rPr>
        <w:drawing>
          <wp:inline distT="0" distB="0" distL="0" distR="0">
            <wp:extent cx="46990" cy="1460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
                      <a:extLst>
                        <a:ext uri="{28A0092B-C50C-407E-A947-70E740481C1C}"/>
                      </a:extLst>
                    </a:blip>
                    <a:srcRect/>
                    <a:stretch>
                      <a:fillRect/>
                    </a:stretch>
                  </pic:blipFill>
                  <pic:spPr bwMode="auto">
                    <a:xfrm>
                      <a:off x="0" y="0"/>
                      <a:ext cx="46990" cy="146050"/>
                    </a:xfrm>
                    <a:prstGeom prst="rect">
                      <a:avLst/>
                    </a:prstGeom>
                    <a:noFill/>
                    <a:ln>
                      <a:noFill/>
                    </a:ln>
                  </pic:spPr>
                </pic:pic>
              </a:graphicData>
            </a:graphic>
          </wp:inline>
        </w:drawing>
        <w:drawing>
          <wp:inline distT="0" distB="0" distL="0" distR="0">
            <wp:extent cx="71755" cy="1460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
                      <a:extLst>
                        <a:ext uri="{28A0092B-C50C-407E-A947-70E740481C1C}"/>
                      </a:extLst>
                    </a:blip>
                    <a:srcRect/>
                    <a:stretch>
                      <a:fillRect/>
                    </a:stretch>
                  </pic:blipFill>
                  <pic:spPr bwMode="auto">
                    <a:xfrm>
                      <a:off x="0" y="0"/>
                      <a:ext cx="71755" cy="146050"/>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E0E0E0"/>
        </w:rPr>
        <w:t>$</w:t>
      </w:r>
      <w:r>
        <w:rPr>
          <w:sz w:val="20"/>
          <w:szCs w:val="20"/>
          <w:color w:val="auto"/>
        </w:rPr>
        <w:tab/>
      </w:r>
      <w:r>
        <w:rPr>
          <w:rFonts w:ascii="Times New Roman" w:cs="Times New Roman" w:eastAsia="Times New Roman" w:hAnsi="Times New Roman"/>
          <w:sz w:val="20"/>
          <w:szCs w:val="20"/>
          <w:color w:val="auto"/>
        </w:rPr>
        <w:t>—</w:t>
      </w:r>
      <w:r>
        <w:rPr>
          <w:sz w:val="1"/>
          <w:szCs w:val="1"/>
          <w:color w:val="auto"/>
        </w:rPr>
        <w:drawing>
          <wp:inline distT="0" distB="0" distL="0" distR="0">
            <wp:extent cx="48260" cy="1460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
                      <a:extLst>
                        <a:ext uri="{28A0092B-C50C-407E-A947-70E740481C1C}"/>
                      </a:extLst>
                    </a:blip>
                    <a:srcRect/>
                    <a:stretch>
                      <a:fillRect/>
                    </a:stretch>
                  </pic:blipFill>
                  <pic:spPr bwMode="auto">
                    <a:xfrm>
                      <a:off x="0" y="0"/>
                      <a:ext cx="48260" cy="146050"/>
                    </a:xfrm>
                    <a:prstGeom prst="rect">
                      <a:avLst/>
                    </a:prstGeom>
                    <a:noFill/>
                    <a:ln>
                      <a:noFill/>
                    </a:ln>
                  </pic:spPr>
                </pic:pic>
              </a:graphicData>
            </a:graphic>
          </wp:inline>
        </w:drawing>
        <w:drawing>
          <wp:inline distT="0" distB="0" distL="0" distR="0">
            <wp:extent cx="71755" cy="1460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
                      <a:extLst>
                        <a:ext uri="{28A0092B-C50C-407E-A947-70E740481C1C}"/>
                      </a:extLst>
                    </a:blip>
                    <a:srcRect/>
                    <a:stretch>
                      <a:fillRect/>
                    </a:stretch>
                  </pic:blipFill>
                  <pic:spPr bwMode="auto">
                    <a:xfrm>
                      <a:off x="0" y="0"/>
                      <a:ext cx="71755" cy="146050"/>
                    </a:xfrm>
                    <a:prstGeom prst="rect">
                      <a:avLst/>
                    </a:prstGeom>
                    <a:noFill/>
                    <a:ln>
                      <a:noFill/>
                    </a:ln>
                  </pic:spPr>
                </pic:pic>
              </a:graphicData>
            </a:graphic>
          </wp:inline>
        </w:drawing>
      </w:r>
      <w:r>
        <w:rPr>
          <w:rFonts w:ascii="Times New Roman" w:cs="Times New Roman" w:eastAsia="Times New Roman" w:hAnsi="Times New Roman"/>
          <w:sz w:val="20"/>
          <w:szCs w:val="20"/>
          <w:color w:val="auto"/>
          <w:shd w:val="clear" w:color="auto" w:fill="E0E0E0"/>
        </w:rPr>
        <w:t>$</w:t>
      </w:r>
      <w:r>
        <w:rPr>
          <w:sz w:val="20"/>
          <w:szCs w:val="20"/>
          <w:color w:val="auto"/>
        </w:rPr>
        <w:tab/>
      </w:r>
      <w:r>
        <w:rPr>
          <w:rFonts w:ascii="Times New Roman" w:cs="Times New Roman" w:eastAsia="Times New Roman" w:hAnsi="Times New Roman"/>
          <w:sz w:val="13"/>
          <w:szCs w:val="13"/>
          <w:color w:val="auto"/>
        </w:rPr>
        <w:t>6</w:t>
      </w:r>
      <w:r>
        <w:rPr>
          <w:sz w:val="1"/>
          <w:szCs w:val="1"/>
          <w:color w:val="auto"/>
        </w:rPr>
        <w:drawing>
          <wp:inline distT="0" distB="0" distL="0" distR="0">
            <wp:extent cx="45720" cy="1460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
                      <a:extLst>
                        <a:ext uri="{28A0092B-C50C-407E-A947-70E740481C1C}"/>
                      </a:extLst>
                    </a:blip>
                    <a:srcRect/>
                    <a:stretch>
                      <a:fillRect/>
                    </a:stretch>
                  </pic:blipFill>
                  <pic:spPr bwMode="auto">
                    <a:xfrm>
                      <a:off x="0" y="0"/>
                      <a:ext cx="45720" cy="146050"/>
                    </a:xfrm>
                    <a:prstGeom prst="rect">
                      <a:avLst/>
                    </a:prstGeom>
                    <a:noFill/>
                    <a:ln>
                      <a:noFill/>
                    </a:ln>
                  </pic:spPr>
                </pic:pic>
              </a:graphicData>
            </a:graphic>
          </wp:inline>
        </w:drawing>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360"/>
          </w:cols>
          <w:pgMar w:left="1440" w:top="1416" w:right="1440" w:bottom="175"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 Formation and Business of the Company</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Organization and Liquidity</w:t>
      </w:r>
    </w:p>
    <w:p>
      <w:pPr>
        <w:spacing w:after="0" w:line="119"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The Company’s headquarters are located at 400 Alexander Park Drive, Suite 301, Princeton, New Jersey.</w:t>
      </w:r>
    </w:p>
    <w:p>
      <w:pPr>
        <w:spacing w:after="0" w:line="7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The Company is subject to risks and uncertainties common to clinical 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5"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Company has incurred net losses and negative cash flows from operations since its inception. During the year ended December 31, 2025, the Company incurred a net loss of $77,742 and used $73,577 of cash for operations. As of December 31, 2025, the Company had an accumulated deficit of $446,454. Cash, cash equivalents, and marketable securities were $112,943 as of December 31, 2025.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the next 12 months from the date of issuance of these consolidated financial statements.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 Summary of Significant Accounting Policies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20" w:lineRule="exact"/>
        <w:rPr>
          <w:sz w:val="20"/>
          <w:szCs w:val="20"/>
          <w:color w:val="auto"/>
        </w:rPr>
      </w:pPr>
    </w:p>
    <w:p>
      <w:pPr>
        <w:ind w:right="200" w:firstLine="619"/>
        <w:spacing w:after="0" w:line="252" w:lineRule="auto"/>
        <w:rPr>
          <w:sz w:val="20"/>
          <w:szCs w:val="20"/>
          <w:color w:val="auto"/>
        </w:rPr>
      </w:pPr>
      <w:r>
        <w:rPr>
          <w:rFonts w:ascii="Times New Roman" w:cs="Times New Roman" w:eastAsia="Times New Roman" w:hAnsi="Times New Roman"/>
          <w:sz w:val="20"/>
          <w:szCs w:val="20"/>
          <w:color w:val="auto"/>
        </w:rPr>
        <w:t>The audited consolidated financial statements are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w:t>
      </w:r>
    </w:p>
    <w:p>
      <w:pPr>
        <w:spacing w:after="0" w:line="74" w:lineRule="exact"/>
        <w:rPr>
          <w:sz w:val="20"/>
          <w:szCs w:val="20"/>
          <w:color w:val="auto"/>
        </w:rPr>
      </w:pPr>
    </w:p>
    <w:p>
      <w:pPr>
        <w:ind w:right="20" w:firstLine="619"/>
        <w:spacing w:after="0" w:line="252"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Company’s accounts and the accounts of its wholly owned subsidiary, PMV Pharma Australia Pvt Ltd. All significant intercompany transactions and balances have been eliminated upon consolidation. These consolidated financial statements are presented in United States (“U.S.”) Dollars, which is also the functional currency of the Company.</w:t>
      </w:r>
    </w:p>
    <w:p>
      <w:pPr>
        <w:spacing w:after="0" w:line="75" w:lineRule="exact"/>
        <w:rPr>
          <w:sz w:val="20"/>
          <w:szCs w:val="20"/>
          <w:color w:val="auto"/>
        </w:rPr>
      </w:pPr>
    </w:p>
    <w:p>
      <w:pPr>
        <w:jc w:val="both"/>
        <w:ind w:right="200" w:firstLine="619"/>
        <w:spacing w:after="0" w:line="252" w:lineRule="auto"/>
        <w:rPr>
          <w:sz w:val="20"/>
          <w:szCs w:val="20"/>
          <w:color w:val="auto"/>
        </w:rPr>
      </w:pPr>
      <w:r>
        <w:rPr>
          <w:rFonts w:ascii="Times New Roman" w:cs="Times New Roman" w:eastAsia="Times New Roman" w:hAnsi="Times New Roman"/>
          <w:sz w:val="20"/>
          <w:szCs w:val="20"/>
          <w:color w:val="auto"/>
        </w:rPr>
        <w:t>These consolidated financial statements have been prepared on a going concern basis, which contemplates the realization of assets and the satisfaction of liabilities and commitments in the ordinary course of business. The Company has limited operating history and its prospects are subject to risks, expenses and uncertainties frequently encountered by companies in the biotechnology industry.</w:t>
      </w:r>
    </w:p>
    <w:p>
      <w:pPr>
        <w:spacing w:after="0" w:line="3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21"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reported amounts of revenues and expenses during the reporting period. The Company bases its estimates and assumptions on historical experience when available and on various factors that it believes to be reasonable under the circumstances.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360"/>
          </w:cols>
          <w:pgMar w:left="1440" w:top="1416" w:right="1440" w:bottom="175" w:gutter="0" w:footer="0" w:header="0"/>
        </w:sectPr>
      </w:pPr>
    </w:p>
    <w:bookmarkStart w:id="114" w:name="page115"/>
    <w:bookmarkEnd w:id="114"/>
    <w:p>
      <w:pPr>
        <w:ind w:right="240"/>
        <w:spacing w:after="0" w:line="258" w:lineRule="auto"/>
        <w:rPr>
          <w:sz w:val="20"/>
          <w:szCs w:val="20"/>
          <w:color w:val="auto"/>
        </w:rPr>
      </w:pPr>
      <w:r>
        <w:rPr>
          <w:rFonts w:ascii="Times New Roman" w:cs="Times New Roman" w:eastAsia="Times New Roman" w:hAnsi="Times New Roman"/>
          <w:sz w:val="20"/>
          <w:szCs w:val="20"/>
          <w:color w:val="auto"/>
        </w:rPr>
        <w:t>Significant estimates and assumptions reflected in these consolidated financial statements include, but are not limited to, research and development costs, accrued research and development costs and related prepaid expenses, and stock-based compensation. Actual results could differ materially from those estimates.</w:t>
      </w:r>
    </w:p>
    <w:p>
      <w:pPr>
        <w:spacing w:after="0" w:line="3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19"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95" w:lineRule="exact"/>
        <w:rPr>
          <w:sz w:val="20"/>
          <w:szCs w:val="20"/>
          <w:color w:val="auto"/>
        </w:rPr>
      </w:pPr>
    </w:p>
    <w:p>
      <w:pPr>
        <w:ind w:left="900" w:right="280" w:hanging="281"/>
        <w:spacing w:after="0" w:line="276" w:lineRule="auto"/>
        <w:tabs>
          <w:tab w:leader="none" w:pos="90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Level 1 - Inputs that reflect unadjusted quoted prices in active markets for identical assets or liabilities that the Company has the ability to access at the measurement date.</w:t>
      </w:r>
    </w:p>
    <w:p>
      <w:pPr>
        <w:spacing w:after="0" w:line="64" w:lineRule="exact"/>
        <w:rPr>
          <w:rFonts w:ascii="Arial" w:cs="Arial" w:eastAsia="Arial" w:hAnsi="Arial"/>
          <w:sz w:val="20"/>
          <w:szCs w:val="20"/>
          <w:color w:val="auto"/>
        </w:rPr>
      </w:pPr>
    </w:p>
    <w:p>
      <w:pPr>
        <w:ind w:left="900" w:right="360" w:hanging="281"/>
        <w:spacing w:after="0" w:line="277" w:lineRule="auto"/>
        <w:tabs>
          <w:tab w:leader="none" w:pos="90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Level 2 - Inputs other than quoted prices that are observable for the asset or liability either directly or indirectly, including inputs in markets that are not considered to be active.</w:t>
      </w:r>
    </w:p>
    <w:p>
      <w:pPr>
        <w:spacing w:after="0" w:line="62" w:lineRule="exact"/>
        <w:rPr>
          <w:rFonts w:ascii="Arial" w:cs="Arial" w:eastAsia="Arial" w:hAnsi="Arial"/>
          <w:sz w:val="20"/>
          <w:szCs w:val="20"/>
          <w:color w:val="auto"/>
        </w:rPr>
      </w:pPr>
    </w:p>
    <w:p>
      <w:pPr>
        <w:ind w:left="900" w:right="260" w:hanging="281"/>
        <w:spacing w:after="0" w:line="277" w:lineRule="auto"/>
        <w:tabs>
          <w:tab w:leader="none" w:pos="90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Level 3 - Inputs are unobservable in which there is little or no market data available, which require the reporting entity to develop its own assumptions that are unobservable.</w:t>
      </w:r>
    </w:p>
    <w:p>
      <w:pPr>
        <w:spacing w:after="0" w:line="169"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0"/>
          <w:szCs w:val="20"/>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3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Marketable Securities</w:t>
      </w:r>
    </w:p>
    <w:p>
      <w:pPr>
        <w:spacing w:after="0" w:line="120" w:lineRule="exact"/>
        <w:rPr>
          <w:sz w:val="20"/>
          <w:szCs w:val="20"/>
          <w:color w:val="auto"/>
        </w:rPr>
      </w:pPr>
    </w:p>
    <w:p>
      <w:pPr>
        <w:ind w:right="320" w:firstLine="619"/>
        <w:spacing w:after="0" w:line="277" w:lineRule="auto"/>
        <w:rPr>
          <w:sz w:val="20"/>
          <w:szCs w:val="20"/>
          <w:color w:val="auto"/>
        </w:rPr>
      </w:pPr>
      <w:r>
        <w:rPr>
          <w:rFonts w:ascii="Times New Roman" w:cs="Times New Roman" w:eastAsia="Times New Roman" w:hAnsi="Times New Roman"/>
          <w:sz w:val="20"/>
          <w:szCs w:val="20"/>
          <w:color w:val="auto"/>
        </w:rPr>
        <w:t>Management considers all highly liquid investments with original maturities of three months or less to be cash equivalents.</w:t>
      </w:r>
    </w:p>
    <w:p>
      <w:pPr>
        <w:spacing w:after="0" w:line="169" w:lineRule="exact"/>
        <w:rPr>
          <w:sz w:val="20"/>
          <w:szCs w:val="20"/>
          <w:color w:val="auto"/>
        </w:rPr>
      </w:pPr>
    </w:p>
    <w:p>
      <w:pPr>
        <w:ind w:right="100" w:firstLine="620"/>
        <w:spacing w:after="0" w:line="244" w:lineRule="auto"/>
        <w:rPr>
          <w:sz w:val="20"/>
          <w:szCs w:val="20"/>
          <w:color w:val="auto"/>
        </w:rPr>
      </w:pPr>
      <w:r>
        <w:rPr>
          <w:rFonts w:ascii="Times New Roman" w:cs="Times New Roman" w:eastAsia="Times New Roman" w:hAnsi="Times New Roman"/>
          <w:sz w:val="20"/>
          <w:szCs w:val="20"/>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years ended December 31, 2025, 2024, and 2023, the Company recorded $2,771 of accretion, $5,371 of accretion, and $5,386 of accretion, respectively.</w:t>
      </w:r>
    </w:p>
    <w:p>
      <w:pPr>
        <w:spacing w:after="0" w:line="3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0F0F0F"/>
        </w:rPr>
        <w:t>Comprehensive Loss and Accumulated Other Comprehensive Income (Loss)</w:t>
      </w:r>
    </w:p>
    <w:p>
      <w:pPr>
        <w:spacing w:after="0" w:line="121" w:lineRule="exact"/>
        <w:rPr>
          <w:sz w:val="20"/>
          <w:szCs w:val="20"/>
          <w:color w:val="auto"/>
        </w:rPr>
      </w:pPr>
    </w:p>
    <w:p>
      <w:pPr>
        <w:jc w:val="both"/>
        <w:ind w:right="120" w:firstLine="619"/>
        <w:spacing w:after="0" w:line="258" w:lineRule="auto"/>
        <w:rPr>
          <w:sz w:val="20"/>
          <w:szCs w:val="20"/>
          <w:color w:val="auto"/>
        </w:rPr>
      </w:pPr>
      <w:r>
        <w:rPr>
          <w:rFonts w:ascii="Times New Roman" w:cs="Times New Roman" w:eastAsia="Times New Roman" w:hAnsi="Times New Roman"/>
          <w:sz w:val="20"/>
          <w:szCs w:val="20"/>
          <w:color w:val="auto"/>
        </w:rPr>
        <w:t>Other comprehensive income (loss) is defined as the change in equity during a period from transactions and other events and circumstances from non-owner sources, including unrealized gains and losses on investments and foreign currency translation gains and losses.</w:t>
      </w:r>
    </w:p>
    <w:p>
      <w:pPr>
        <w:spacing w:after="0" w:line="3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0F0F0F"/>
        </w:rPr>
        <w:t>Leases</w:t>
      </w:r>
    </w:p>
    <w:p>
      <w:pPr>
        <w:spacing w:after="0" w:line="119" w:lineRule="exact"/>
        <w:rPr>
          <w:sz w:val="20"/>
          <w:szCs w:val="20"/>
          <w:color w:val="auto"/>
        </w:rPr>
      </w:pPr>
    </w:p>
    <w:p>
      <w:pPr>
        <w:ind w:right="140" w:firstLine="490"/>
        <w:spacing w:after="0" w:line="263" w:lineRule="auto"/>
        <w:rPr>
          <w:sz w:val="20"/>
          <w:szCs w:val="20"/>
          <w:color w:val="auto"/>
        </w:rPr>
      </w:pPr>
      <w:r>
        <w:rPr>
          <w:rFonts w:ascii="Times New Roman" w:cs="Times New Roman" w:eastAsia="Times New Roman" w:hAnsi="Times New Roman"/>
          <w:sz w:val="19"/>
          <w:szCs w:val="19"/>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certain to exercise. The Company’s policy is to not record leases with a</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360"/>
          </w:cols>
          <w:pgMar w:left="1440" w:top="1420" w:right="1440" w:bottom="175" w:gutter="0" w:footer="0" w:header="0"/>
        </w:sectPr>
      </w:pPr>
    </w:p>
    <w:bookmarkStart w:id="115" w:name="page116"/>
    <w:bookmarkEnd w:id="115"/>
    <w:p>
      <w:pPr>
        <w:ind w:right="760"/>
        <w:spacing w:after="0" w:line="277" w:lineRule="auto"/>
        <w:rPr>
          <w:sz w:val="20"/>
          <w:szCs w:val="20"/>
          <w:color w:val="auto"/>
        </w:rPr>
      </w:pPr>
      <w:r>
        <w:rPr>
          <w:rFonts w:ascii="Times New Roman" w:cs="Times New Roman" w:eastAsia="Times New Roman" w:hAnsi="Times New Roman"/>
          <w:sz w:val="20"/>
          <w:szCs w:val="20"/>
          <w:color w:val="auto"/>
        </w:rPr>
        <w:t>lease term of 12 months or less on its balance sheets. The Company’s only existing leases are for office and laboratory space.</w:t>
      </w:r>
    </w:p>
    <w:p>
      <w:pPr>
        <w:spacing w:after="0" w:line="169" w:lineRule="exact"/>
        <w:rPr>
          <w:sz w:val="20"/>
          <w:szCs w:val="20"/>
          <w:color w:val="auto"/>
        </w:rPr>
      </w:pPr>
    </w:p>
    <w:p>
      <w:pPr>
        <w:ind w:right="100" w:firstLine="619"/>
        <w:spacing w:after="0" w:line="252" w:lineRule="auto"/>
        <w:rPr>
          <w:sz w:val="20"/>
          <w:szCs w:val="20"/>
          <w:color w:val="auto"/>
        </w:rPr>
      </w:pPr>
      <w:r>
        <w:rPr>
          <w:rFonts w:ascii="Times New Roman" w:cs="Times New Roman" w:eastAsia="Times New Roman" w:hAnsi="Times New Roman"/>
          <w:sz w:val="20"/>
          <w:szCs w:val="20"/>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195" w:lineRule="exact"/>
        <w:rPr>
          <w:sz w:val="20"/>
          <w:szCs w:val="20"/>
          <w:color w:val="auto"/>
        </w:rPr>
      </w:pPr>
    </w:p>
    <w:p>
      <w:pPr>
        <w:ind w:right="280" w:firstLine="619"/>
        <w:spacing w:after="0" w:line="277" w:lineRule="auto"/>
        <w:rPr>
          <w:sz w:val="20"/>
          <w:szCs w:val="20"/>
          <w:color w:val="auto"/>
        </w:rPr>
      </w:pPr>
      <w:r>
        <w:rPr>
          <w:rFonts w:ascii="Times New Roman" w:cs="Times New Roman" w:eastAsia="Times New Roman" w:hAnsi="Times New Roman"/>
          <w:sz w:val="20"/>
          <w:szCs w:val="20"/>
          <w:color w:val="auto"/>
        </w:rPr>
        <w:t>Lease expense for operating leases is recognized on a straight-line basis over the reasonably assured lease term based on the total lease payments and is included in operating expense in the statements of operations.</w:t>
      </w:r>
    </w:p>
    <w:p>
      <w:pPr>
        <w:spacing w:after="0" w:line="169" w:lineRule="exact"/>
        <w:rPr>
          <w:sz w:val="20"/>
          <w:szCs w:val="20"/>
          <w:color w:val="auto"/>
        </w:rPr>
      </w:pPr>
    </w:p>
    <w:p>
      <w:pPr>
        <w:ind w:right="120" w:firstLine="619"/>
        <w:spacing w:after="0" w:line="252" w:lineRule="auto"/>
        <w:rPr>
          <w:sz w:val="20"/>
          <w:szCs w:val="20"/>
          <w:color w:val="auto"/>
        </w:rPr>
      </w:pPr>
      <w:r>
        <w:rPr>
          <w:rFonts w:ascii="Times New Roman" w:cs="Times New Roman" w:eastAsia="Times New Roman" w:hAnsi="Times New Roman"/>
          <w:sz w:val="20"/>
          <w:szCs w:val="20"/>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193" w:lineRule="exact"/>
        <w:rPr>
          <w:sz w:val="20"/>
          <w:szCs w:val="20"/>
          <w:color w:val="auto"/>
        </w:rPr>
      </w:pPr>
    </w:p>
    <w:p>
      <w:pPr>
        <w:ind w:right="20" w:firstLine="619"/>
        <w:spacing w:after="0" w:line="279" w:lineRule="auto"/>
        <w:rPr>
          <w:sz w:val="20"/>
          <w:szCs w:val="20"/>
          <w:color w:val="auto"/>
        </w:rPr>
      </w:pPr>
      <w:r>
        <w:rPr>
          <w:rFonts w:ascii="Times New Roman" w:cs="Times New Roman" w:eastAsia="Times New Roman" w:hAnsi="Times New Roman"/>
          <w:sz w:val="19"/>
          <w:szCs w:val="19"/>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21"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Property and equipment are recorded at cost net of accumulated depreciation. Property and equipment are depreciated using the straight-line method over the estimated useful lives of the assets, generally five years, except for leasehold improvements, which are amortized over the shorter of the useful life of the asset or the remaining term of the lease. Upon retirement or sale of assets, the cost and related accumulated depreciation are removed from the balance sheet and the resulting gain or loss is reflected in operations. Repairs and maintenance costs are charged to operations as incurred.</w:t>
      </w:r>
    </w:p>
    <w:p>
      <w:pPr>
        <w:spacing w:after="0" w:line="3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20"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auto"/>
        </w:rPr>
        <w:t>Long-lived assets, are tested for recoverability whenever events or changes in the business environment indicate that the carrying amount of the assets may not be fully recoverable. Factors considered by the Company when deciding when to perform an impairment review include significant underperformance of the business against expectations, significant negative industry or economic trends and significant changes or planned changes in the use of the assets. If an impairment review is performed to evaluate a long-lived asset for recoverability, the Company compares forecasts of undiscounted cash flows resulting from the use and eventual disposition of the long-lived asset to its carrying value. An impairment loss would be recognized when estimated undiscounted future cash flows resulting from the use of an asset are less than its carrying amount. The impairment loss would be based on the excess of the carrying value of the impaired asset over its current fair value.</w:t>
      </w:r>
    </w:p>
    <w:p>
      <w:pPr>
        <w:spacing w:after="0" w:line="3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21"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auto"/>
        </w:rPr>
        <w:t>All costs associated with research and development are expensed as incurred. Research and development expenses include costs directly attributable to the conduct of research and development programs, including compensation costs, which includes allocated stock-based compensation, salary payroll taxes, employee benefits; materials; supplies; depreciation on and maintenance of research equipment; the cost of services provided by outside contractors; and the allocable portions of facility costs, such as rent, utilities, insurance, repairs and maintenance, depreciation, and general support services. The Company records accruals for estimated research and development expenses, comprising payments for work performed by third party vendors, clinical research organizations, clinical manufacturing organizations and others. Some of these vendors bill monthly based on actual services performed, while others bill periodically based upon achieving certain contractual milestones. For the latter, the Company accrues the expenses as goods or services are used or rendered. Research and development activities related to patient enrollment are accrued as patients enter and progress through the trial. In the event that the Company prepays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360"/>
          </w:cols>
          <w:pgMar w:left="1440" w:top="1420" w:right="1440" w:bottom="175" w:gutter="0" w:footer="0" w:header="0"/>
        </w:sectPr>
      </w:pPr>
    </w:p>
    <w:bookmarkStart w:id="116" w:name="page117"/>
    <w:bookmarkEnd w:id="116"/>
    <w:p>
      <w:pPr>
        <w:ind w:left="1" w:right="840"/>
        <w:spacing w:after="0" w:line="277" w:lineRule="auto"/>
        <w:rPr>
          <w:sz w:val="20"/>
          <w:szCs w:val="20"/>
          <w:color w:val="auto"/>
        </w:rPr>
      </w:pPr>
      <w:r>
        <w:rPr>
          <w:rFonts w:ascii="Times New Roman" w:cs="Times New Roman" w:eastAsia="Times New Roman" w:hAnsi="Times New Roman"/>
          <w:sz w:val="20"/>
          <w:szCs w:val="20"/>
          <w:color w:val="auto"/>
        </w:rPr>
        <w:t>fees, the Company records the prepayment as a prepaid asset and periodically evaluate the prepaid asset in conjunction with the related accrued research and development expenses.</w:t>
      </w:r>
    </w:p>
    <w:p>
      <w:pPr>
        <w:spacing w:after="0" w:line="289" w:lineRule="exact"/>
        <w:rPr>
          <w:sz w:val="20"/>
          <w:szCs w:val="20"/>
          <w:color w:val="auto"/>
        </w:rPr>
      </w:pPr>
    </w:p>
    <w:p>
      <w:pPr>
        <w:ind w:left="621"/>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1" w:lineRule="exact"/>
        <w:rPr>
          <w:sz w:val="20"/>
          <w:szCs w:val="20"/>
          <w:color w:val="auto"/>
        </w:rPr>
      </w:pPr>
    </w:p>
    <w:p>
      <w:pPr>
        <w:ind w:left="1" w:right="240" w:firstLine="619"/>
        <w:spacing w:after="0" w:line="277" w:lineRule="auto"/>
        <w:rPr>
          <w:sz w:val="20"/>
          <w:szCs w:val="20"/>
          <w:color w:val="auto"/>
        </w:rPr>
      </w:pPr>
      <w:r>
        <w:rPr>
          <w:rFonts w:ascii="Times New Roman" w:cs="Times New Roman" w:eastAsia="Times New Roman" w:hAnsi="Times New Roman"/>
          <w:sz w:val="20"/>
          <w:szCs w:val="20"/>
          <w:color w:val="auto"/>
        </w:rPr>
        <w:t>The Company’s share-based compensation program allows for grants of stock options and restricted stock units. Grants are awarded to employees and non-employees, and directors.</w:t>
      </w:r>
    </w:p>
    <w:p>
      <w:pPr>
        <w:spacing w:after="0" w:line="169" w:lineRule="exact"/>
        <w:rPr>
          <w:sz w:val="20"/>
          <w:szCs w:val="20"/>
          <w:color w:val="auto"/>
        </w:rPr>
      </w:pPr>
    </w:p>
    <w:p>
      <w:pPr>
        <w:ind w:left="1" w:right="20" w:firstLine="619"/>
        <w:spacing w:after="0" w:line="244" w:lineRule="auto"/>
        <w:rPr>
          <w:sz w:val="20"/>
          <w:szCs w:val="20"/>
          <w:color w:val="auto"/>
        </w:rPr>
      </w:pPr>
      <w:r>
        <w:rPr>
          <w:rFonts w:ascii="Times New Roman" w:cs="Times New Roman" w:eastAsia="Times New Roman" w:hAnsi="Times New Roman"/>
          <w:sz w:val="20"/>
          <w:szCs w:val="20"/>
          <w:color w:val="auto"/>
        </w:rPr>
        <w:t xml:space="preserve">The Company accounts for stock-based employee compensation arrangements in accordance with provisions of ASC 718, </w:t>
      </w:r>
      <w:r>
        <w:rPr>
          <w:rFonts w:ascii="Times New Roman" w:cs="Times New Roman" w:eastAsia="Times New Roman" w:hAnsi="Times New Roman"/>
          <w:sz w:val="20"/>
          <w:szCs w:val="20"/>
          <w:i w:val="1"/>
          <w:iCs w:val="1"/>
          <w:color w:val="auto"/>
        </w:rPr>
        <w:t>Compensation – Stock Compensation</w:t>
      </w:r>
      <w:r>
        <w:rPr>
          <w:rFonts w:ascii="Times New Roman" w:cs="Times New Roman" w:eastAsia="Times New Roman" w:hAnsi="Times New Roman"/>
          <w:sz w:val="20"/>
          <w:szCs w:val="20"/>
          <w:color w:val="auto"/>
        </w:rPr>
        <w:t xml:space="preserve"> (“ASC 718”)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ASC 718 requires the recognition of compensation expense, using a fair-value based method, for costs related to all share-based payments including stock options. ASC 718 requires companies to estimate the fair value of share-based payment awards on the date of grant using an option pricing or equity valuation model that is applied in a manner consistent with the fair value measurement objectives of ASC 718, is based on established principles of financial theory and reflects all of the substantive terms and conditions of the award. The Company uses the Black-Scholes option-pricing model (“Black-Scholes”) to value stock option grants to employees, non-employees and directors. The fair value of the Company’s common stock at the grant date is used to determine the fair value of restricted stock units and stock options.</w:t>
      </w:r>
    </w:p>
    <w:p>
      <w:pPr>
        <w:spacing w:after="0" w:line="206" w:lineRule="exact"/>
        <w:rPr>
          <w:sz w:val="20"/>
          <w:szCs w:val="20"/>
          <w:color w:val="auto"/>
        </w:rPr>
      </w:pPr>
    </w:p>
    <w:p>
      <w:pPr>
        <w:ind w:left="621"/>
        <w:spacing w:after="0"/>
        <w:rPr>
          <w:sz w:val="20"/>
          <w:szCs w:val="20"/>
          <w:color w:val="auto"/>
        </w:rPr>
      </w:pPr>
      <w:r>
        <w:rPr>
          <w:rFonts w:ascii="Times New Roman" w:cs="Times New Roman" w:eastAsia="Times New Roman" w:hAnsi="Times New Roman"/>
          <w:sz w:val="20"/>
          <w:szCs w:val="20"/>
          <w:color w:val="auto"/>
        </w:rPr>
        <w:t>The Black-Scholes option pricing model requires inputs based on certain subjective assumptions, including</w:t>
      </w:r>
    </w:p>
    <w:p>
      <w:pPr>
        <w:spacing w:after="0" w:line="27" w:lineRule="exact"/>
        <w:rPr>
          <w:sz w:val="20"/>
          <w:szCs w:val="20"/>
          <w:color w:val="auto"/>
        </w:rPr>
      </w:pPr>
    </w:p>
    <w:p>
      <w:pPr>
        <w:ind w:left="1" w:hanging="1"/>
        <w:spacing w:after="0" w:line="241" w:lineRule="auto"/>
        <w:tabs>
          <w:tab w:leader="none" w:pos="23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expected stock price volatility, (ii) the expected term of the award, (iii) the risk-free interest rate and (iv) expected dividends. The historical volatility is calculated based on a period of time commensurate with expected term assumption. The Company uses the simplified method to calculate the expected term for options granted to employees whereby the expected term equals the arithmetic average of the vesting term and the original contractual term of the options due to its lack of sufficient historical data, except for when awards are determined to be out-of-the-money, as was the case for when applying modification accounting related to the stock option exchange in August 2024. Refer to Note 8 for details on the stock option exchange.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95" w:lineRule="exact"/>
        <w:rPr>
          <w:sz w:val="20"/>
          <w:szCs w:val="20"/>
          <w:color w:val="auto"/>
        </w:rPr>
      </w:pPr>
    </w:p>
    <w:p>
      <w:pPr>
        <w:ind w:left="1" w:right="80" w:firstLine="619"/>
        <w:spacing w:after="0" w:line="242" w:lineRule="auto"/>
        <w:rPr>
          <w:sz w:val="20"/>
          <w:szCs w:val="20"/>
          <w:color w:val="auto"/>
        </w:rPr>
      </w:pPr>
      <w:r>
        <w:rPr>
          <w:rFonts w:ascii="Times New Roman" w:cs="Times New Roman" w:eastAsia="Times New Roman" w:hAnsi="Times New Roman"/>
          <w:sz w:val="20"/>
          <w:szCs w:val="20"/>
          <w:color w:val="auto"/>
        </w:rPr>
        <w:t>The Company’s stock-based compensation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typically the vesting term.</w:t>
      </w:r>
    </w:p>
    <w:p>
      <w:pPr>
        <w:spacing w:after="0" w:line="194" w:lineRule="exact"/>
        <w:rPr>
          <w:sz w:val="20"/>
          <w:szCs w:val="20"/>
          <w:color w:val="auto"/>
        </w:rPr>
      </w:pPr>
    </w:p>
    <w:p>
      <w:pPr>
        <w:ind w:left="621"/>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110" w:lineRule="exact"/>
        <w:rPr>
          <w:sz w:val="20"/>
          <w:szCs w:val="20"/>
          <w:color w:val="auto"/>
        </w:rPr>
      </w:pPr>
    </w:p>
    <w:p>
      <w:pPr>
        <w:ind w:left="1" w:right="160" w:firstLine="619"/>
        <w:spacing w:after="0" w:line="236" w:lineRule="auto"/>
        <w:rPr>
          <w:sz w:val="20"/>
          <w:szCs w:val="20"/>
          <w:color w:val="auto"/>
        </w:rPr>
      </w:pPr>
      <w:r>
        <w:rPr>
          <w:rFonts w:ascii="Times New Roman" w:cs="Times New Roman" w:eastAsia="Times New Roman" w:hAnsi="Times New Roman"/>
          <w:sz w:val="20"/>
          <w:szCs w:val="20"/>
          <w:color w:val="auto"/>
        </w:rPr>
        <w:t>Basic net income (loss) per share is computed by dividing the net income (loss) by the weighted average number of shares of common stock outstanding for the years ended December 31, 2025 and 2024. Diluted net income (loss) per share is computed by dividing the diluted net income (loss) by the weighted average number of shares of common stock, including potential dilutive common shares assuming the dilutive effect of outstanding stock options and unvested restricted common stock, as determined using the treasury stock method. For periods in which the Company has reported net losses, diluted net loss per share is the same as basic net loss per share, since dilutive shares of common stock are not assumed to have been issued if their effect is antidilutive.</w:t>
      </w:r>
    </w:p>
    <w:p>
      <w:pPr>
        <w:spacing w:after="0" w:line="320" w:lineRule="exact"/>
        <w:rPr>
          <w:sz w:val="20"/>
          <w:szCs w:val="20"/>
          <w:color w:val="auto"/>
        </w:rPr>
      </w:pPr>
    </w:p>
    <w:p>
      <w:pPr>
        <w:ind w:left="621"/>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11" w:lineRule="exact"/>
        <w:rPr>
          <w:sz w:val="20"/>
          <w:szCs w:val="20"/>
          <w:color w:val="auto"/>
        </w:rPr>
      </w:pPr>
    </w:p>
    <w:p>
      <w:pPr>
        <w:ind w:left="1" w:right="40" w:firstLine="619"/>
        <w:spacing w:after="0" w:line="234" w:lineRule="auto"/>
        <w:rPr>
          <w:sz w:val="20"/>
          <w:szCs w:val="20"/>
          <w:color w:val="auto"/>
        </w:rPr>
      </w:pPr>
      <w:r>
        <w:rPr>
          <w:rFonts w:ascii="Times New Roman" w:cs="Times New Roman" w:eastAsia="Times New Roman" w:hAnsi="Times New Roman"/>
          <w:sz w:val="20"/>
          <w:szCs w:val="20"/>
          <w:color w:val="auto"/>
        </w:rPr>
        <w:t xml:space="preserve">The Company accounts for income taxes in accordance with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 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361"/>
          </w:cols>
          <w:pgMar w:left="1439" w:top="1420" w:right="1440" w:bottom="175" w:gutter="0" w:footer="0" w:header="0"/>
        </w:sectPr>
      </w:pPr>
    </w:p>
    <w:bookmarkStart w:id="117" w:name="page118"/>
    <w:bookmarkEnd w:id="117"/>
    <w:p>
      <w:pPr>
        <w:ind w:right="180"/>
        <w:spacing w:after="0" w:line="242" w:lineRule="auto"/>
        <w:rPr>
          <w:sz w:val="20"/>
          <w:szCs w:val="20"/>
          <w:color w:val="auto"/>
        </w:rPr>
      </w:pPr>
      <w:r>
        <w:rPr>
          <w:rFonts w:ascii="Times New Roman" w:cs="Times New Roman" w:eastAsia="Times New Roman" w:hAnsi="Times New Roman"/>
          <w:sz w:val="20"/>
          <w:szCs w:val="20"/>
          <w:color w:val="auto"/>
        </w:rPr>
        <w:t>implemented to realize the net deferred tax assets. In 2025 and 2024, the Company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193" w:lineRule="exact"/>
        <w:rPr>
          <w:sz w:val="20"/>
          <w:szCs w:val="20"/>
          <w:color w:val="auto"/>
        </w:rPr>
      </w:pPr>
    </w:p>
    <w:p>
      <w:pPr>
        <w:ind w:right="80" w:firstLine="619"/>
        <w:spacing w:after="0" w:line="236" w:lineRule="auto"/>
        <w:rPr>
          <w:sz w:val="20"/>
          <w:szCs w:val="20"/>
          <w:color w:val="auto"/>
        </w:rPr>
      </w:pPr>
      <w:r>
        <w:rPr>
          <w:rFonts w:ascii="Times New Roman" w:cs="Times New Roman" w:eastAsia="Times New Roman" w:hAnsi="Times New Roman"/>
          <w:sz w:val="20"/>
          <w:szCs w:val="20"/>
          <w:color w:val="auto"/>
        </w:rPr>
        <w:t>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this accounting policy, the Company recognizes accrued interest and penalties related to unrecognized tax benefits as a component of income tax.</w:t>
      </w:r>
    </w:p>
    <w:p>
      <w:pPr>
        <w:spacing w:after="0" w:line="3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Other Risks and Uncertainties</w:t>
      </w:r>
    </w:p>
    <w:p>
      <w:pPr>
        <w:spacing w:after="0" w:line="121"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significant concentrations of credit risk consist of cash, cash equivalents, and marketable securities. Cash and cash equivalents were held at primarily two financial institutions. At times, such deposits may be in excess of insured limits. The Company has not experienced any losses on its deposits of cash and cash equivalents. The Company’s marketable securities are carried at fair value and include any unrealized gains and losses. Any investments with unrealized losses are considered to be temporarily impaired.</w:t>
      </w:r>
    </w:p>
    <w:p>
      <w:pPr>
        <w:spacing w:after="0" w:line="200"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97" w:lineRule="exact"/>
        <w:rPr>
          <w:sz w:val="20"/>
          <w:szCs w:val="20"/>
          <w:color w:val="auto"/>
        </w:rPr>
      </w:pPr>
    </w:p>
    <w:p>
      <w:pPr>
        <w:ind w:right="60" w:firstLine="619"/>
        <w:spacing w:after="0" w:line="252" w:lineRule="auto"/>
        <w:rPr>
          <w:sz w:val="20"/>
          <w:szCs w:val="20"/>
          <w:color w:val="auto"/>
        </w:rPr>
      </w:pPr>
      <w:r>
        <w:rPr>
          <w:rFonts w:ascii="Times New Roman" w:cs="Times New Roman" w:eastAsia="Times New Roman" w:hAnsi="Times New Roman"/>
          <w:sz w:val="20"/>
          <w:szCs w:val="20"/>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3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Subsequent Events</w:t>
      </w:r>
    </w:p>
    <w:p>
      <w:pPr>
        <w:spacing w:after="0" w:line="121" w:lineRule="exact"/>
        <w:rPr>
          <w:sz w:val="20"/>
          <w:szCs w:val="20"/>
          <w:color w:val="auto"/>
        </w:rPr>
      </w:pPr>
    </w:p>
    <w:p>
      <w:pPr>
        <w:ind w:right="100" w:firstLine="619"/>
        <w:spacing w:after="0" w:line="278" w:lineRule="auto"/>
        <w:rPr>
          <w:sz w:val="20"/>
          <w:szCs w:val="20"/>
          <w:color w:val="auto"/>
        </w:rPr>
      </w:pPr>
      <w:r>
        <w:rPr>
          <w:rFonts w:ascii="Times New Roman" w:cs="Times New Roman" w:eastAsia="Times New Roman" w:hAnsi="Times New Roman"/>
          <w:sz w:val="19"/>
          <w:szCs w:val="19"/>
          <w:color w:val="auto"/>
        </w:rPr>
        <w:t>The Company considered events or transactions occurring after the balance sheet date, but prior to the issuance of the consolidated financial statements, for potential recognition or disclosure in its consolidated financial statements. All significant subsequent events have been properly disclosed in the consolidated financial statements.</w:t>
      </w:r>
    </w:p>
    <w:p>
      <w:pPr>
        <w:spacing w:after="0" w:line="3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12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December 2023, the FASB issued ASU 2023-09, Income Taxes (Topic 740): Improvements to Income Tax Disclosures. The amended guidance enhances income tax disclosures primarily related to the effective tax rate reconciliation and income taxes paid information. This guidance requires disclosure of specific categories in the effective tax rate reconciliation and additional information on reconciling items meeting a quantitative threshold. In addition, the amended guidance requires disaggregating income taxes paid (net of refunds received) by federal, state, and foreign taxes. It also requires disaggregating individual jurisdictions in which income taxes paid (net of refunds received) are equal to or greater than 5 percent of total income taxes paid (net of refunds received). The amended guidance is effective for annual periods beginning after December 15, 2024. We adopted this guidance prospectively for the annual period ending December 31, 2025. For additional information, see “Note 9 — Income Taxes.”</w:t>
      </w:r>
    </w:p>
    <w:p>
      <w:pPr>
        <w:spacing w:after="0" w:line="3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 Not Yet Adopted</w:t>
      </w:r>
    </w:p>
    <w:p>
      <w:pPr>
        <w:spacing w:after="0" w:line="119"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Statement—Reporting Comprehensive Income—Expense Disaggregation Disclosures (Subtopic 220-40): Disaggregation of Income Statement Expenses”. This amended guidance requires disaggregation of specific expense categories in the notes to the financial</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360"/>
          </w:cols>
          <w:pgMar w:left="1440" w:top="1412" w:right="1440" w:bottom="175" w:gutter="0" w:footer="0" w:header="0"/>
        </w:sectPr>
      </w:pPr>
    </w:p>
    <w:bookmarkStart w:id="118" w:name="page119"/>
    <w:bookmarkEnd w:id="118"/>
    <w:p>
      <w:pPr>
        <w:ind w:right="100"/>
        <w:spacing w:after="0" w:line="249" w:lineRule="auto"/>
        <w:rPr>
          <w:sz w:val="20"/>
          <w:szCs w:val="20"/>
          <w:color w:val="auto"/>
        </w:rPr>
      </w:pPr>
      <w:r>
        <w:rPr>
          <w:rFonts w:ascii="Times New Roman" w:cs="Times New Roman" w:eastAsia="Times New Roman" w:hAnsi="Times New Roman"/>
          <w:sz w:val="20"/>
          <w:szCs w:val="20"/>
          <w:color w:val="auto"/>
        </w:rPr>
        <w:t>statements and a qualitative description of the remaining expense amounts not separately disaggregated. This standard becomes effective for reporting companies with annual reporting periods beginning after December 15, 2026, and requires prospective application with an option to apply it retrospectively. The Company anticipates adopting this standard in its Annual Report on Form 10-K for the year ending December 31, 2027. The Company is currently evaluating the impact that the adoption of this standard will have on its consolidated financial statements.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September 2025, the FASB issued ASU No. 2025-07 (“ASU 2025-07”), Derivatives and Hedging (Topic</w:t>
      </w:r>
    </w:p>
    <w:p>
      <w:pPr>
        <w:spacing w:after="0" w:line="28" w:lineRule="exact"/>
        <w:rPr>
          <w:sz w:val="20"/>
          <w:szCs w:val="20"/>
          <w:color w:val="auto"/>
        </w:rPr>
      </w:pPr>
    </w:p>
    <w:p>
      <w:pPr>
        <w:ind w:right="300"/>
        <w:spacing w:after="0" w:line="239" w:lineRule="auto"/>
        <w:tabs>
          <w:tab w:leader="none" w:pos="41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Revenue from Contracts with Customers (Topic 606). The guidance refines the scope of Topic 815 to clarify which contracts are subject to derivative accounting. The guidance also provides clarification under Topic</w:t>
      </w:r>
    </w:p>
    <w:p>
      <w:pPr>
        <w:spacing w:after="0" w:line="1" w:lineRule="exact"/>
        <w:rPr>
          <w:rFonts w:ascii="Times New Roman" w:cs="Times New Roman" w:eastAsia="Times New Roman" w:hAnsi="Times New Roman"/>
          <w:sz w:val="20"/>
          <w:szCs w:val="20"/>
          <w:color w:val="auto"/>
        </w:rPr>
      </w:pPr>
    </w:p>
    <w:p>
      <w:pPr>
        <w:ind w:right="440"/>
        <w:spacing w:after="0" w:line="243" w:lineRule="auto"/>
        <w:tabs>
          <w:tab w:leader="none" w:pos="35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share-based payments from a customer in a revenue contract. The amendments in ASU 2025-07 are effective for fiscal years beginning after December 15, 2026, and interim reporting periods, with early adoption permitted. The Company is currently evaluating the impact that the adoption of this standard will have on its consolidated financial statements.</w:t>
      </w:r>
    </w:p>
    <w:p>
      <w:pPr>
        <w:spacing w:after="0" w:line="319" w:lineRule="exact"/>
        <w:rPr>
          <w:rFonts w:ascii="Times New Roman" w:cs="Times New Roman" w:eastAsia="Times New Roman" w:hAnsi="Times New Roman"/>
          <w:sz w:val="20"/>
          <w:szCs w:val="20"/>
          <w:color w:val="auto"/>
        </w:rPr>
      </w:pPr>
    </w:p>
    <w:p>
      <w:pPr>
        <w:ind w:left="240" w:hanging="240"/>
        <w:spacing w:after="0"/>
        <w:tabs>
          <w:tab w:leader="none" w:pos="240" w:val="left"/>
        </w:tabs>
        <w:numPr>
          <w:ilvl w:val="0"/>
          <w:numId w:val="6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Financial Instruments and Fair Value Measurements</w:t>
      </w:r>
    </w:p>
    <w:p>
      <w:pPr>
        <w:spacing w:after="0" w:line="121" w:lineRule="exact"/>
        <w:rPr>
          <w:sz w:val="20"/>
          <w:szCs w:val="20"/>
          <w:color w:val="auto"/>
        </w:rPr>
      </w:pPr>
    </w:p>
    <w:p>
      <w:pPr>
        <w:ind w:right="200" w:firstLine="619"/>
        <w:spacing w:after="0" w:line="247" w:lineRule="auto"/>
        <w:rPr>
          <w:sz w:val="20"/>
          <w:szCs w:val="20"/>
          <w:color w:val="auto"/>
        </w:rPr>
      </w:pPr>
      <w:r>
        <w:rPr>
          <w:rFonts w:ascii="Times New Roman" w:cs="Times New Roman" w:eastAsia="Times New Roman" w:hAnsi="Times New Roman"/>
          <w:sz w:val="20"/>
          <w:szCs w:val="20"/>
          <w:color w:val="auto"/>
        </w:rPr>
        <w:t>The Company’s financial instruments consist of money market funds, U.S. government debt securities and corporate debt securities. Cash and cash equivalents includes money market funds and certain corporate securities, which are measured at fair value on a recurring basis using quoted prices and are classified as Level 1. Marketable securities are measured at fair value based on inputs other than quoted prices that are derived from observable market data and are classified as Level 2 inputs, except for investments in U.S. treasury securities which are classified as Level 1. There were no Level 3 assets or liabilities at December 31, 2025 or 2024.</w:t>
      </w:r>
    </w:p>
    <w:p>
      <w:pPr>
        <w:spacing w:after="0" w:line="200" w:lineRule="exact"/>
        <w:rPr>
          <w:sz w:val="20"/>
          <w:szCs w:val="20"/>
          <w:color w:val="auto"/>
        </w:rPr>
      </w:pPr>
    </w:p>
    <w:p>
      <w:pPr>
        <w:ind w:right="600" w:firstLine="619"/>
        <w:spacing w:after="0" w:line="278" w:lineRule="auto"/>
        <w:rPr>
          <w:sz w:val="20"/>
          <w:szCs w:val="20"/>
          <w:color w:val="auto"/>
        </w:rPr>
      </w:pPr>
      <w:r>
        <w:rPr>
          <w:rFonts w:ascii="Times New Roman" w:cs="Times New Roman" w:eastAsia="Times New Roman" w:hAnsi="Times New Roman"/>
          <w:sz w:val="20"/>
          <w:szCs w:val="20"/>
          <w:color w:val="auto"/>
        </w:rPr>
        <w:t>The following tables show the Company’s cash equivalents and available-for-sale securities’ carrying amounts and fair values as of December 31,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As of December 31, 2025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000" w:type="dxa"/>
            <w:vAlign w:val="bottom"/>
            <w:gridSpan w:val="3"/>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priced in</w:t>
            </w:r>
          </w:p>
        </w:tc>
        <w:tc>
          <w:tcPr>
            <w:tcW w:w="12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observable</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markets</w:t>
            </w:r>
          </w:p>
        </w:tc>
        <w:tc>
          <w:tcPr>
            <w:tcW w:w="12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inputs</w:t>
            </w:r>
          </w:p>
        </w:tc>
        <w:tc>
          <w:tcPr>
            <w:tcW w:w="80" w:type="dxa"/>
            <w:vAlign w:val="bottom"/>
          </w:tcPr>
          <w:p>
            <w:pPr>
              <w:spacing w:after="0"/>
              <w:rPr>
                <w:sz w:val="13"/>
                <w:szCs w:val="13"/>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inputs</w:t>
            </w: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5"/>
                <w:szCs w:val="15"/>
                <w:color w:val="auto"/>
              </w:rPr>
            </w:pP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2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80" w:type="dxa"/>
            <w:vAlign w:val="bottom"/>
          </w:tcPr>
          <w:p>
            <w:pPr>
              <w:spacing w:after="0"/>
              <w:rPr>
                <w:sz w:val="15"/>
                <w:szCs w:val="15"/>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77"/>
        </w:trPr>
        <w:tc>
          <w:tcPr>
            <w:tcW w:w="1140" w:type="dxa"/>
            <w:vAlign w:val="bottom"/>
            <w:tcBorders>
              <w:top w:val="single" w:sz="8" w:color="E0E0E0"/>
              <w:bottom w:val="single" w:sz="8" w:color="auto"/>
            </w:tcBorders>
            <w:shd w:val="clear" w:color="auto" w:fill="E0E0E0"/>
          </w:tcPr>
          <w:p>
            <w:pPr>
              <w:spacing w:after="0" w:line="177" w:lineRule="exact"/>
              <w:rPr>
                <w:sz w:val="20"/>
                <w:szCs w:val="20"/>
                <w:color w:val="auto"/>
              </w:rPr>
            </w:pPr>
            <w:r>
              <w:rPr>
                <w:rFonts w:ascii="Times New Roman" w:cs="Times New Roman" w:eastAsia="Times New Roman" w:hAnsi="Times New Roman"/>
                <w:sz w:val="18"/>
                <w:szCs w:val="18"/>
                <w:color w:val="auto"/>
                <w:w w:val="98"/>
              </w:rPr>
              <w:t>Financial assets</w:t>
            </w:r>
          </w:p>
        </w:tc>
        <w:tc>
          <w:tcPr>
            <w:tcW w:w="1420" w:type="dxa"/>
            <w:vAlign w:val="bottom"/>
            <w:tcBorders>
              <w:top w:val="single" w:sz="8" w:color="E0E0E0"/>
              <w:bottom w:val="single" w:sz="8" w:color="E0E0E0"/>
              <w:right w:val="single" w:sz="8" w:color="E0E0E0"/>
            </w:tcBorders>
            <w:shd w:val="clear" w:color="auto" w:fill="E0E0E0"/>
          </w:tcPr>
          <w:p>
            <w:pPr>
              <w:spacing w:after="0"/>
              <w:rPr>
                <w:sz w:val="15"/>
                <w:szCs w:val="15"/>
                <w:color w:val="auto"/>
              </w:rPr>
            </w:pPr>
          </w:p>
        </w:tc>
        <w:tc>
          <w:tcPr>
            <w:tcW w:w="100" w:type="dxa"/>
            <w:vAlign w:val="bottom"/>
            <w:tcBorders>
              <w:top w:val="single" w:sz="8" w:color="auto"/>
              <w:bottom w:val="single" w:sz="8" w:color="E0E0E0"/>
            </w:tcBorders>
            <w:shd w:val="clear" w:color="auto" w:fill="E0E0E0"/>
          </w:tcPr>
          <w:p>
            <w:pPr>
              <w:spacing w:after="0"/>
              <w:rPr>
                <w:sz w:val="15"/>
                <w:szCs w:val="15"/>
                <w:color w:val="auto"/>
              </w:rPr>
            </w:pPr>
          </w:p>
        </w:tc>
        <w:tc>
          <w:tcPr>
            <w:tcW w:w="700" w:type="dxa"/>
            <w:vAlign w:val="bottom"/>
            <w:tcBorders>
              <w:top w:val="single" w:sz="8" w:color="auto"/>
              <w:bottom w:val="single" w:sz="8" w:color="E0E0E0"/>
              <w:right w:val="single" w:sz="8" w:color="E0E0E0"/>
            </w:tcBorders>
            <w:shd w:val="clear" w:color="auto" w:fill="E0E0E0"/>
          </w:tcPr>
          <w:p>
            <w:pPr>
              <w:spacing w:after="0"/>
              <w:rPr>
                <w:sz w:val="15"/>
                <w:szCs w:val="15"/>
                <w:color w:val="auto"/>
              </w:rPr>
            </w:pPr>
          </w:p>
        </w:tc>
        <w:tc>
          <w:tcPr>
            <w:tcW w:w="180" w:type="dxa"/>
            <w:vAlign w:val="bottom"/>
            <w:tcBorders>
              <w:top w:val="single" w:sz="8" w:color="E0E0E0"/>
              <w:bottom w:val="single" w:sz="8" w:color="E0E0E0"/>
              <w:right w:val="single" w:sz="8" w:color="E0E0E0"/>
            </w:tcBorders>
            <w:shd w:val="clear" w:color="auto" w:fill="E0E0E0"/>
          </w:tcPr>
          <w:p>
            <w:pPr>
              <w:spacing w:after="0"/>
              <w:rPr>
                <w:sz w:val="15"/>
                <w:szCs w:val="15"/>
                <w:color w:val="auto"/>
              </w:rPr>
            </w:pPr>
          </w:p>
        </w:tc>
        <w:tc>
          <w:tcPr>
            <w:tcW w:w="140" w:type="dxa"/>
            <w:vAlign w:val="bottom"/>
            <w:tcBorders>
              <w:top w:val="single" w:sz="8" w:color="auto"/>
              <w:bottom w:val="single" w:sz="8" w:color="E0E0E0"/>
            </w:tcBorders>
            <w:shd w:val="clear" w:color="auto" w:fill="E0E0E0"/>
          </w:tcPr>
          <w:p>
            <w:pPr>
              <w:spacing w:after="0"/>
              <w:rPr>
                <w:sz w:val="15"/>
                <w:szCs w:val="15"/>
                <w:color w:val="auto"/>
              </w:rPr>
            </w:pPr>
          </w:p>
        </w:tc>
        <w:tc>
          <w:tcPr>
            <w:tcW w:w="640" w:type="dxa"/>
            <w:vAlign w:val="bottom"/>
            <w:tcBorders>
              <w:top w:val="single" w:sz="8" w:color="auto"/>
              <w:bottom w:val="single" w:sz="8" w:color="E0E0E0"/>
            </w:tcBorders>
            <w:shd w:val="clear" w:color="auto" w:fill="E0E0E0"/>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E0E0E0"/>
              <w:bottom w:val="single" w:sz="8" w:color="E0E0E0"/>
              <w:right w:val="single" w:sz="8" w:color="E0E0E0"/>
            </w:tcBorders>
            <w:shd w:val="clear" w:color="auto" w:fill="E0E0E0"/>
          </w:tcPr>
          <w:p>
            <w:pPr>
              <w:spacing w:after="0"/>
              <w:rPr>
                <w:sz w:val="15"/>
                <w:szCs w:val="15"/>
                <w:color w:val="auto"/>
              </w:rPr>
            </w:pPr>
          </w:p>
        </w:tc>
        <w:tc>
          <w:tcPr>
            <w:tcW w:w="140" w:type="dxa"/>
            <w:vAlign w:val="bottom"/>
            <w:tcBorders>
              <w:top w:val="single" w:sz="8" w:color="auto"/>
              <w:bottom w:val="single" w:sz="8" w:color="E0E0E0"/>
            </w:tcBorders>
            <w:shd w:val="clear" w:color="auto" w:fill="E0E0E0"/>
          </w:tcPr>
          <w:p>
            <w:pPr>
              <w:spacing w:after="0"/>
              <w:rPr>
                <w:sz w:val="15"/>
                <w:szCs w:val="15"/>
                <w:color w:val="auto"/>
              </w:rPr>
            </w:pPr>
          </w:p>
        </w:tc>
        <w:tc>
          <w:tcPr>
            <w:tcW w:w="640" w:type="dxa"/>
            <w:vAlign w:val="bottom"/>
            <w:tcBorders>
              <w:top w:val="single" w:sz="8" w:color="auto"/>
              <w:bottom w:val="single" w:sz="8" w:color="E0E0E0"/>
            </w:tcBorders>
            <w:shd w:val="clear" w:color="auto" w:fill="E0E0E0"/>
          </w:tcPr>
          <w:p>
            <w:pPr>
              <w:spacing w:after="0"/>
              <w:rPr>
                <w:sz w:val="15"/>
                <w:szCs w:val="15"/>
                <w:color w:val="auto"/>
              </w:rPr>
            </w:pPr>
          </w:p>
        </w:tc>
        <w:tc>
          <w:tcPr>
            <w:tcW w:w="200" w:type="dxa"/>
            <w:vAlign w:val="bottom"/>
            <w:tcBorders>
              <w:top w:val="single" w:sz="8" w:color="E0E0E0"/>
              <w:bottom w:val="single" w:sz="8" w:color="E0E0E0"/>
              <w:right w:val="single" w:sz="8" w:color="E0E0E0"/>
            </w:tcBorders>
            <w:shd w:val="clear" w:color="auto" w:fill="E0E0E0"/>
          </w:tcPr>
          <w:p>
            <w:pPr>
              <w:spacing w:after="0"/>
              <w:rPr>
                <w:sz w:val="15"/>
                <w:szCs w:val="15"/>
                <w:color w:val="auto"/>
              </w:rPr>
            </w:pPr>
          </w:p>
        </w:tc>
        <w:tc>
          <w:tcPr>
            <w:tcW w:w="140" w:type="dxa"/>
            <w:vAlign w:val="bottom"/>
            <w:tcBorders>
              <w:top w:val="single" w:sz="8" w:color="auto"/>
              <w:bottom w:val="single" w:sz="8" w:color="E0E0E0"/>
            </w:tcBorders>
            <w:shd w:val="clear" w:color="auto" w:fill="E0E0E0"/>
          </w:tcPr>
          <w:p>
            <w:pPr>
              <w:spacing w:after="0"/>
              <w:rPr>
                <w:sz w:val="15"/>
                <w:szCs w:val="15"/>
                <w:color w:val="auto"/>
              </w:rPr>
            </w:pPr>
          </w:p>
        </w:tc>
        <w:tc>
          <w:tcPr>
            <w:tcW w:w="680" w:type="dxa"/>
            <w:vAlign w:val="bottom"/>
            <w:tcBorders>
              <w:top w:val="single" w:sz="8" w:color="auto"/>
              <w:bottom w:val="single" w:sz="8" w:color="E0E0E0"/>
              <w:right w:val="single" w:sz="8" w:color="E0E0E0"/>
            </w:tcBorders>
            <w:shd w:val="clear" w:color="auto" w:fill="E0E0E0"/>
          </w:tcPr>
          <w:p>
            <w:pPr>
              <w:spacing w:after="0"/>
              <w:rPr>
                <w:sz w:val="15"/>
                <w:szCs w:val="15"/>
                <w:color w:val="auto"/>
              </w:rPr>
            </w:pPr>
          </w:p>
        </w:tc>
        <w:tc>
          <w:tcPr>
            <w:tcW w:w="160" w:type="dxa"/>
            <w:vAlign w:val="bottom"/>
            <w:tcBorders>
              <w:top w:val="single" w:sz="8" w:color="E0E0E0"/>
              <w:bottom w:val="single" w:sz="8" w:color="E0E0E0"/>
              <w:right w:val="single" w:sz="8" w:color="E0E0E0"/>
            </w:tcBorders>
            <w:shd w:val="clear" w:color="auto" w:fill="E0E0E0"/>
          </w:tcPr>
          <w:p>
            <w:pPr>
              <w:spacing w:after="0"/>
              <w:rPr>
                <w:sz w:val="15"/>
                <w:szCs w:val="15"/>
                <w:color w:val="auto"/>
              </w:rPr>
            </w:pPr>
          </w:p>
        </w:tc>
        <w:tc>
          <w:tcPr>
            <w:tcW w:w="100" w:type="dxa"/>
            <w:vAlign w:val="bottom"/>
            <w:tcBorders>
              <w:top w:val="single" w:sz="8" w:color="auto"/>
              <w:bottom w:val="single" w:sz="8" w:color="E0E0E0"/>
            </w:tcBorders>
            <w:shd w:val="clear" w:color="auto" w:fill="E0E0E0"/>
          </w:tcPr>
          <w:p>
            <w:pPr>
              <w:spacing w:after="0"/>
              <w:rPr>
                <w:sz w:val="15"/>
                <w:szCs w:val="15"/>
                <w:color w:val="auto"/>
              </w:rPr>
            </w:pPr>
          </w:p>
        </w:tc>
        <w:tc>
          <w:tcPr>
            <w:tcW w:w="700" w:type="dxa"/>
            <w:vAlign w:val="bottom"/>
            <w:tcBorders>
              <w:top w:val="single" w:sz="8" w:color="auto"/>
              <w:bottom w:val="single" w:sz="8" w:color="E0E0E0"/>
            </w:tcBorders>
            <w:shd w:val="clear" w:color="auto" w:fill="E0E0E0"/>
          </w:tcPr>
          <w:p>
            <w:pPr>
              <w:spacing w:after="0"/>
              <w:rPr>
                <w:sz w:val="15"/>
                <w:szCs w:val="15"/>
                <w:color w:val="auto"/>
              </w:rPr>
            </w:pPr>
          </w:p>
        </w:tc>
        <w:tc>
          <w:tcPr>
            <w:tcW w:w="20" w:type="dxa"/>
            <w:vAlign w:val="bottom"/>
            <w:tcBorders>
              <w:top w:val="single" w:sz="8" w:color="auto"/>
              <w:bottom w:val="single" w:sz="8" w:color="E0E0E0"/>
            </w:tcBorders>
            <w:shd w:val="clear" w:color="auto" w:fill="E0E0E0"/>
          </w:tcPr>
          <w:p>
            <w:pPr>
              <w:spacing w:after="0"/>
              <w:rPr>
                <w:sz w:val="15"/>
                <w:szCs w:val="15"/>
                <w:color w:val="auto"/>
              </w:rPr>
            </w:pPr>
          </w:p>
        </w:tc>
        <w:tc>
          <w:tcPr>
            <w:tcW w:w="160" w:type="dxa"/>
            <w:vAlign w:val="bottom"/>
            <w:tcBorders>
              <w:top w:val="single" w:sz="8" w:color="E0E0E0"/>
              <w:bottom w:val="single" w:sz="8" w:color="E0E0E0"/>
              <w:right w:val="single" w:sz="8" w:color="E0E0E0"/>
            </w:tcBorders>
            <w:shd w:val="clear" w:color="auto" w:fill="E0E0E0"/>
          </w:tcPr>
          <w:p>
            <w:pPr>
              <w:spacing w:after="0"/>
              <w:rPr>
                <w:sz w:val="15"/>
                <w:szCs w:val="15"/>
                <w:color w:val="auto"/>
              </w:rPr>
            </w:pPr>
          </w:p>
        </w:tc>
        <w:tc>
          <w:tcPr>
            <w:tcW w:w="120" w:type="dxa"/>
            <w:vAlign w:val="bottom"/>
            <w:tcBorders>
              <w:top w:val="single" w:sz="8" w:color="auto"/>
              <w:bottom w:val="single" w:sz="8" w:color="E0E0E0"/>
            </w:tcBorders>
            <w:shd w:val="clear" w:color="auto" w:fill="E0E0E0"/>
          </w:tcPr>
          <w:p>
            <w:pPr>
              <w:spacing w:after="0"/>
              <w:rPr>
                <w:sz w:val="15"/>
                <w:szCs w:val="15"/>
                <w:color w:val="auto"/>
              </w:rPr>
            </w:pPr>
          </w:p>
        </w:tc>
        <w:tc>
          <w:tcPr>
            <w:tcW w:w="680" w:type="dxa"/>
            <w:vAlign w:val="bottom"/>
            <w:tcBorders>
              <w:top w:val="single" w:sz="8" w:color="auto"/>
              <w:bottom w:val="single" w:sz="8" w:color="E0E0E0"/>
            </w:tcBorders>
            <w:shd w:val="clear" w:color="auto" w:fill="E0E0E0"/>
          </w:tcPr>
          <w:p>
            <w:pPr>
              <w:spacing w:after="0"/>
              <w:rPr>
                <w:sz w:val="15"/>
                <w:szCs w:val="15"/>
                <w:color w:val="auto"/>
              </w:rPr>
            </w:pPr>
          </w:p>
        </w:tc>
        <w:tc>
          <w:tcPr>
            <w:tcW w:w="200" w:type="dxa"/>
            <w:vAlign w:val="bottom"/>
            <w:tcBorders>
              <w:top w:val="single" w:sz="8" w:color="E0E0E0"/>
              <w:bottom w:val="single" w:sz="8" w:color="E0E0E0"/>
              <w:right w:val="single" w:sz="8" w:color="E0E0E0"/>
            </w:tcBorders>
            <w:shd w:val="clear" w:color="auto" w:fill="E0E0E0"/>
          </w:tcPr>
          <w:p>
            <w:pPr>
              <w:spacing w:after="0"/>
              <w:rPr>
                <w:sz w:val="15"/>
                <w:szCs w:val="15"/>
                <w:color w:val="auto"/>
              </w:rPr>
            </w:pPr>
          </w:p>
        </w:tc>
        <w:tc>
          <w:tcPr>
            <w:tcW w:w="80" w:type="dxa"/>
            <w:vAlign w:val="bottom"/>
            <w:tcBorders>
              <w:top w:val="single" w:sz="8" w:color="auto"/>
              <w:bottom w:val="single" w:sz="8" w:color="E0E0E0"/>
            </w:tcBorders>
            <w:shd w:val="clear" w:color="auto" w:fill="E0E0E0"/>
          </w:tcPr>
          <w:p>
            <w:pPr>
              <w:spacing w:after="0"/>
              <w:rPr>
                <w:sz w:val="15"/>
                <w:szCs w:val="15"/>
                <w:color w:val="auto"/>
              </w:rPr>
            </w:pPr>
          </w:p>
        </w:tc>
        <w:tc>
          <w:tcPr>
            <w:tcW w:w="720" w:type="dxa"/>
            <w:vAlign w:val="bottom"/>
            <w:tcBorders>
              <w:top w:val="single" w:sz="8" w:color="auto"/>
              <w:bottom w:val="single" w:sz="8" w:color="E0E0E0"/>
            </w:tcBorders>
            <w:shd w:val="clear" w:color="auto" w:fill="E0E0E0"/>
          </w:tcPr>
          <w:p>
            <w:pPr>
              <w:spacing w:after="0"/>
              <w:rPr>
                <w:sz w:val="15"/>
                <w:szCs w:val="15"/>
                <w:color w:val="auto"/>
              </w:rPr>
            </w:pPr>
          </w:p>
        </w:tc>
        <w:tc>
          <w:tcPr>
            <w:tcW w:w="20" w:type="dxa"/>
            <w:vAlign w:val="bottom"/>
            <w:tcBorders>
              <w:top w:val="single" w:sz="8" w:color="auto"/>
              <w:bottom w:val="single" w:sz="8" w:color="E0E0E0"/>
            </w:tcBorders>
            <w:shd w:val="clear" w:color="auto" w:fill="E0E0E0"/>
          </w:tcPr>
          <w:p>
            <w:pPr>
              <w:spacing w:after="0"/>
              <w:rPr>
                <w:sz w:val="15"/>
                <w:szCs w:val="15"/>
                <w:color w:val="auto"/>
              </w:rPr>
            </w:pPr>
          </w:p>
        </w:tc>
        <w:tc>
          <w:tcPr>
            <w:tcW w:w="80" w:type="dxa"/>
            <w:vAlign w:val="bottom"/>
            <w:tcBorders>
              <w:top w:val="single" w:sz="8" w:color="E0E0E0"/>
              <w:bottom w:val="single" w:sz="8" w:color="E0E0E0"/>
            </w:tcBorders>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29,909</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29,909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29,909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560" w:type="dxa"/>
            <w:vAlign w:val="bottom"/>
            <w:tcBorders>
              <w:right w:val="single" w:sz="8" w:color="E0E0E0"/>
            </w:tcBorders>
            <w:gridSpan w:val="2"/>
            <w:shd w:val="clear" w:color="auto" w:fill="E0E0E0"/>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E0E0E0"/>
          </w:tcPr>
          <w:p>
            <w:pPr>
              <w:spacing w:after="0"/>
              <w:rPr>
                <w:sz w:val="18"/>
                <w:szCs w:val="18"/>
                <w:color w:val="auto"/>
              </w:rPr>
            </w:pPr>
          </w:p>
        </w:tc>
        <w:tc>
          <w:tcPr>
            <w:tcW w:w="70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30,636</w:t>
            </w:r>
          </w:p>
        </w:tc>
        <w:tc>
          <w:tcPr>
            <w:tcW w:w="180" w:type="dxa"/>
            <w:vAlign w:val="bottom"/>
            <w:tcBorders>
              <w:right w:val="single" w:sz="8" w:color="E0E0E0"/>
            </w:tcBorders>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180" w:type="dxa"/>
            <w:vAlign w:val="bottom"/>
            <w:tcBorders>
              <w:right w:val="single" w:sz="8" w:color="E0E0E0"/>
            </w:tcBorders>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840" w:type="dxa"/>
            <w:vAlign w:val="bottom"/>
            <w:tcBorders>
              <w:right w:val="single" w:sz="8" w:color="E0E0E0"/>
            </w:tcBorders>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E0E0E0"/>
          </w:tcPr>
          <w:p>
            <w:pPr>
              <w:spacing w:after="0"/>
              <w:rPr>
                <w:sz w:val="18"/>
                <w:szCs w:val="18"/>
                <w:color w:val="auto"/>
              </w:rPr>
            </w:pPr>
          </w:p>
        </w:tc>
        <w:tc>
          <w:tcPr>
            <w:tcW w:w="840" w:type="dxa"/>
            <w:vAlign w:val="bottom"/>
            <w:tcBorders>
              <w:right w:val="single" w:sz="8" w:color="E0E0E0"/>
            </w:tcBorders>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30,644</w:t>
            </w:r>
          </w:p>
        </w:tc>
        <w:tc>
          <w:tcPr>
            <w:tcW w:w="100" w:type="dxa"/>
            <w:vAlign w:val="bottom"/>
            <w:shd w:val="clear" w:color="auto" w:fill="E0E0E0"/>
          </w:tcPr>
          <w:p>
            <w:pPr>
              <w:spacing w:after="0"/>
              <w:rPr>
                <w:sz w:val="18"/>
                <w:szCs w:val="18"/>
                <w:color w:val="auto"/>
              </w:rPr>
            </w:pPr>
          </w:p>
        </w:tc>
        <w:tc>
          <w:tcPr>
            <w:tcW w:w="880" w:type="dxa"/>
            <w:vAlign w:val="bottom"/>
            <w:tcBorders>
              <w:right w:val="single" w:sz="8" w:color="E0E0E0"/>
            </w:tcBorders>
            <w:gridSpan w:val="3"/>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18"/>
                <w:szCs w:val="18"/>
                <w:color w:val="auto"/>
              </w:rPr>
            </w:pPr>
          </w:p>
        </w:tc>
        <w:tc>
          <w:tcPr>
            <w:tcW w:w="880" w:type="dxa"/>
            <w:vAlign w:val="bottom"/>
            <w:tcBorders>
              <w:right w:val="single" w:sz="8" w:color="E0E0E0"/>
            </w:tcBorders>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30,644</w:t>
            </w:r>
          </w:p>
        </w:tc>
        <w:tc>
          <w:tcPr>
            <w:tcW w:w="80" w:type="dxa"/>
            <w:vAlign w:val="bottom"/>
            <w:shd w:val="clear" w:color="auto" w:fill="E0E0E0"/>
          </w:tcPr>
          <w:p>
            <w:pPr>
              <w:spacing w:after="0"/>
              <w:rPr>
                <w:sz w:val="18"/>
                <w:szCs w:val="18"/>
                <w:color w:val="auto"/>
              </w:rPr>
            </w:pPr>
          </w:p>
        </w:tc>
        <w:tc>
          <w:tcPr>
            <w:tcW w:w="820" w:type="dxa"/>
            <w:vAlign w:val="bottom"/>
            <w:gridSpan w:val="3"/>
            <w:shd w:val="clear" w:color="auto" w:fill="E0E0E0"/>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52,297</w:t>
            </w:r>
          </w:p>
        </w:tc>
        <w:tc>
          <w:tcPr>
            <w:tcW w:w="10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52,297</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shd w:val="clear" w:color="auto" w:fill="E0E0E0"/>
          </w:tcPr>
          <w:p>
            <w:pPr>
              <w:spacing w:after="0" w:line="20" w:lineRule="exact"/>
              <w:rPr>
                <w:sz w:val="1"/>
                <w:szCs w:val="1"/>
                <w:color w:val="auto"/>
              </w:rPr>
            </w:pPr>
          </w:p>
        </w:tc>
        <w:tc>
          <w:tcPr>
            <w:tcW w:w="1420" w:type="dxa"/>
            <w:vAlign w:val="bottom"/>
            <w:tcBorders>
              <w:right w:val="single" w:sz="8" w:color="E0E0E0"/>
            </w:tcBorders>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E0E0E0"/>
            </w:tcBorders>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E0E0E0"/>
            </w:tcBorders>
            <w:shd w:val="clear" w:color="auto" w:fill="000000"/>
          </w:tcPr>
          <w:p>
            <w:pPr>
              <w:spacing w:after="0" w:line="20" w:lineRule="exact"/>
              <w:rPr>
                <w:sz w:val="1"/>
                <w:szCs w:val="1"/>
                <w:color w:val="auto"/>
              </w:rPr>
            </w:pPr>
          </w:p>
        </w:tc>
        <w:tc>
          <w:tcPr>
            <w:tcW w:w="160" w:type="dxa"/>
            <w:vAlign w:val="bottom"/>
            <w:tcBorders>
              <w:right w:val="single" w:sz="8" w:color="E0E0E0"/>
            </w:tcBorders>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E0E0E0"/>
            </w:tcBorders>
            <w:shd w:val="clear" w:color="auto" w:fill="E0E0E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60" w:type="dxa"/>
            <w:vAlign w:val="bottom"/>
            <w:tcBorders>
              <w:right w:val="single" w:sz="8" w:color="E0E0E0"/>
            </w:tcBorders>
            <w:gridSpan w:val="2"/>
            <w:shd w:val="clear" w:color="auto" w:fill="E0E0E0"/>
          </w:tcPr>
          <w:p>
            <w:pPr>
              <w:ind w:left="400"/>
              <w:spacing w:after="0" w:line="197" w:lineRule="exact"/>
              <w:rPr>
                <w:sz w:val="20"/>
                <w:szCs w:val="20"/>
                <w:color w:val="auto"/>
              </w:rPr>
            </w:pPr>
            <w:r>
              <w:rPr>
                <w:rFonts w:ascii="Times New Roman" w:cs="Times New Roman" w:eastAsia="Times New Roman" w:hAnsi="Times New Roman"/>
                <w:sz w:val="18"/>
                <w:szCs w:val="18"/>
                <w:color w:val="auto"/>
              </w:rPr>
              <w:t>Total financial assets</w:t>
            </w: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E0E0E0"/>
            </w:tcBorders>
            <w:shd w:val="clear" w:color="auto" w:fill="E0E0E0"/>
          </w:tcPr>
          <w:p>
            <w:pPr>
              <w:jc w:val="right"/>
              <w:spacing w:after="0" w:line="197" w:lineRule="exact"/>
              <w:rPr>
                <w:sz w:val="20"/>
                <w:szCs w:val="20"/>
                <w:color w:val="auto"/>
              </w:rPr>
            </w:pPr>
            <w:r>
              <w:rPr>
                <w:rFonts w:ascii="Times New Roman" w:cs="Times New Roman" w:eastAsia="Times New Roman" w:hAnsi="Times New Roman"/>
                <w:sz w:val="18"/>
                <w:szCs w:val="18"/>
                <w:color w:val="auto"/>
              </w:rPr>
              <w:t>112,774</w:t>
            </w:r>
          </w:p>
        </w:tc>
        <w:tc>
          <w:tcPr>
            <w:tcW w:w="180" w:type="dxa"/>
            <w:vAlign w:val="bottom"/>
            <w:tcBorders>
              <w:right w:val="single" w:sz="8" w:color="E0E0E0"/>
            </w:tcBorders>
            <w:shd w:val="clear" w:color="auto" w:fill="E0E0E0"/>
          </w:tcPr>
          <w:p>
            <w:pPr>
              <w:spacing w:after="0"/>
              <w:rPr>
                <w:sz w:val="17"/>
                <w:szCs w:val="17"/>
                <w:color w:val="auto"/>
              </w:rPr>
            </w:pP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E0E0E0"/>
          </w:tcPr>
          <w:p>
            <w:pPr>
              <w:jc w:val="right"/>
              <w:spacing w:after="0" w:line="197" w:lineRule="exact"/>
              <w:rPr>
                <w:sz w:val="20"/>
                <w:szCs w:val="20"/>
                <w:color w:val="auto"/>
              </w:rPr>
            </w:pPr>
            <w:r>
              <w:rPr>
                <w:rFonts w:ascii="Times New Roman" w:cs="Times New Roman" w:eastAsia="Times New Roman" w:hAnsi="Times New Roman"/>
                <w:sz w:val="18"/>
                <w:szCs w:val="18"/>
                <w:color w:val="auto"/>
              </w:rPr>
              <w:t>80</w:t>
            </w:r>
          </w:p>
        </w:tc>
        <w:tc>
          <w:tcPr>
            <w:tcW w:w="20" w:type="dxa"/>
            <w:vAlign w:val="bottom"/>
            <w:vMerge w:val="continue"/>
          </w:tcPr>
          <w:p>
            <w:pPr>
              <w:spacing w:after="0"/>
              <w:rPr>
                <w:sz w:val="17"/>
                <w:szCs w:val="17"/>
                <w:color w:val="auto"/>
              </w:rPr>
            </w:pPr>
          </w:p>
        </w:tc>
        <w:tc>
          <w:tcPr>
            <w:tcW w:w="320" w:type="dxa"/>
            <w:vAlign w:val="bottom"/>
            <w:gridSpan w:val="2"/>
            <w:shd w:val="clear" w:color="auto" w:fill="E0E0E0"/>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E0E0E0"/>
            </w:tcBorders>
            <w:gridSpan w:val="2"/>
            <w:shd w:val="clear" w:color="auto" w:fill="E0E0E0"/>
          </w:tcPr>
          <w:p>
            <w:pPr>
              <w:jc w:val="right"/>
              <w:ind w:right="140"/>
              <w:spacing w:after="0" w:line="197"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E0E0E0"/>
            </w:tcBorders>
            <w:gridSpan w:val="2"/>
            <w:shd w:val="clear" w:color="auto" w:fill="E0E0E0"/>
          </w:tcPr>
          <w:p>
            <w:pPr>
              <w:jc w:val="right"/>
              <w:ind w:right="180"/>
              <w:spacing w:after="0" w:line="197" w:lineRule="exact"/>
              <w:rPr>
                <w:sz w:val="20"/>
                <w:szCs w:val="20"/>
                <w:color w:val="auto"/>
              </w:rPr>
            </w:pPr>
            <w:r>
              <w:rPr>
                <w:rFonts w:ascii="Times New Roman" w:cs="Times New Roman" w:eastAsia="Times New Roman" w:hAnsi="Times New Roman"/>
                <w:sz w:val="18"/>
                <w:szCs w:val="18"/>
                <w:color w:val="auto"/>
              </w:rPr>
              <w:t>112,850</w:t>
            </w: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E0E0E0"/>
            </w:tcBorders>
            <w:gridSpan w:val="3"/>
            <w:shd w:val="clear" w:color="auto" w:fill="E0E0E0"/>
          </w:tcPr>
          <w:p>
            <w:pPr>
              <w:jc w:val="right"/>
              <w:ind w:right="180"/>
              <w:spacing w:after="0" w:line="197" w:lineRule="exact"/>
              <w:rPr>
                <w:sz w:val="20"/>
                <w:szCs w:val="20"/>
                <w:color w:val="auto"/>
              </w:rPr>
            </w:pPr>
            <w:r>
              <w:rPr>
                <w:rFonts w:ascii="Times New Roman" w:cs="Times New Roman" w:eastAsia="Times New Roman" w:hAnsi="Times New Roman"/>
                <w:sz w:val="18"/>
                <w:szCs w:val="18"/>
                <w:color w:val="auto"/>
              </w:rPr>
              <w:t>82,206</w:t>
            </w:r>
          </w:p>
        </w:tc>
        <w:tc>
          <w:tcPr>
            <w:tcW w:w="120" w:type="dxa"/>
            <w:vAlign w:val="bottom"/>
            <w:shd w:val="clear" w:color="auto" w:fill="E0E0E0"/>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E0E0E0"/>
            </w:tcBorders>
            <w:gridSpan w:val="2"/>
            <w:shd w:val="clear" w:color="auto" w:fill="E0E0E0"/>
          </w:tcPr>
          <w:p>
            <w:pPr>
              <w:jc w:val="right"/>
              <w:ind w:right="200"/>
              <w:spacing w:after="0" w:line="197" w:lineRule="exact"/>
              <w:rPr>
                <w:sz w:val="20"/>
                <w:szCs w:val="20"/>
                <w:color w:val="auto"/>
              </w:rPr>
            </w:pPr>
            <w:r>
              <w:rPr>
                <w:rFonts w:ascii="Times New Roman" w:cs="Times New Roman" w:eastAsia="Times New Roman" w:hAnsi="Times New Roman"/>
                <w:sz w:val="18"/>
                <w:szCs w:val="18"/>
                <w:color w:val="auto"/>
              </w:rPr>
              <w:t>30,644</w:t>
            </w:r>
          </w:p>
        </w:tc>
        <w:tc>
          <w:tcPr>
            <w:tcW w:w="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E0E0E0"/>
          </w:tcPr>
          <w:p>
            <w:pPr>
              <w:ind w:left="560"/>
              <w:spacing w:after="0" w:line="19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gridSpan w:val="9"/>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As of December 31, 2024</w:t>
            </w: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9"/>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000" w:type="dxa"/>
            <w:vAlign w:val="bottom"/>
            <w:gridSpan w:val="3"/>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Priced in</w:t>
            </w:r>
          </w:p>
        </w:tc>
        <w:tc>
          <w:tcPr>
            <w:tcW w:w="12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Active</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Observable</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c>
          <w:tcPr>
            <w:tcW w:w="8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Markets</w:t>
            </w:r>
          </w:p>
        </w:tc>
        <w:tc>
          <w:tcPr>
            <w:tcW w:w="12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3"/>
                <w:szCs w:val="13"/>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7"/>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5"/>
                <w:szCs w:val="15"/>
                <w:color w:val="auto"/>
              </w:rPr>
            </w:pP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2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80" w:type="dxa"/>
            <w:vAlign w:val="bottom"/>
          </w:tcPr>
          <w:p>
            <w:pPr>
              <w:spacing w:after="0"/>
              <w:rPr>
                <w:sz w:val="15"/>
                <w:szCs w:val="15"/>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77"/>
        </w:trPr>
        <w:tc>
          <w:tcPr>
            <w:tcW w:w="2560" w:type="dxa"/>
            <w:vAlign w:val="bottom"/>
            <w:gridSpan w:val="2"/>
            <w:vMerge w:val="continue"/>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4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Money market</w:t>
            </w:r>
          </w:p>
        </w:tc>
        <w:tc>
          <w:tcPr>
            <w:tcW w:w="142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funds</w:t>
            </w: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180" w:type="dxa"/>
            <w:vAlign w:val="bottom"/>
            <w:tcBorders>
              <w:right w:val="single" w:sz="8" w:color="E0E0E0"/>
            </w:tcBorders>
            <w:shd w:val="clear" w:color="auto" w:fill="E0E0E0"/>
          </w:tcPr>
          <w:p>
            <w:pPr>
              <w:spacing w:after="0"/>
              <w:rPr>
                <w:sz w:val="17"/>
                <w:szCs w:val="17"/>
                <w:color w:val="auto"/>
              </w:rPr>
            </w:pP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E0E0E0"/>
            </w:tcBorders>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E0E0E0"/>
            </w:tcBorders>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40,790</w:t>
            </w: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E0E0E0"/>
            </w:tcBorders>
            <w:gridSpan w:val="3"/>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40,790</w:t>
            </w: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E0E0E0"/>
            </w:tcBorders>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0E0E0"/>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E0E0E0"/>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32,949</w:t>
            </w: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30,801</w:t>
            </w:r>
          </w:p>
        </w:tc>
        <w:tc>
          <w:tcPr>
            <w:tcW w:w="80" w:type="dxa"/>
            <w:vAlign w:val="bottom"/>
          </w:tcPr>
          <w:p>
            <w:pPr>
              <w:spacing w:after="0"/>
              <w:rPr>
                <w:sz w:val="18"/>
                <w:szCs w:val="18"/>
                <w:color w:val="auto"/>
              </w:rPr>
            </w:pPr>
          </w:p>
        </w:tc>
        <w:tc>
          <w:tcPr>
            <w:tcW w:w="8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2560" w:type="dxa"/>
            <w:vAlign w:val="bottom"/>
            <w:tcBorders>
              <w:right w:val="single" w:sz="8" w:color="E0E0E0"/>
            </w:tcBorders>
            <w:gridSpan w:val="2"/>
            <w:shd w:val="clear" w:color="auto" w:fill="E0E0E0"/>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00" w:type="dxa"/>
            <w:vAlign w:val="bottom"/>
            <w:shd w:val="clear" w:color="auto" w:fill="E0E0E0"/>
          </w:tcPr>
          <w:p>
            <w:pPr>
              <w:spacing w:after="0"/>
              <w:rPr>
                <w:sz w:val="17"/>
                <w:szCs w:val="17"/>
                <w:color w:val="auto"/>
              </w:rPr>
            </w:pPr>
          </w:p>
        </w:tc>
        <w:tc>
          <w:tcPr>
            <w:tcW w:w="70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109,341</w:t>
            </w:r>
          </w:p>
        </w:tc>
        <w:tc>
          <w:tcPr>
            <w:tcW w:w="180" w:type="dxa"/>
            <w:vAlign w:val="bottom"/>
            <w:tcBorders>
              <w:right w:val="single" w:sz="8" w:color="E0E0E0"/>
            </w:tcBorders>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7"/>
                <w:szCs w:val="17"/>
                <w:color w:val="auto"/>
              </w:rPr>
            </w:pPr>
          </w:p>
        </w:tc>
        <w:tc>
          <w:tcPr>
            <w:tcW w:w="180" w:type="dxa"/>
            <w:vAlign w:val="bottom"/>
            <w:tcBorders>
              <w:right w:val="single" w:sz="8" w:color="E0E0E0"/>
            </w:tcBorders>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840" w:type="dxa"/>
            <w:vAlign w:val="bottom"/>
            <w:tcBorders>
              <w:right w:val="single" w:sz="8" w:color="E0E0E0"/>
            </w:tcBorders>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E0E0E0"/>
          </w:tcPr>
          <w:p>
            <w:pPr>
              <w:spacing w:after="0"/>
              <w:rPr>
                <w:sz w:val="17"/>
                <w:szCs w:val="17"/>
                <w:color w:val="auto"/>
              </w:rPr>
            </w:pPr>
          </w:p>
        </w:tc>
        <w:tc>
          <w:tcPr>
            <w:tcW w:w="840" w:type="dxa"/>
            <w:vAlign w:val="bottom"/>
            <w:tcBorders>
              <w:right w:val="single" w:sz="8" w:color="E0E0E0"/>
            </w:tcBorders>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109,472</w:t>
            </w:r>
          </w:p>
        </w:tc>
        <w:tc>
          <w:tcPr>
            <w:tcW w:w="100" w:type="dxa"/>
            <w:vAlign w:val="bottom"/>
            <w:shd w:val="clear" w:color="auto" w:fill="E0E0E0"/>
          </w:tcPr>
          <w:p>
            <w:pPr>
              <w:spacing w:after="0"/>
              <w:rPr>
                <w:sz w:val="17"/>
                <w:szCs w:val="17"/>
                <w:color w:val="auto"/>
              </w:rPr>
            </w:pPr>
          </w:p>
        </w:tc>
        <w:tc>
          <w:tcPr>
            <w:tcW w:w="880" w:type="dxa"/>
            <w:vAlign w:val="bottom"/>
            <w:tcBorders>
              <w:right w:val="single" w:sz="8" w:color="E0E0E0"/>
            </w:tcBorders>
            <w:gridSpan w:val="3"/>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73,339</w:t>
            </w:r>
          </w:p>
        </w:tc>
        <w:tc>
          <w:tcPr>
            <w:tcW w:w="120" w:type="dxa"/>
            <w:vAlign w:val="bottom"/>
            <w:shd w:val="clear" w:color="auto" w:fill="E0E0E0"/>
          </w:tcPr>
          <w:p>
            <w:pPr>
              <w:spacing w:after="0"/>
              <w:rPr>
                <w:sz w:val="17"/>
                <w:szCs w:val="17"/>
                <w:color w:val="auto"/>
              </w:rPr>
            </w:pPr>
          </w:p>
        </w:tc>
        <w:tc>
          <w:tcPr>
            <w:tcW w:w="880" w:type="dxa"/>
            <w:vAlign w:val="bottom"/>
            <w:tcBorders>
              <w:right w:val="single" w:sz="8" w:color="E0E0E0"/>
            </w:tcBorders>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36,133</w:t>
            </w:r>
          </w:p>
        </w:tc>
        <w:tc>
          <w:tcPr>
            <w:tcW w:w="80" w:type="dxa"/>
            <w:vAlign w:val="bottom"/>
            <w:shd w:val="clear" w:color="auto" w:fill="E0E0E0"/>
          </w:tcPr>
          <w:p>
            <w:pPr>
              <w:spacing w:after="0"/>
              <w:rPr>
                <w:sz w:val="17"/>
                <w:szCs w:val="17"/>
                <w:color w:val="auto"/>
              </w:rPr>
            </w:pPr>
          </w:p>
        </w:tc>
        <w:tc>
          <w:tcPr>
            <w:tcW w:w="820" w:type="dxa"/>
            <w:vAlign w:val="bottom"/>
            <w:gridSpan w:val="3"/>
            <w:shd w:val="clear" w:color="auto" w:fill="E0E0E0"/>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560" w:type="dxa"/>
            <w:vAlign w:val="bottom"/>
            <w:gridSpan w:val="2"/>
          </w:tcPr>
          <w:p>
            <w:pPr>
              <w:ind w:left="400"/>
              <w:spacing w:after="0" w:line="199" w:lineRule="exact"/>
              <w:rPr>
                <w:sz w:val="20"/>
                <w:szCs w:val="20"/>
                <w:color w:val="auto"/>
              </w:rPr>
            </w:pPr>
            <w:r>
              <w:rPr>
                <w:rFonts w:ascii="Times New Roman" w:cs="Times New Roman" w:eastAsia="Times New Roman" w:hAnsi="Times New Roman"/>
                <w:sz w:val="18"/>
                <w:szCs w:val="18"/>
                <w:color w:val="auto"/>
              </w:rPr>
              <w:t>Total financial assets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183,072</w:t>
            </w: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183,211</w:t>
            </w:r>
          </w:p>
        </w:tc>
        <w:tc>
          <w:tcPr>
            <w:tcW w:w="1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116,277</w:t>
            </w:r>
          </w:p>
        </w:tc>
        <w:tc>
          <w:tcPr>
            <w:tcW w:w="180" w:type="dxa"/>
            <w:vAlign w:val="bottom"/>
            <w:gridSpan w:val="2"/>
          </w:tcPr>
          <w:p>
            <w:pPr>
              <w:spacing w:after="0"/>
              <w:rPr>
                <w:sz w:val="17"/>
                <w:szCs w:val="17"/>
                <w:color w:val="auto"/>
              </w:rPr>
            </w:pPr>
          </w:p>
        </w:tc>
        <w:tc>
          <w:tcPr>
            <w:tcW w:w="1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66,934</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ind w:left="560"/>
              <w:spacing w:after="0" w:line="199" w:lineRule="exact"/>
              <w:rPr>
                <w:sz w:val="20"/>
                <w:szCs w:val="20"/>
                <w:color w:val="auto"/>
              </w:rPr>
            </w:pPr>
            <w:r>
              <w:rPr>
                <w:rFonts w:ascii="Times New Roman" w:cs="Times New Roman" w:eastAsia="Times New Roman" w:hAnsi="Times New Roman"/>
                <w:sz w:val="18"/>
                <w:szCs w:val="18"/>
                <w:color w:val="auto"/>
                <w:w w:val="77"/>
              </w:rPr>
              <w:t>—</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1616710</wp:posOffset>
                </wp:positionH>
                <wp:positionV relativeFrom="paragraph">
                  <wp:posOffset>-1590675</wp:posOffset>
                </wp:positionV>
                <wp:extent cx="50546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3pt,-125.2499pt" to="167.1pt,-125.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2238375</wp:posOffset>
                </wp:positionH>
                <wp:positionV relativeFrom="paragraph">
                  <wp:posOffset>-1590675</wp:posOffset>
                </wp:positionV>
                <wp:extent cx="50609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09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25pt,-125.2499pt" to="216.1pt,-125.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2862580</wp:posOffset>
                </wp:positionH>
                <wp:positionV relativeFrom="paragraph">
                  <wp:posOffset>-1590675</wp:posOffset>
                </wp:positionV>
                <wp:extent cx="50673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73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4pt,-125.2499pt" to="265.3pt,-125.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3487420</wp:posOffset>
                </wp:positionH>
                <wp:positionV relativeFrom="paragraph">
                  <wp:posOffset>-1590675</wp:posOffset>
                </wp:positionV>
                <wp:extent cx="50673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73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6pt,-125.2499pt" to="314.5pt,-125.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4112260</wp:posOffset>
                </wp:positionH>
                <wp:positionV relativeFrom="paragraph">
                  <wp:posOffset>-1590675</wp:posOffset>
                </wp:positionV>
                <wp:extent cx="50673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73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8pt,-125.2499pt" to="363.7pt,-125.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4737100</wp:posOffset>
                </wp:positionH>
                <wp:positionV relativeFrom="paragraph">
                  <wp:posOffset>-1590675</wp:posOffset>
                </wp:positionV>
                <wp:extent cx="50673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73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pt,-125.2499pt" to="412.9pt,-125.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5361940</wp:posOffset>
                </wp:positionH>
                <wp:positionV relativeFrom="paragraph">
                  <wp:posOffset>-1590675</wp:posOffset>
                </wp:positionV>
                <wp:extent cx="52387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38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2pt,-125.2499pt" to="463.45pt,-125.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3994150</wp:posOffset>
                </wp:positionH>
                <wp:positionV relativeFrom="paragraph">
                  <wp:posOffset>-694690</wp:posOffset>
                </wp:positionV>
                <wp:extent cx="11811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 cy="4763"/>
                        </a:xfrm>
                        <a:prstGeom prst="line">
                          <a:avLst/>
                        </a:prstGeom>
                        <a:solidFill>
                          <a:srgbClr val="FFFFFF"/>
                        </a:solidFill>
                        <a:ln w="6095">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5pt,-54.6999pt" to="323.8pt,-54.6999pt" o:allowincell="f" strokecolor="#FFFFFF" strokeweight="0.4799pt"/>
            </w:pict>
          </mc:Fallback>
        </mc:AlternateConten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Cash and Cash Equivalents </w:t>
      </w:r>
      <w:r>
        <w:rPr>
          <w:rFonts w:ascii="Times New Roman" w:cs="Times New Roman" w:eastAsia="Times New Roman" w:hAnsi="Times New Roman"/>
          <w:sz w:val="20"/>
          <w:szCs w:val="20"/>
          <w:color w:val="auto"/>
        </w:rPr>
        <w:t>– As of December 31, 2025, the Company had aggregate cash and cash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equivalents of $37,983, including cash equivalents of $37,890 consisting of $29,909 of money market funds and</w:t>
      </w:r>
    </w:p>
    <w:p>
      <w:pPr>
        <w:spacing w:after="0"/>
        <w:rPr>
          <w:sz w:val="20"/>
          <w:szCs w:val="20"/>
          <w:color w:val="auto"/>
        </w:rPr>
      </w:pPr>
      <w:r>
        <w:rPr>
          <w:rFonts w:ascii="Times New Roman" w:cs="Times New Roman" w:eastAsia="Times New Roman" w:hAnsi="Times New Roman"/>
          <w:sz w:val="20"/>
          <w:szCs w:val="20"/>
          <w:color w:val="auto"/>
        </w:rPr>
        <w:t>$7,981 of corporate securities. As of December 31, 2024, the Company had aggregate cash and cash equivalents of</w:t>
      </w:r>
    </w:p>
    <w:p>
      <w:pPr>
        <w:spacing w:after="0"/>
        <w:rPr>
          <w:sz w:val="20"/>
          <w:szCs w:val="20"/>
          <w:color w:val="auto"/>
        </w:rPr>
      </w:pPr>
      <w:r>
        <w:rPr>
          <w:rFonts w:ascii="Times New Roman" w:cs="Times New Roman" w:eastAsia="Times New Roman" w:hAnsi="Times New Roman"/>
          <w:sz w:val="20"/>
          <w:szCs w:val="20"/>
          <w:color w:val="auto"/>
        </w:rPr>
        <w:t>$40,876, including cash equivalents of $40,790, consisting of money market funds and government securities.</w:t>
      </w:r>
    </w:p>
    <w:p>
      <w:pPr>
        <w:spacing w:after="0" w:line="212"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Marketable Securities </w:t>
      </w:r>
      <w:r>
        <w:rPr>
          <w:rFonts w:ascii="Times New Roman" w:cs="Times New Roman" w:eastAsia="Times New Roman" w:hAnsi="Times New Roman"/>
          <w:sz w:val="20"/>
          <w:szCs w:val="20"/>
          <w:color w:val="auto"/>
        </w:rPr>
        <w:t>– Marketable securities of $74,960 as of December 31, 2025, consisted of corporate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debt securities of $22,663 and government debt securities of $52,298. There were $74,960 current marketable securities and no noncurrent marketable securities as of December 31, 2025. Marketable securities of $142,421 as of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360"/>
          </w:cols>
          <w:pgMar w:left="1440" w:top="1420" w:right="1440" w:bottom="175" w:gutter="0" w:footer="0" w:header="0"/>
        </w:sectPr>
      </w:pPr>
    </w:p>
    <w:bookmarkStart w:id="119" w:name="page120"/>
    <w:bookmarkEnd w:id="119"/>
    <w:p>
      <w:pPr>
        <w:jc w:val="both"/>
        <w:ind w:right="200"/>
        <w:spacing w:after="0" w:line="258" w:lineRule="auto"/>
        <w:rPr>
          <w:sz w:val="20"/>
          <w:szCs w:val="20"/>
          <w:color w:val="auto"/>
        </w:rPr>
      </w:pPr>
      <w:r>
        <w:rPr>
          <w:rFonts w:ascii="Times New Roman" w:cs="Times New Roman" w:eastAsia="Times New Roman" w:hAnsi="Times New Roman"/>
          <w:sz w:val="20"/>
          <w:szCs w:val="20"/>
          <w:color w:val="auto"/>
        </w:rPr>
        <w:t>December 31, 2024, consisted of corporate debt securities of $32,949 and government debt securities of $109,472. There were $128,578 current marketable securities and $13,843 noncurrent marketable securities as of December 31, 2024.</w:t>
      </w:r>
    </w:p>
    <w:p>
      <w:pPr>
        <w:spacing w:after="0" w:line="188" w:lineRule="exact"/>
        <w:rPr>
          <w:sz w:val="20"/>
          <w:szCs w:val="20"/>
          <w:color w:val="auto"/>
        </w:rPr>
      </w:pPr>
    </w:p>
    <w:p>
      <w:pPr>
        <w:ind w:right="360" w:firstLine="619"/>
        <w:spacing w:after="0" w:line="277" w:lineRule="auto"/>
        <w:rPr>
          <w:sz w:val="20"/>
          <w:szCs w:val="20"/>
          <w:color w:val="auto"/>
        </w:rPr>
      </w:pPr>
      <w:r>
        <w:rPr>
          <w:rFonts w:ascii="Times New Roman" w:cs="Times New Roman" w:eastAsia="Times New Roman" w:hAnsi="Times New Roman"/>
          <w:sz w:val="20"/>
          <w:szCs w:val="20"/>
          <w:color w:val="auto"/>
        </w:rPr>
        <w:t>As of December 31, 2025 and 2024, aggregated gross unrealized losses of available-for-sale investments were not material, and accordingly, no allowance for credit losses was recorded.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4. Property and Equipment, Net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5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50" w:type="dxa"/>
            <w:vAlign w:val="bottom"/>
            <w:vMerge w:val="continue"/>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vMerge w:val="restart"/>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vMerge w:val="restart"/>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350" w:type="dxa"/>
            <w:vAlign w:val="bottom"/>
            <w:tcBorders>
              <w:bottom w:val="single" w:sz="8" w:color="DDDDDD"/>
            </w:tcBorders>
            <w:vMerge w:val="continue"/>
          </w:tcPr>
          <w:p>
            <w:pPr>
              <w:spacing w:after="0"/>
              <w:rPr>
                <w:sz w:val="14"/>
                <w:szCs w:val="14"/>
                <w:color w:val="auto"/>
              </w:rPr>
            </w:pPr>
          </w:p>
        </w:tc>
        <w:tc>
          <w:tcPr>
            <w:tcW w:w="170" w:type="dxa"/>
            <w:vAlign w:val="bottom"/>
            <w:tcBorders>
              <w:bottom w:val="single" w:sz="8" w:color="DDDDDD"/>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DDDDDD"/>
            </w:tcBorders>
            <w:vMerge w:val="continue"/>
          </w:tcPr>
          <w:p>
            <w:pPr>
              <w:spacing w:after="0"/>
              <w:rPr>
                <w:sz w:val="14"/>
                <w:szCs w:val="14"/>
                <w:color w:val="auto"/>
              </w:rPr>
            </w:pPr>
          </w:p>
        </w:tc>
        <w:tc>
          <w:tcPr>
            <w:tcW w:w="14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80" w:type="dxa"/>
            <w:vAlign w:val="bottom"/>
            <w:tcBorders>
              <w:bottom w:val="single" w:sz="8" w:color="DDDDDD"/>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35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Machinery &amp; equipment</w:t>
            </w:r>
          </w:p>
        </w:tc>
        <w:tc>
          <w:tcPr>
            <w:tcW w:w="17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1,447</w:t>
            </w: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40" w:type="dxa"/>
            <w:vAlign w:val="bottom"/>
            <w:shd w:val="clear" w:color="auto" w:fill="DDDDDD"/>
          </w:tcPr>
          <w:p>
            <w:pPr>
              <w:jc w:val="right"/>
              <w:ind w:right="240"/>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1,782</w:t>
            </w: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50" w:type="dxa"/>
            <w:vAlign w:val="bottom"/>
          </w:tcPr>
          <w:p>
            <w:pPr>
              <w:spacing w:after="0"/>
              <w:rPr>
                <w:sz w:val="20"/>
                <w:szCs w:val="20"/>
                <w:color w:val="auto"/>
              </w:rPr>
            </w:pPr>
            <w:r>
              <w:rPr>
                <w:rFonts w:ascii="Times New Roman" w:cs="Times New Roman" w:eastAsia="Times New Roman" w:hAnsi="Times New Roman"/>
                <w:sz w:val="20"/>
                <w:szCs w:val="20"/>
                <w:color w:val="auto"/>
              </w:rPr>
              <w:t>Computers</w:t>
            </w:r>
          </w:p>
        </w:tc>
        <w:tc>
          <w:tcPr>
            <w:tcW w:w="17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5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Furniture &amp; fixtures</w:t>
            </w:r>
          </w:p>
        </w:tc>
        <w:tc>
          <w:tcPr>
            <w:tcW w:w="17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40" w:type="dxa"/>
            <w:vAlign w:val="bottom"/>
            <w:shd w:val="clear" w:color="auto" w:fill="DDDDDD"/>
          </w:tcPr>
          <w:p>
            <w:pPr>
              <w:spacing w:after="0"/>
              <w:rPr>
                <w:sz w:val="21"/>
                <w:szCs w:val="21"/>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5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70" w:type="dxa"/>
            <w:vAlign w:val="bottom"/>
            <w:tcBorders>
              <w:bottom w:val="single" w:sz="8" w:color="DDDDDD"/>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80" w:type="dxa"/>
            <w:vAlign w:val="bottom"/>
            <w:tcBorders>
              <w:bottom w:val="single" w:sz="8" w:color="DDDDDD"/>
            </w:tcBorders>
          </w:tcPr>
          <w:p>
            <w:pPr>
              <w:spacing w:after="0"/>
              <w:rPr>
                <w:sz w:val="21"/>
                <w:szCs w:val="21"/>
                <w:color w:val="auto"/>
              </w:rPr>
            </w:pPr>
          </w:p>
        </w:tc>
        <w:tc>
          <w:tcPr>
            <w:tcW w:w="1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20" w:type="dxa"/>
            <w:vAlign w:val="bottom"/>
            <w:tcBorders>
              <w:bottom w:val="single" w:sz="8" w:color="DDDDDD"/>
            </w:tcBorders>
          </w:tcPr>
          <w:p>
            <w:pPr>
              <w:spacing w:after="0"/>
              <w:rPr>
                <w:sz w:val="21"/>
                <w:szCs w:val="21"/>
                <w:color w:val="auto"/>
              </w:rPr>
            </w:pPr>
          </w:p>
        </w:tc>
        <w:tc>
          <w:tcPr>
            <w:tcW w:w="80" w:type="dxa"/>
            <w:vAlign w:val="bottom"/>
            <w:tcBorders>
              <w:bottom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350" w:type="dxa"/>
            <w:vAlign w:val="bottom"/>
            <w:shd w:val="clear" w:color="auto" w:fill="DDDDDD"/>
          </w:tcPr>
          <w:p>
            <w:pPr>
              <w:spacing w:after="0" w:line="225" w:lineRule="exact"/>
              <w:rPr>
                <w:sz w:val="20"/>
                <w:szCs w:val="20"/>
                <w:color w:val="auto"/>
              </w:rPr>
            </w:pPr>
            <w:r>
              <w:rPr>
                <w:rFonts w:ascii="Times New Roman" w:cs="Times New Roman" w:eastAsia="Times New Roman" w:hAnsi="Times New Roman"/>
                <w:sz w:val="20"/>
                <w:szCs w:val="20"/>
                <w:color w:val="auto"/>
              </w:rPr>
              <w:t>Total property and equipment</w:t>
            </w:r>
          </w:p>
        </w:tc>
        <w:tc>
          <w:tcPr>
            <w:tcW w:w="17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1,564</w:t>
            </w: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1,869</w:t>
            </w:r>
          </w:p>
        </w:tc>
        <w:tc>
          <w:tcPr>
            <w:tcW w:w="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5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7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(1,327 )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(1,460 )</w:t>
            </w:r>
          </w:p>
        </w:tc>
        <w:tc>
          <w:tcPr>
            <w:tcW w:w="0" w:type="dxa"/>
            <w:vAlign w:val="bottom"/>
          </w:tcPr>
          <w:p>
            <w:pPr>
              <w:spacing w:after="0"/>
              <w:rPr>
                <w:sz w:val="1"/>
                <w:szCs w:val="1"/>
                <w:color w:val="auto"/>
              </w:rPr>
            </w:pPr>
          </w:p>
        </w:tc>
      </w:tr>
      <w:tr>
        <w:trPr>
          <w:trHeight w:val="236"/>
        </w:trPr>
        <w:tc>
          <w:tcPr>
            <w:tcW w:w="635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70" w:type="dxa"/>
            <w:vAlign w:val="bottom"/>
            <w:tcBorders>
              <w:top w:val="single" w:sz="8" w:color="DDDDDD"/>
            </w:tcBorders>
            <w:shd w:val="clear" w:color="auto" w:fill="DDDDDD"/>
          </w:tcPr>
          <w:p>
            <w:pPr>
              <w:spacing w:after="0"/>
              <w:rPr>
                <w:sz w:val="20"/>
                <w:szCs w:val="20"/>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0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80" w:type="dxa"/>
            <w:vAlign w:val="bottom"/>
            <w:tcBorders>
              <w:top w:val="single" w:sz="8" w:color="DDDDDD"/>
            </w:tcBorders>
            <w:shd w:val="clear" w:color="auto" w:fill="DDDDDD"/>
          </w:tcPr>
          <w:p>
            <w:pPr>
              <w:spacing w:after="0"/>
              <w:rPr>
                <w:sz w:val="20"/>
                <w:szCs w:val="20"/>
                <w:color w:val="auto"/>
              </w:rPr>
            </w:pPr>
          </w:p>
        </w:tc>
        <w:tc>
          <w:tcPr>
            <w:tcW w:w="1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440" w:type="dxa"/>
            <w:vAlign w:val="bottom"/>
            <w:tcBorders>
              <w:top w:val="single" w:sz="8" w:color="auto"/>
              <w:bottom w:val="single" w:sz="8" w:color="auto"/>
            </w:tcBorders>
            <w:shd w:val="clear" w:color="auto" w:fill="DDDDDD"/>
          </w:tcPr>
          <w:p>
            <w:pPr>
              <w:jc w:val="right"/>
              <w:ind w:right="240"/>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8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409</w:t>
            </w: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80" w:type="dxa"/>
            <w:vAlign w:val="bottom"/>
            <w:tcBorders>
              <w:top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5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-650240</wp:posOffset>
                </wp:positionV>
                <wp:extent cx="59436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1999pt" to="468pt,-51.1999pt" o:allowincell="f" strokecolor="#FFFFFF" strokeweight="0.7199pt"/>
            </w:pict>
          </mc:Fallback>
        </mc:AlternateContent>
      </w:r>
    </w:p>
    <w:p>
      <w:pPr>
        <w:spacing w:after="0" w:line="235" w:lineRule="exact"/>
        <w:rPr>
          <w:sz w:val="20"/>
          <w:szCs w:val="20"/>
          <w:color w:val="auto"/>
        </w:rPr>
      </w:pPr>
    </w:p>
    <w:p>
      <w:pPr>
        <w:ind w:right="380" w:firstLine="619"/>
        <w:spacing w:after="0" w:line="259" w:lineRule="auto"/>
        <w:rPr>
          <w:sz w:val="20"/>
          <w:szCs w:val="20"/>
          <w:color w:val="auto"/>
        </w:rPr>
      </w:pPr>
      <w:r>
        <w:rPr>
          <w:rFonts w:ascii="Times New Roman" w:cs="Times New Roman" w:eastAsia="Times New Roman" w:hAnsi="Times New Roman"/>
          <w:sz w:val="20"/>
          <w:szCs w:val="20"/>
          <w:color w:val="auto"/>
        </w:rPr>
        <w:t>The Company terminated a lease in 2024 resulting in an abandonment and write-off of the leasehold improvements of $9,454. Refer to Note 6 for more details on the lease termination. Depreciation expense for the years ended December 31, 2025, 2024, and 2023 was $133, $1,144, and $1,257, respectively.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5. Accrued Expenses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Accrued expenses consist of the following: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380" w:type="dxa"/>
            <w:vAlign w:val="bottom"/>
            <w:tcBorders>
              <w:bottom w:val="single" w:sz="8" w:color="DDDDDD"/>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0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DDDDDD"/>
            </w:tcBorders>
          </w:tcPr>
          <w:p>
            <w:pPr>
              <w:spacing w:after="0"/>
              <w:rPr>
                <w:sz w:val="15"/>
                <w:szCs w:val="15"/>
                <w:color w:val="auto"/>
              </w:rPr>
            </w:pPr>
          </w:p>
        </w:tc>
        <w:tc>
          <w:tcPr>
            <w:tcW w:w="14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DDDDDD"/>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38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Accrued compensation</w:t>
            </w:r>
          </w:p>
        </w:tc>
        <w:tc>
          <w:tcPr>
            <w:tcW w:w="14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shd w:val="clear" w:color="auto" w:fill="DDDDDD"/>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4,532</w:t>
            </w:r>
          </w:p>
        </w:tc>
        <w:tc>
          <w:tcPr>
            <w:tcW w:w="620" w:type="dxa"/>
            <w:vAlign w:val="bottom"/>
            <w:gridSpan w:val="3"/>
            <w:shd w:val="clear" w:color="auto" w:fill="DDDDDD"/>
          </w:tcPr>
          <w:p>
            <w:pPr>
              <w:jc w:val="right"/>
              <w:ind w:right="2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shd w:val="clear" w:color="auto" w:fill="DDDDDD"/>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5,005</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Accrued research and development costs</w:t>
            </w:r>
          </w:p>
        </w:tc>
        <w:tc>
          <w:tcPr>
            <w:tcW w:w="1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3,130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2,177</w:t>
            </w:r>
          </w:p>
        </w:tc>
        <w:tc>
          <w:tcPr>
            <w:tcW w:w="0" w:type="dxa"/>
            <w:vAlign w:val="bottom"/>
          </w:tcPr>
          <w:p>
            <w:pPr>
              <w:spacing w:after="0"/>
              <w:rPr>
                <w:sz w:val="1"/>
                <w:szCs w:val="1"/>
                <w:color w:val="auto"/>
              </w:rPr>
            </w:pPr>
          </w:p>
        </w:tc>
      </w:tr>
      <w:tr>
        <w:trPr>
          <w:trHeight w:val="250"/>
        </w:trPr>
        <w:tc>
          <w:tcPr>
            <w:tcW w:w="63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Accrued legal and professional services</w:t>
            </w:r>
          </w:p>
        </w:tc>
        <w:tc>
          <w:tcPr>
            <w:tcW w:w="140" w:type="dxa"/>
            <w:vAlign w:val="bottom"/>
            <w:shd w:val="clear" w:color="auto" w:fill="DDDDDD"/>
          </w:tcPr>
          <w:p>
            <w:pPr>
              <w:spacing w:after="0"/>
              <w:rPr>
                <w:sz w:val="21"/>
                <w:szCs w:val="21"/>
                <w:color w:val="auto"/>
              </w:rPr>
            </w:pPr>
          </w:p>
        </w:tc>
        <w:tc>
          <w:tcPr>
            <w:tcW w:w="12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195</w:t>
            </w:r>
          </w:p>
        </w:tc>
        <w:tc>
          <w:tcPr>
            <w:tcW w:w="1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60" w:type="dxa"/>
            <w:vAlign w:val="bottom"/>
            <w:shd w:val="clear" w:color="auto" w:fill="DDDDDD"/>
          </w:tcPr>
          <w:p>
            <w:pPr>
              <w:spacing w:after="0"/>
              <w:rPr>
                <w:sz w:val="21"/>
                <w:szCs w:val="21"/>
                <w:color w:val="auto"/>
              </w:rPr>
            </w:pPr>
          </w:p>
        </w:tc>
        <w:tc>
          <w:tcPr>
            <w:tcW w:w="1000" w:type="dxa"/>
            <w:vAlign w:val="bottom"/>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257</w:t>
            </w:r>
          </w:p>
        </w:tc>
        <w:tc>
          <w:tcPr>
            <w:tcW w:w="0" w:type="dxa"/>
            <w:vAlign w:val="bottom"/>
          </w:tcPr>
          <w:p>
            <w:pPr>
              <w:spacing w:after="0"/>
              <w:rPr>
                <w:sz w:val="1"/>
                <w:szCs w:val="1"/>
                <w:color w:val="auto"/>
              </w:rPr>
            </w:pPr>
          </w:p>
        </w:tc>
      </w:tr>
      <w:tr>
        <w:trPr>
          <w:trHeight w:val="202"/>
        </w:trPr>
        <w:tc>
          <w:tcPr>
            <w:tcW w:w="6380" w:type="dxa"/>
            <w:vAlign w:val="bottom"/>
            <w:tcBorders>
              <w:top w:val="single" w:sz="8" w:color="DDDDDD"/>
            </w:tcBorders>
          </w:tcPr>
          <w:p>
            <w:pPr>
              <w:spacing w:after="0" w:line="203" w:lineRule="exact"/>
              <w:rPr>
                <w:sz w:val="20"/>
                <w:szCs w:val="20"/>
                <w:color w:val="auto"/>
              </w:rPr>
            </w:pPr>
            <w:r>
              <w:rPr>
                <w:rFonts w:ascii="Times New Roman" w:cs="Times New Roman" w:eastAsia="Times New Roman" w:hAnsi="Times New Roman"/>
                <w:sz w:val="20"/>
                <w:szCs w:val="20"/>
                <w:color w:val="auto"/>
              </w:rPr>
              <w:t>Total</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7,857</w:t>
            </w:r>
          </w:p>
        </w:tc>
        <w:tc>
          <w:tcPr>
            <w:tcW w:w="20" w:type="dxa"/>
            <w:vAlign w:val="bottom"/>
            <w:tcBorders>
              <w:top w:val="single" w:sz="8" w:color="DDDDDD"/>
            </w:tcBorders>
          </w:tcPr>
          <w:p>
            <w:pPr>
              <w:spacing w:after="0"/>
              <w:rPr>
                <w:sz w:val="17"/>
                <w:szCs w:val="17"/>
                <w:color w:val="auto"/>
              </w:rPr>
            </w:pPr>
          </w:p>
        </w:tc>
        <w:tc>
          <w:tcPr>
            <w:tcW w:w="140" w:type="dxa"/>
            <w:vAlign w:val="bottom"/>
            <w:tcBorders>
              <w:top w:val="single" w:sz="8" w:color="DDDDDD"/>
            </w:tcBorders>
          </w:tcPr>
          <w:p>
            <w:pPr>
              <w:spacing w:after="0"/>
              <w:rPr>
                <w:sz w:val="17"/>
                <w:szCs w:val="17"/>
                <w:color w:val="auto"/>
              </w:rPr>
            </w:pPr>
          </w:p>
        </w:tc>
        <w:tc>
          <w:tcPr>
            <w:tcW w:w="20" w:type="dxa"/>
            <w:vAlign w:val="bottom"/>
            <w:tcBorders>
              <w:top w:val="single" w:sz="8" w:color="DDDDDD"/>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60"/>
              <w:spacing w:after="0" w:line="203"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20"/>
                <w:szCs w:val="20"/>
                <w:color w:val="auto"/>
              </w:rPr>
              <w:t>7,439</w:t>
            </w:r>
          </w:p>
        </w:tc>
        <w:tc>
          <w:tcPr>
            <w:tcW w:w="100" w:type="dxa"/>
            <w:vAlign w:val="bottom"/>
            <w:tcBorders>
              <w:top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-177800</wp:posOffset>
                </wp:positionV>
                <wp:extent cx="405574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5574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pt" to="319.35pt,-14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4897120</wp:posOffset>
                </wp:positionH>
                <wp:positionV relativeFrom="paragraph">
                  <wp:posOffset>-177800</wp:posOffset>
                </wp:positionV>
                <wp:extent cx="11874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745"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6pt,-14pt" to="394.95pt,-14pt" o:allowincell="f" strokecolor="#FFFFFF" strokeweight="0.48pt"/>
            </w:pict>
          </mc:Fallback>
        </mc:AlternateContent>
        <mc:AlternateContent>
          <mc:Choice Requires="wps">
            <w:drawing>
              <wp:anchor simplePos="0" relativeHeight="251657728" behindDoc="1" locked="0" layoutInCell="0" allowOverlap="1">
                <wp:simplePos x="0" y="0"/>
                <wp:positionH relativeFrom="column">
                  <wp:posOffset>5883910</wp:posOffset>
                </wp:positionH>
                <wp:positionV relativeFrom="paragraph">
                  <wp:posOffset>-177800</wp:posOffset>
                </wp:positionV>
                <wp:extent cx="5969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 cy="4763"/>
                        </a:xfrm>
                        <a:prstGeom prst="line">
                          <a:avLst/>
                        </a:prstGeom>
                        <a:solidFill>
                          <a:srgbClr val="FFFFFF"/>
                        </a:solidFill>
                        <a:ln w="6096">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3pt,-14pt" to="468pt,-14pt" o:allowincell="f" strokecolor="#FFFFFF" strokeweight="0.48pt"/>
            </w:pict>
          </mc:Fallback>
        </mc:AlternateConten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6. Commitments and Contingencies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11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January 2021, the Company signed a lease for 50,581 square feet of office and laboratory space (the “One Research Way Lease”) at One Research Way in Princeton, New Jersey (the “Premises”). The lease term initially extended through 2032, had a five-year extension option, and replaced the Company’s two prior facilities as the Company’s headquarters in March 2023. The Company estimated that payments under the One Research Way Lease would be $ 19,889 through May 2032. The Company received a lease incentive of $4,046 from the lessor for a buildout of laboratory, vivarium, and office space. Management estimated the timing and amounts of reimbursements and included them as a reduction of lease payments when initially measuring the lease liability and right-of-use asset upon commencement. Since the inception date of the lease, $4,046 reimbursements were received from the lessor.</w:t>
      </w:r>
    </w:p>
    <w:p>
      <w:pPr>
        <w:spacing w:after="0" w:line="86" w:lineRule="exact"/>
        <w:rPr>
          <w:sz w:val="20"/>
          <w:szCs w:val="20"/>
          <w:color w:val="auto"/>
        </w:rPr>
      </w:pPr>
    </w:p>
    <w:p>
      <w:pPr>
        <w:ind w:right="320" w:firstLine="490"/>
        <w:spacing w:after="0" w:line="246" w:lineRule="auto"/>
        <w:rPr>
          <w:sz w:val="20"/>
          <w:szCs w:val="20"/>
          <w:color w:val="auto"/>
        </w:rPr>
      </w:pPr>
      <w:r>
        <w:rPr>
          <w:rFonts w:ascii="Times New Roman" w:cs="Times New Roman" w:eastAsia="Times New Roman" w:hAnsi="Times New Roman"/>
          <w:sz w:val="20"/>
          <w:szCs w:val="20"/>
          <w:color w:val="auto"/>
        </w:rPr>
        <w:t>In August 2024, the Company entered into a Lease Termination Agreement with BMR-One Research Way LLC (the “Landlord”), in connection with the termination of the One Research Way Lease (the “Termination Agreement”). The Termination Agreement was contingent on the sale of the Premises by the Landlord to a prospective new buyer, which was met on October 1, 2024, and, as a result, there was no modification in August 2024.</w:t>
      </w:r>
    </w:p>
    <w:p>
      <w:pPr>
        <w:ind w:right="120" w:firstLine="720"/>
        <w:spacing w:after="0" w:line="273" w:lineRule="auto"/>
        <w:rPr>
          <w:sz w:val="20"/>
          <w:szCs w:val="20"/>
          <w:color w:val="auto"/>
        </w:rPr>
      </w:pPr>
      <w:r>
        <w:rPr>
          <w:rFonts w:ascii="Times New Roman" w:cs="Times New Roman" w:eastAsia="Times New Roman" w:hAnsi="Times New Roman"/>
          <w:sz w:val="19"/>
          <w:szCs w:val="19"/>
          <w:color w:val="auto"/>
        </w:rPr>
        <w:t>Pursuant to the Termination Agreement, and subject to the Contingency, the Company agreed to surrender the Premises and paid a total termination fee of approximately $1,420, consisting of (i) a cash payment in the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360"/>
          </w:cols>
          <w:pgMar w:left="1440" w:top="1420" w:right="1440" w:bottom="175" w:gutter="0" w:footer="0" w:header="0"/>
        </w:sectPr>
      </w:pPr>
    </w:p>
    <w:bookmarkStart w:id="120" w:name="page121"/>
    <w:bookmarkEnd w:id="120"/>
    <w:p>
      <w:pPr>
        <w:ind w:right="20"/>
        <w:spacing w:after="0" w:line="244" w:lineRule="auto"/>
        <w:rPr>
          <w:sz w:val="20"/>
          <w:szCs w:val="20"/>
          <w:color w:val="auto"/>
        </w:rPr>
      </w:pPr>
      <w:r>
        <w:rPr>
          <w:rFonts w:ascii="Times New Roman" w:cs="Times New Roman" w:eastAsia="Times New Roman" w:hAnsi="Times New Roman"/>
          <w:sz w:val="20"/>
          <w:szCs w:val="20"/>
          <w:color w:val="auto"/>
        </w:rPr>
        <w:t>amount of approximately $798 and (ii) a release of a security deposit from the Company’s existing letter of credit in the amount of approximately $622. The transaction was accounted for as an immediate termination of an operating lease before the expiration of the lease term in accordance with ASC 842. The Company derecognized the lease-related asset and liability resulting in a gain of $4,850. Since the termination fee of $1,420 was not already included in the lease payments, the termination fee was recognized as a loss on termination of the lease. Further, the Company abandoned and wrote -off all the related leasehold improvements totaling $9,454 held at the Premises. This net activity totaling $6,024 was recorded as a loss within General and Administrative expense in the Statement of Operations for the year ended December 31, 2024. As of December 31, 2025 and 2024, respectively, the Company has no commitments or contingencies related to the Lease.</w:t>
      </w:r>
    </w:p>
    <w:p>
      <w:pPr>
        <w:spacing w:after="0" w:line="206"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20"/>
          <w:szCs w:val="20"/>
          <w:color w:val="auto"/>
        </w:rPr>
        <w:t>In August 2024, the Company signed a sublease for 14,201 square feet of office space at 400 Alexander Park Drive, Suite 301, in Princeton, New Jersey, to be used as its new headquarters (“400 Alexander Sublease”) . The 400 Alexander Sublease commenced on October 1, 2024 and extends until February 28, 2027. Payments under the 400 Alexander Sublease will total $789 through February 2027.</w:t>
      </w:r>
    </w:p>
    <w:p>
      <w:pPr>
        <w:spacing w:after="0" w:line="193"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20"/>
          <w:szCs w:val="20"/>
          <w:color w:val="auto"/>
        </w:rPr>
        <w:t>In September 2024, the Company signed a sublease agreement for 3,205 square feet of office and laboratory space at 311 Pennington Rocky Hill Road in Hopewell, New Jersey. The Company utilizes the premises as laboratory space for research and development activities. The sublease term extends through 2029 and provides the Company with the option to extend the term for an additional three year period. Payments under this sublease will total $768 through December 2029.</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components of lease cost for the years ended December 31, 2025, 2024, and 2023 are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560" w:type="dxa"/>
            <w:vAlign w:val="bottom"/>
            <w:tcBorders>
              <w:bottom w:val="single" w:sz="8" w:color="DDDDD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5"/>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DDDDD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5"/>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DDDDDD"/>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60" w:type="dxa"/>
            <w:vAlign w:val="bottom"/>
            <w:tcBorders>
              <w:right w:val="single" w:sz="8" w:color="DDDDDD"/>
            </w:tcBorders>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Operating lease cost</w:t>
            </w:r>
          </w:p>
        </w:tc>
        <w:tc>
          <w:tcPr>
            <w:tcW w:w="260" w:type="dxa"/>
            <w:vAlign w:val="bottom"/>
            <w:shd w:val="clear" w:color="auto" w:fill="DDDDDD"/>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right w:val="single" w:sz="8" w:color="DDDDDD"/>
            </w:tcBorders>
            <w:gridSpan w:val="2"/>
            <w:shd w:val="clear" w:color="auto" w:fill="DDDDDD"/>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471</w:t>
            </w:r>
          </w:p>
        </w:tc>
        <w:tc>
          <w:tcPr>
            <w:tcW w:w="18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right w:val="single" w:sz="8" w:color="DDDDDD"/>
            </w:tcBorders>
            <w:gridSpan w:val="2"/>
            <w:shd w:val="clear" w:color="auto" w:fill="DDDDDD"/>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1,194</w:t>
            </w:r>
          </w:p>
        </w:tc>
        <w:tc>
          <w:tcPr>
            <w:tcW w:w="220" w:type="dxa"/>
            <w:vAlign w:val="bottom"/>
            <w:shd w:val="clear" w:color="auto" w:fill="DDDDDD"/>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shd w:val="clear" w:color="auto" w:fill="DDDDDD"/>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1,913</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517</w:t>
            </w:r>
          </w:p>
        </w:tc>
        <w:tc>
          <w:tcPr>
            <w:tcW w:w="2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914</w:t>
            </w:r>
          </w:p>
        </w:tc>
        <w:tc>
          <w:tcPr>
            <w:tcW w:w="0" w:type="dxa"/>
            <w:vAlign w:val="bottom"/>
          </w:tcPr>
          <w:p>
            <w:pPr>
              <w:spacing w:after="0"/>
              <w:rPr>
                <w:sz w:val="1"/>
                <w:szCs w:val="1"/>
                <w:color w:val="auto"/>
              </w:rPr>
            </w:pPr>
          </w:p>
        </w:tc>
      </w:tr>
      <w:tr>
        <w:trPr>
          <w:trHeight w:val="20"/>
        </w:trPr>
        <w:tc>
          <w:tcPr>
            <w:tcW w:w="5560" w:type="dxa"/>
            <w:vAlign w:val="bottom"/>
            <w:tcBorders>
              <w:right w:val="single" w:sz="8" w:color="DDDDDD"/>
            </w:tcBorders>
            <w:vMerge w:val="restart"/>
            <w:shd w:val="clear" w:color="auto" w:fill="DDDDDD"/>
          </w:tcPr>
          <w:p>
            <w:pPr>
              <w:spacing w:after="0"/>
              <w:rPr>
                <w:sz w:val="20"/>
                <w:szCs w:val="20"/>
                <w:color w:val="auto"/>
              </w:rPr>
            </w:pPr>
            <w:r>
              <w:rPr>
                <w:rFonts w:ascii="Times New Roman" w:cs="Times New Roman" w:eastAsia="Times New Roman" w:hAnsi="Times New Roman"/>
                <w:sz w:val="20"/>
                <w:szCs w:val="20"/>
                <w:color w:val="auto"/>
              </w:rPr>
              <w:t>Total lease cost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DDDDDD"/>
            </w:tcBorders>
            <w:shd w:val="clear" w:color="auto" w:fill="DDDDDD"/>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DDDDDD"/>
            </w:tcBorders>
            <w:shd w:val="clear" w:color="auto" w:fill="DDDDDD"/>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60" w:type="dxa"/>
            <w:vAlign w:val="bottom"/>
            <w:tcBorders>
              <w:right w:val="single" w:sz="8" w:color="DDDDDD"/>
            </w:tcBorders>
            <w:vMerge w:val="continue"/>
            <w:shd w:val="clear" w:color="auto" w:fill="DDDDDD"/>
          </w:tcPr>
          <w:p>
            <w:pPr>
              <w:spacing w:after="0"/>
              <w:rPr>
                <w:sz w:val="19"/>
                <w:szCs w:val="19"/>
                <w:color w:val="auto"/>
              </w:rPr>
            </w:pPr>
          </w:p>
        </w:tc>
        <w:tc>
          <w:tcPr>
            <w:tcW w:w="260" w:type="dxa"/>
            <w:vAlign w:val="bottom"/>
            <w:shd w:val="clear" w:color="auto" w:fill="DDDDDD"/>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rPr>
              <w:t>544</w:t>
            </w:r>
          </w:p>
        </w:tc>
        <w:tc>
          <w:tcPr>
            <w:tcW w:w="220" w:type="dxa"/>
            <w:vAlign w:val="bottom"/>
            <w:tcBorders>
              <w:right w:val="single" w:sz="8" w:color="DDDDDD"/>
            </w:tcBorders>
            <w:shd w:val="clear" w:color="auto" w:fill="DDDDDD"/>
          </w:tcPr>
          <w:p>
            <w:pPr>
              <w:spacing w:after="0"/>
              <w:rPr>
                <w:sz w:val="19"/>
                <w:szCs w:val="19"/>
                <w:color w:val="auto"/>
              </w:rPr>
            </w:pPr>
          </w:p>
        </w:tc>
        <w:tc>
          <w:tcPr>
            <w:tcW w:w="180" w:type="dxa"/>
            <w:vAlign w:val="bottom"/>
            <w:shd w:val="clear" w:color="auto" w:fill="DDDDDD"/>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right w:val="single" w:sz="8" w:color="DDDDDD"/>
            </w:tcBorders>
            <w:gridSpan w:val="2"/>
            <w:shd w:val="clear" w:color="auto" w:fill="DDDDDD"/>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1,711</w:t>
            </w:r>
          </w:p>
        </w:tc>
        <w:tc>
          <w:tcPr>
            <w:tcW w:w="220" w:type="dxa"/>
            <w:vAlign w:val="bottom"/>
            <w:shd w:val="clear" w:color="auto" w:fill="DDDDDD"/>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shd w:val="clear" w:color="auto" w:fill="DDDDDD"/>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rPr>
              <w:t>2,827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right="80" w:firstLine="619"/>
        <w:spacing w:after="0" w:line="278" w:lineRule="auto"/>
        <w:rPr>
          <w:sz w:val="20"/>
          <w:szCs w:val="20"/>
          <w:color w:val="auto"/>
        </w:rPr>
      </w:pPr>
      <w:r>
        <w:rPr>
          <w:rFonts w:ascii="Times New Roman" w:cs="Times New Roman" w:eastAsia="Times New Roman" w:hAnsi="Times New Roman"/>
          <w:sz w:val="20"/>
          <w:szCs w:val="20"/>
          <w:color w:val="auto"/>
        </w:rPr>
        <w:t>Amounts reported in the balance sheet for leases where the Company is the lessee as of December 31, 2025, and 2024,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Leases (in thousands):</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gridSpan w:val="6"/>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74"/>
        </w:trPr>
        <w:tc>
          <w:tcPr>
            <w:tcW w:w="5040" w:type="dxa"/>
            <w:vAlign w:val="bottom"/>
            <w:tcBorders>
              <w:bottom w:val="single" w:sz="8" w:color="DDDDDD"/>
            </w:tcBorders>
            <w:vMerge w:val="continue"/>
          </w:tcPr>
          <w:p>
            <w:pPr>
              <w:spacing w:after="0"/>
              <w:rPr>
                <w:sz w:val="15"/>
                <w:szCs w:val="15"/>
                <w:color w:val="auto"/>
              </w:rPr>
            </w:pPr>
          </w:p>
        </w:tc>
        <w:tc>
          <w:tcPr>
            <w:tcW w:w="1240" w:type="dxa"/>
            <w:vAlign w:val="bottom"/>
            <w:tcBorders>
              <w:bottom w:val="single" w:sz="8" w:color="DDDDDD"/>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6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DDDDDD"/>
            </w:tcBorders>
          </w:tcPr>
          <w:p>
            <w:pPr>
              <w:spacing w:after="0"/>
              <w:rPr>
                <w:sz w:val="15"/>
                <w:szCs w:val="15"/>
                <w:color w:val="auto"/>
              </w:rPr>
            </w:pPr>
          </w:p>
        </w:tc>
        <w:tc>
          <w:tcPr>
            <w:tcW w:w="80" w:type="dxa"/>
            <w:vAlign w:val="bottom"/>
            <w:tcBorders>
              <w:top w:val="single" w:sz="8" w:color="auto"/>
              <w:bottom w:val="single" w:sz="8" w:color="DDDDDD"/>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4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DDDDDD"/>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Right-of-use assets, operating leases</w:t>
            </w:r>
          </w:p>
        </w:tc>
        <w:tc>
          <w:tcPr>
            <w:tcW w:w="1520" w:type="dxa"/>
            <w:vAlign w:val="bottom"/>
            <w:gridSpan w:val="2"/>
            <w:shd w:val="clear" w:color="auto" w:fill="DDDDDD"/>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DDDDDD"/>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rPr>
              <w:t>801</w:t>
            </w:r>
          </w:p>
        </w:tc>
        <w:tc>
          <w:tcPr>
            <w:tcW w:w="360" w:type="dxa"/>
            <w:vAlign w:val="bottom"/>
            <w:gridSpan w:val="2"/>
            <w:shd w:val="clear" w:color="auto" w:fill="DDDDDD"/>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DDDDDD"/>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rPr>
              <w:t>1,143</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1520" w:type="dxa"/>
            <w:vAlign w:val="bottom"/>
            <w:gridSpan w:val="2"/>
          </w:tcPr>
          <w:p>
            <w:pPr>
              <w:spacing w:after="0"/>
              <w:rPr>
                <w:sz w:val="19"/>
                <w:szCs w:val="19"/>
                <w:color w:val="auto"/>
              </w:rPr>
            </w:pPr>
          </w:p>
        </w:tc>
        <w:tc>
          <w:tcPr>
            <w:tcW w:w="1200" w:type="dxa"/>
            <w:vAlign w:val="bottom"/>
            <w:gridSpan w:val="2"/>
          </w:tcPr>
          <w:p>
            <w:pPr>
              <w:spacing w:after="0"/>
              <w:rPr>
                <w:sz w:val="19"/>
                <w:szCs w:val="19"/>
                <w:color w:val="auto"/>
              </w:rPr>
            </w:pPr>
          </w:p>
        </w:tc>
        <w:tc>
          <w:tcPr>
            <w:tcW w:w="360" w:type="dxa"/>
            <w:vAlign w:val="bottom"/>
            <w:gridSpan w:val="2"/>
          </w:tcPr>
          <w:p>
            <w:pPr>
              <w:spacing w:after="0"/>
              <w:rPr>
                <w:sz w:val="19"/>
                <w:szCs w:val="19"/>
                <w:color w:val="auto"/>
              </w:rPr>
            </w:pPr>
          </w:p>
        </w:tc>
        <w:tc>
          <w:tcPr>
            <w:tcW w:w="12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152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DDDDDD"/>
          </w:tcPr>
          <w:p>
            <w:pPr>
              <w:jc w:val="right"/>
              <w:ind w:right="240"/>
              <w:spacing w:after="0"/>
              <w:rPr>
                <w:sz w:val="20"/>
                <w:szCs w:val="20"/>
                <w:color w:val="auto"/>
              </w:rPr>
            </w:pPr>
            <w:r>
              <w:rPr>
                <w:rFonts w:ascii="Times New Roman" w:cs="Times New Roman" w:eastAsia="Times New Roman" w:hAnsi="Times New Roman"/>
                <w:sz w:val="20"/>
                <w:szCs w:val="20"/>
                <w:color w:val="auto"/>
              </w:rPr>
              <w:t>403</w:t>
            </w:r>
          </w:p>
        </w:tc>
        <w:tc>
          <w:tcPr>
            <w:tcW w:w="36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DDDDDD"/>
          </w:tcPr>
          <w:p>
            <w:pPr>
              <w:jc w:val="right"/>
              <w:ind w:right="300"/>
              <w:spacing w:after="0"/>
              <w:rPr>
                <w:sz w:val="20"/>
                <w:szCs w:val="20"/>
                <w:color w:val="auto"/>
              </w:rPr>
            </w:pPr>
            <w:r>
              <w:rPr>
                <w:rFonts w:ascii="Times New Roman" w:cs="Times New Roman" w:eastAsia="Times New Roman" w:hAnsi="Times New Roman"/>
                <w:sz w:val="20"/>
                <w:szCs w:val="20"/>
                <w:color w:val="auto"/>
              </w:rPr>
              <w:t>352</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 non-current</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838</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DDDDDD"/>
          </w:tcPr>
          <w:p>
            <w:pPr>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1240" w:type="dxa"/>
            <w:vAlign w:val="bottom"/>
            <w:shd w:val="clear" w:color="auto" w:fill="DDDDDD"/>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040" w:type="dxa"/>
            <w:vAlign w:val="bottom"/>
            <w:vMerge w:val="continue"/>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280" w:type="dxa"/>
            <w:vAlign w:val="bottom"/>
            <w:shd w:val="clear" w:color="auto" w:fill="DDDDDD"/>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DDDDDD"/>
          </w:tcPr>
          <w:p>
            <w:pPr>
              <w:jc w:val="right"/>
              <w:spacing w:after="0" w:line="220" w:lineRule="exact"/>
              <w:rPr>
                <w:sz w:val="20"/>
                <w:szCs w:val="20"/>
                <w:color w:val="auto"/>
              </w:rPr>
            </w:pPr>
            <w:r>
              <w:rPr>
                <w:rFonts w:ascii="Times New Roman" w:cs="Times New Roman" w:eastAsia="Times New Roman" w:hAnsi="Times New Roman"/>
                <w:sz w:val="20"/>
                <w:szCs w:val="20"/>
                <w:color w:val="auto"/>
              </w:rPr>
              <w:t>838</w:t>
            </w:r>
          </w:p>
        </w:tc>
        <w:tc>
          <w:tcPr>
            <w:tcW w:w="240" w:type="dxa"/>
            <w:vAlign w:val="bottom"/>
            <w:shd w:val="clear" w:color="auto" w:fill="DDDDDD"/>
          </w:tcPr>
          <w:p>
            <w:pPr>
              <w:spacing w:after="0"/>
              <w:rPr>
                <w:sz w:val="19"/>
                <w:szCs w:val="19"/>
                <w:color w:val="auto"/>
              </w:rPr>
            </w:pPr>
          </w:p>
        </w:tc>
        <w:tc>
          <w:tcPr>
            <w:tcW w:w="360" w:type="dxa"/>
            <w:vAlign w:val="bottom"/>
            <w:gridSpan w:val="2"/>
            <w:shd w:val="clear" w:color="auto" w:fill="DDDDDD"/>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DDDDDD"/>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rPr>
              <w:t>1,190</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Weighted-average remaining lease term (years)</w:t>
            </w:r>
          </w:p>
        </w:tc>
        <w:tc>
          <w:tcPr>
            <w:tcW w:w="124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1200" w:type="dxa"/>
            <w:vAlign w:val="bottom"/>
            <w:gridSpan w:val="2"/>
            <w:shd w:val="clear" w:color="auto" w:fill="DDDDDD"/>
          </w:tcPr>
          <w:p>
            <w:pPr>
              <w:jc w:val="right"/>
              <w:ind w:right="240"/>
              <w:spacing w:after="0"/>
              <w:rPr>
                <w:sz w:val="20"/>
                <w:szCs w:val="20"/>
                <w:color w:val="auto"/>
              </w:rPr>
            </w:pPr>
            <w:r>
              <w:rPr>
                <w:rFonts w:ascii="Times New Roman" w:cs="Times New Roman" w:eastAsia="Times New Roman" w:hAnsi="Times New Roman"/>
                <w:sz w:val="20"/>
                <w:szCs w:val="20"/>
                <w:color w:val="auto"/>
              </w:rPr>
              <w:t>2.76</w:t>
            </w:r>
          </w:p>
        </w:tc>
        <w:tc>
          <w:tcPr>
            <w:tcW w:w="8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1240" w:type="dxa"/>
            <w:vAlign w:val="bottom"/>
            <w:gridSpan w:val="2"/>
            <w:shd w:val="clear" w:color="auto" w:fill="DDDDDD"/>
          </w:tcPr>
          <w:p>
            <w:pPr>
              <w:jc w:val="right"/>
              <w:ind w:right="300"/>
              <w:spacing w:after="0"/>
              <w:rPr>
                <w:sz w:val="20"/>
                <w:szCs w:val="20"/>
                <w:color w:val="auto"/>
              </w:rPr>
            </w:pPr>
            <w:r>
              <w:rPr>
                <w:rFonts w:ascii="Times New Roman" w:cs="Times New Roman" w:eastAsia="Times New Roman" w:hAnsi="Times New Roman"/>
                <w:sz w:val="20"/>
                <w:szCs w:val="20"/>
                <w:color w:val="auto"/>
              </w:rPr>
              <w:t>3.47</w:t>
            </w:r>
          </w:p>
        </w:tc>
        <w:tc>
          <w:tcPr>
            <w:tcW w:w="0" w:type="dxa"/>
            <w:vAlign w:val="bottom"/>
          </w:tcPr>
          <w:p>
            <w:pPr>
              <w:spacing w:after="0"/>
              <w:rPr>
                <w:sz w:val="1"/>
                <w:szCs w:val="1"/>
                <w:color w:val="auto"/>
              </w:rPr>
            </w:pPr>
          </w:p>
        </w:tc>
      </w:tr>
      <w:tr>
        <w:trPr>
          <w:trHeight w:val="267"/>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13.70%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13.70%</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300" w:firstLine="619"/>
        <w:spacing w:after="0" w:line="278" w:lineRule="auto"/>
        <w:rPr>
          <w:sz w:val="20"/>
          <w:szCs w:val="20"/>
          <w:color w:val="auto"/>
        </w:rPr>
      </w:pPr>
      <w:r>
        <w:rPr>
          <w:rFonts w:ascii="Times New Roman" w:cs="Times New Roman" w:eastAsia="Times New Roman" w:hAnsi="Times New Roman"/>
          <w:sz w:val="20"/>
          <w:szCs w:val="20"/>
          <w:color w:val="auto"/>
        </w:rPr>
        <w:t>Other information related to leases for the years ended December 31, 2025, 2024, and 2023, respectively,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340" w:type="dxa"/>
            <w:vAlign w:val="bottom"/>
            <w:tcBorders>
              <w:bottom w:val="single" w:sz="8" w:color="DDDDDD"/>
            </w:tcBorders>
            <w:vMerge w:val="continue"/>
          </w:tcPr>
          <w:p>
            <w:pPr>
              <w:spacing w:after="0"/>
              <w:rPr>
                <w:sz w:val="15"/>
                <w:szCs w:val="15"/>
                <w:color w:val="auto"/>
              </w:rPr>
            </w:pPr>
          </w:p>
        </w:tc>
        <w:tc>
          <w:tcPr>
            <w:tcW w:w="22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DDDDDD"/>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DDDDD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DDDDDD"/>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34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Net cash paid for amounts included in the measurement of lease</w:t>
            </w:r>
          </w:p>
        </w:tc>
        <w:tc>
          <w:tcPr>
            <w:tcW w:w="2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liabilities</w:t>
            </w:r>
          </w:p>
        </w:tc>
        <w:tc>
          <w:tcPr>
            <w:tcW w:w="40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120" w:type="dxa"/>
            <w:vAlign w:val="bottom"/>
            <w:shd w:val="clear" w:color="auto" w:fill="DDDDDD"/>
          </w:tcPr>
          <w:p>
            <w:pPr>
              <w:spacing w:after="0"/>
              <w:rPr>
                <w:sz w:val="19"/>
                <w:szCs w:val="19"/>
                <w:color w:val="auto"/>
              </w:rPr>
            </w:pPr>
          </w:p>
        </w:tc>
        <w:tc>
          <w:tcPr>
            <w:tcW w:w="2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1,202</w:t>
            </w:r>
          </w:p>
        </w:tc>
        <w:tc>
          <w:tcPr>
            <w:tcW w:w="22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1,447</w:t>
            </w:r>
          </w:p>
        </w:tc>
        <w:tc>
          <w:tcPr>
            <w:tcW w:w="1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4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Leased assets (derecognized) in exchange for new or modified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(11,524)</w:t>
            </w:r>
          </w:p>
        </w:tc>
        <w:tc>
          <w:tcPr>
            <w:tcW w:w="2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360"/>
          </w:cols>
          <w:pgMar w:left="1440" w:top="1420" w:right="1440" w:bottom="175" w:gutter="0" w:footer="0" w:header="0"/>
        </w:sectPr>
      </w:pPr>
    </w:p>
    <w:bookmarkStart w:id="121" w:name="page122"/>
    <w:bookmarkEnd w:id="121"/>
    <w:p>
      <w:pPr>
        <w:spacing w:after="0" w:line="257" w:lineRule="exact"/>
        <w:rPr>
          <w:sz w:val="20"/>
          <w:szCs w:val="20"/>
          <w:color w:val="auto"/>
        </w:rPr>
      </w:pPr>
    </w:p>
    <w:p>
      <w:pPr>
        <w:ind w:right="720" w:firstLine="619"/>
        <w:spacing w:after="0" w:line="277" w:lineRule="auto"/>
        <w:rPr>
          <w:sz w:val="20"/>
          <w:szCs w:val="20"/>
          <w:color w:val="auto"/>
        </w:rPr>
      </w:pPr>
      <w:r>
        <w:rPr>
          <w:rFonts w:ascii="Times New Roman" w:cs="Times New Roman" w:eastAsia="Times New Roman" w:hAnsi="Times New Roman"/>
          <w:sz w:val="20"/>
          <w:szCs w:val="20"/>
          <w:color w:val="auto"/>
        </w:rPr>
        <w:t>Future minimum lease payments, net of reimbursements, remaining as of December 31, 2025, under operating leases by fiscal year were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00" w:type="dxa"/>
            <w:vAlign w:val="bottom"/>
          </w:tcPr>
          <w:p>
            <w:pPr>
              <w:spacing w:after="0"/>
              <w:rPr>
                <w:sz w:val="17"/>
                <w:szCs w:val="17"/>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45"/>
        </w:trPr>
        <w:tc>
          <w:tcPr>
            <w:tcW w:w="78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220" w:type="dxa"/>
            <w:vAlign w:val="bottom"/>
            <w:shd w:val="clear" w:color="auto" w:fill="DDDDDD"/>
          </w:tcPr>
          <w:p>
            <w:pPr>
              <w:spacing w:after="0"/>
              <w:rPr>
                <w:sz w:val="21"/>
                <w:szCs w:val="21"/>
                <w:color w:val="auto"/>
              </w:rPr>
            </w:pPr>
          </w:p>
        </w:tc>
      </w:tr>
      <w:tr>
        <w:trPr>
          <w:trHeight w:val="244"/>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220" w:type="dxa"/>
            <w:vAlign w:val="bottom"/>
          </w:tcPr>
          <w:p>
            <w:pPr>
              <w:spacing w:after="0"/>
              <w:rPr>
                <w:sz w:val="21"/>
                <w:szCs w:val="21"/>
                <w:color w:val="auto"/>
              </w:rPr>
            </w:pPr>
          </w:p>
        </w:tc>
      </w:tr>
      <w:tr>
        <w:trPr>
          <w:trHeight w:val="244"/>
        </w:trPr>
        <w:tc>
          <w:tcPr>
            <w:tcW w:w="78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2028</w:t>
            </w:r>
          </w:p>
        </w:tc>
        <w:tc>
          <w:tcPr>
            <w:tcW w:w="100" w:type="dxa"/>
            <w:vAlign w:val="bottom"/>
            <w:shd w:val="clear" w:color="auto" w:fill="DDDDDD"/>
          </w:tcPr>
          <w:p>
            <w:pPr>
              <w:spacing w:after="0"/>
              <w:rPr>
                <w:sz w:val="21"/>
                <w:szCs w:val="21"/>
                <w:color w:val="auto"/>
              </w:rPr>
            </w:pP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220" w:type="dxa"/>
            <w:vAlign w:val="bottom"/>
            <w:shd w:val="clear" w:color="auto" w:fill="DDDDDD"/>
          </w:tcPr>
          <w:p>
            <w:pPr>
              <w:spacing w:after="0"/>
              <w:rPr>
                <w:sz w:val="21"/>
                <w:szCs w:val="21"/>
                <w:color w:val="auto"/>
              </w:rPr>
            </w:pPr>
          </w:p>
        </w:tc>
      </w:tr>
      <w:tr>
        <w:trPr>
          <w:trHeight w:val="245"/>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220" w:type="dxa"/>
            <w:vAlign w:val="bottom"/>
          </w:tcPr>
          <w:p>
            <w:pPr>
              <w:spacing w:after="0"/>
              <w:rPr>
                <w:sz w:val="21"/>
                <w:szCs w:val="21"/>
                <w:color w:val="auto"/>
              </w:rPr>
            </w:pPr>
          </w:p>
        </w:tc>
      </w:tr>
      <w:tr>
        <w:trPr>
          <w:trHeight w:val="244"/>
        </w:trPr>
        <w:tc>
          <w:tcPr>
            <w:tcW w:w="78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DDDDDD"/>
            </w:tcBorders>
          </w:tcPr>
          <w:p>
            <w:pPr>
              <w:spacing w:after="0"/>
              <w:rPr>
                <w:sz w:val="21"/>
                <w:szCs w:val="21"/>
                <w:color w:val="auto"/>
              </w:rPr>
            </w:pPr>
          </w:p>
        </w:tc>
      </w:tr>
      <w:tr>
        <w:trPr>
          <w:trHeight w:val="233"/>
        </w:trPr>
        <w:tc>
          <w:tcPr>
            <w:tcW w:w="78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Total minimum lease payments</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995</w:t>
            </w:r>
          </w:p>
        </w:tc>
        <w:tc>
          <w:tcPr>
            <w:tcW w:w="220" w:type="dxa"/>
            <w:vAlign w:val="bottom"/>
            <w:shd w:val="clear" w:color="auto" w:fill="DDDDDD"/>
          </w:tcPr>
          <w:p>
            <w:pPr>
              <w:spacing w:after="0"/>
              <w:rPr>
                <w:sz w:val="20"/>
                <w:szCs w:val="20"/>
                <w:color w:val="auto"/>
              </w:rPr>
            </w:pPr>
          </w:p>
        </w:tc>
      </w:tr>
      <w:tr>
        <w:trPr>
          <w:trHeight w:val="245"/>
        </w:trPr>
        <w:tc>
          <w:tcPr>
            <w:tcW w:w="782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color w:val="auto"/>
              </w:rPr>
              <w:t>Less: Amounts representing imputed interest</w:t>
            </w: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220" w:type="dxa"/>
            <w:vAlign w:val="bottom"/>
            <w:tcBorders>
              <w:bottom w:val="single" w:sz="8" w:color="DDDDDD"/>
            </w:tcBorders>
          </w:tcPr>
          <w:p>
            <w:pPr>
              <w:jc w:val="right"/>
              <w:ind w:right="40"/>
              <w:spacing w:after="0"/>
              <w:rPr>
                <w:sz w:val="20"/>
                <w:szCs w:val="20"/>
                <w:color w:val="auto"/>
              </w:rPr>
            </w:pPr>
            <w:r>
              <w:rPr>
                <w:rFonts w:ascii="Times New Roman" w:cs="Times New Roman" w:eastAsia="Times New Roman" w:hAnsi="Times New Roman"/>
                <w:sz w:val="20"/>
                <w:szCs w:val="20"/>
                <w:color w:val="auto"/>
                <w:highlight w:val="white"/>
                <w:w w:val="89"/>
              </w:rPr>
              <w:t>)</w:t>
            </w:r>
          </w:p>
        </w:tc>
      </w:tr>
      <w:tr>
        <w:trPr>
          <w:trHeight w:val="235"/>
        </w:trPr>
        <w:tc>
          <w:tcPr>
            <w:tcW w:w="78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838</w:t>
            </w:r>
          </w:p>
        </w:tc>
        <w:tc>
          <w:tcPr>
            <w:tcW w:w="220" w:type="dxa"/>
            <w:vAlign w:val="bottom"/>
            <w:shd w:val="clear" w:color="auto" w:fill="DDDDDD"/>
          </w:tcPr>
          <w:p>
            <w:pPr>
              <w:spacing w:after="0"/>
              <w:rPr>
                <w:sz w:val="20"/>
                <w:szCs w:val="20"/>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-810260</wp:posOffset>
                </wp:positionV>
                <wp:extent cx="59436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7999pt" to="468pt,-63.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-655955</wp:posOffset>
                </wp:positionV>
                <wp:extent cx="594360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6499pt" to="468pt,-51.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59436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499pt" to="468pt,-26.7499pt" o:allowincell="f" strokecolor="#FFFFFF" strokeweight="0.7199pt"/>
            </w:pict>
          </mc:Fallback>
        </mc:AlternateContent>
      </w:r>
    </w:p>
    <w:p>
      <w:pPr>
        <w:spacing w:after="0" w:line="237" w:lineRule="exact"/>
        <w:rPr>
          <w:sz w:val="20"/>
          <w:szCs w:val="20"/>
          <w:color w:val="auto"/>
        </w:rPr>
      </w:pPr>
    </w:p>
    <w:p>
      <w:pPr>
        <w:jc w:val="both"/>
        <w:ind w:right="400" w:firstLine="619"/>
        <w:spacing w:after="0" w:line="278" w:lineRule="auto"/>
        <w:rPr>
          <w:sz w:val="20"/>
          <w:szCs w:val="20"/>
          <w:color w:val="auto"/>
        </w:rPr>
      </w:pPr>
      <w:r>
        <w:rPr>
          <w:rFonts w:ascii="Times New Roman" w:cs="Times New Roman" w:eastAsia="Times New Roman" w:hAnsi="Times New Roman"/>
          <w:sz w:val="20"/>
          <w:szCs w:val="20"/>
          <w:color w:val="auto"/>
        </w:rPr>
        <w:t>Rent expense recorded for the years ended December 31, 2025, 2024, and 2023, were $471, $1,194, and $1,913 respectively.</w:t>
      </w:r>
    </w:p>
    <w:p>
      <w:pPr>
        <w:spacing w:after="0" w:line="2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121" w:lineRule="exact"/>
        <w:rPr>
          <w:sz w:val="20"/>
          <w:szCs w:val="20"/>
          <w:color w:val="auto"/>
        </w:rPr>
      </w:pPr>
    </w:p>
    <w:p>
      <w:pPr>
        <w:jc w:val="both"/>
        <w:ind w:right="160" w:firstLine="619"/>
        <w:spacing w:after="0" w:line="258" w:lineRule="auto"/>
        <w:rPr>
          <w:sz w:val="20"/>
          <w:szCs w:val="20"/>
          <w:color w:val="auto"/>
        </w:rPr>
      </w:pPr>
      <w:r>
        <w:rPr>
          <w:rFonts w:ascii="Times New Roman" w:cs="Times New Roman" w:eastAsia="Times New Roman" w:hAnsi="Times New Roman"/>
          <w:sz w:val="20"/>
          <w:szCs w:val="20"/>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7. Stockholders’ Equity</w:t>
      </w:r>
    </w:p>
    <w:p>
      <w:pPr>
        <w:spacing w:after="0" w:line="119" w:lineRule="exact"/>
        <w:rPr>
          <w:sz w:val="20"/>
          <w:szCs w:val="20"/>
          <w:color w:val="auto"/>
        </w:rPr>
      </w:pPr>
    </w:p>
    <w:p>
      <w:pPr>
        <w:ind w:right="680" w:firstLine="619"/>
        <w:spacing w:after="0" w:line="252" w:lineRule="auto"/>
        <w:rPr>
          <w:sz w:val="20"/>
          <w:szCs w:val="20"/>
          <w:color w:val="auto"/>
        </w:rPr>
      </w:pPr>
      <w:r>
        <w:rPr>
          <w:rFonts w:ascii="Times New Roman" w:cs="Times New Roman" w:eastAsia="Times New Roman" w:hAnsi="Times New Roman"/>
          <w:sz w:val="20"/>
          <w:szCs w:val="20"/>
          <w:color w:val="auto"/>
        </w:rPr>
        <w:t>The Company is authorized to issue up to 1,000,000,000 shares of common stock with a par value of $0.00001 per share, and 5,000,000 shares of preferred stock with a par value of $0.00001 per share. As of December 31, 2025 and 2024, there were 53,331,766 and 51,935,134 shares of common stock issued and outstanding, respectively.</w:t>
      </w:r>
    </w:p>
    <w:p>
      <w:pPr>
        <w:spacing w:after="0" w:line="195" w:lineRule="exact"/>
        <w:rPr>
          <w:sz w:val="20"/>
          <w:szCs w:val="20"/>
          <w:color w:val="auto"/>
        </w:rPr>
      </w:pPr>
    </w:p>
    <w:p>
      <w:pPr>
        <w:ind w:right="280" w:firstLine="619"/>
        <w:spacing w:after="0" w:line="258" w:lineRule="auto"/>
        <w:rPr>
          <w:sz w:val="20"/>
          <w:szCs w:val="20"/>
          <w:color w:val="auto"/>
        </w:rPr>
      </w:pPr>
      <w:r>
        <w:rPr>
          <w:rFonts w:ascii="Times New Roman" w:cs="Times New Roman" w:eastAsia="Times New Roman" w:hAnsi="Times New Roman"/>
          <w:sz w:val="20"/>
          <w:szCs w:val="20"/>
          <w:color w:val="auto"/>
        </w:rPr>
        <w:t>Common stockholders are entitled to receive dividends if and when declared by the board of directors subject to the rights of any preferred stockholders. As of December 31, 2025, no dividends on common stock had been declared by the Company.</w:t>
      </w:r>
    </w:p>
    <w:p>
      <w:pPr>
        <w:spacing w:after="0" w:line="188" w:lineRule="exact"/>
        <w:rPr>
          <w:sz w:val="20"/>
          <w:szCs w:val="20"/>
          <w:color w:val="auto"/>
        </w:rPr>
      </w:pPr>
    </w:p>
    <w:p>
      <w:pPr>
        <w:ind w:right="440" w:firstLine="619"/>
        <w:spacing w:after="0" w:line="278" w:lineRule="auto"/>
        <w:rPr>
          <w:sz w:val="20"/>
          <w:szCs w:val="20"/>
          <w:color w:val="auto"/>
        </w:rPr>
      </w:pPr>
      <w:r>
        <w:rPr>
          <w:rFonts w:ascii="Times New Roman" w:cs="Times New Roman" w:eastAsia="Times New Roman" w:hAnsi="Times New Roman"/>
          <w:sz w:val="20"/>
          <w:szCs w:val="20"/>
          <w:color w:val="auto"/>
        </w:rPr>
        <w:t>As of December 31, 2025 and 2024, the Company had reserved shares of common stock for issuance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63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320" w:type="dxa"/>
            <w:vAlign w:val="bottom"/>
            <w:tcBorders>
              <w:bottom w:val="single" w:sz="8" w:color="auto"/>
            </w:tcBorders>
          </w:tcPr>
          <w:p>
            <w:pPr>
              <w:jc w:val="right"/>
              <w:ind w:right="40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E0E0E0"/>
            </w:tcBorders>
          </w:tcPr>
          <w:p>
            <w:pPr>
              <w:spacing w:after="0"/>
              <w:rPr>
                <w:sz w:val="15"/>
                <w:szCs w:val="15"/>
                <w:color w:val="auto"/>
              </w:rPr>
            </w:pPr>
          </w:p>
        </w:tc>
        <w:tc>
          <w:tcPr>
            <w:tcW w:w="2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r>
      <w:tr>
        <w:trPr>
          <w:trHeight w:val="220"/>
        </w:trPr>
        <w:tc>
          <w:tcPr>
            <w:tcW w:w="6380" w:type="dxa"/>
            <w:vAlign w:val="bottom"/>
            <w:gridSpan w:val="2"/>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Options issued and outstanding</w:t>
            </w:r>
          </w:p>
        </w:tc>
        <w:tc>
          <w:tcPr>
            <w:tcW w:w="1340" w:type="dxa"/>
            <w:vAlign w:val="bottom"/>
            <w:gridSpan w:val="2"/>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11,990,688</w:t>
            </w: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380" w:type="dxa"/>
            <w:vAlign w:val="bottom"/>
            <w:shd w:val="clear" w:color="auto" w:fill="E0E0E0"/>
          </w:tcPr>
          <w:p>
            <w:pPr>
              <w:spacing w:after="0"/>
              <w:rPr>
                <w:sz w:val="19"/>
                <w:szCs w:val="19"/>
                <w:color w:val="auto"/>
              </w:rPr>
            </w:pPr>
          </w:p>
        </w:tc>
        <w:tc>
          <w:tcPr>
            <w:tcW w:w="1040" w:type="dxa"/>
            <w:vAlign w:val="bottom"/>
            <w:gridSpan w:val="3"/>
            <w:shd w:val="clear" w:color="auto" w:fill="E0E0E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8,653,913</w:t>
            </w:r>
          </w:p>
        </w:tc>
      </w:tr>
      <w:tr>
        <w:trPr>
          <w:trHeight w:val="229"/>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available for future stock option and RSU grants</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4,338,125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5,321,104</w:t>
            </w:r>
          </w:p>
        </w:tc>
      </w:tr>
      <w:tr>
        <w:trPr>
          <w:trHeight w:val="230"/>
        </w:trPr>
        <w:tc>
          <w:tcPr>
            <w:tcW w:w="638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auto"/>
              </w:rPr>
              <w:t>Shares available for employee stock purchase plan</w:t>
            </w:r>
          </w:p>
        </w:tc>
        <w:tc>
          <w:tcPr>
            <w:tcW w:w="1540" w:type="dxa"/>
            <w:vAlign w:val="bottom"/>
            <w:gridSpan w:val="3"/>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color w:val="auto"/>
              </w:rPr>
              <w:t>1,162,196</w:t>
            </w:r>
          </w:p>
        </w:tc>
        <w:tc>
          <w:tcPr>
            <w:tcW w:w="20" w:type="dxa"/>
            <w:vAlign w:val="bottom"/>
            <w:shd w:val="clear" w:color="auto" w:fill="E0E0E0"/>
          </w:tcPr>
          <w:p>
            <w:pPr>
              <w:spacing w:after="0"/>
              <w:rPr>
                <w:sz w:val="20"/>
                <w:szCs w:val="20"/>
                <w:color w:val="auto"/>
              </w:rPr>
            </w:pPr>
          </w:p>
        </w:tc>
        <w:tc>
          <w:tcPr>
            <w:tcW w:w="380" w:type="dxa"/>
            <w:vAlign w:val="bottom"/>
            <w:shd w:val="clear" w:color="auto" w:fill="E0E0E0"/>
          </w:tcPr>
          <w:p>
            <w:pPr>
              <w:spacing w:after="0"/>
              <w:rPr>
                <w:sz w:val="20"/>
                <w:szCs w:val="20"/>
                <w:color w:val="auto"/>
              </w:rPr>
            </w:pPr>
          </w:p>
        </w:tc>
        <w:tc>
          <w:tcPr>
            <w:tcW w:w="1040" w:type="dxa"/>
            <w:vAlign w:val="bottom"/>
            <w:gridSpan w:val="3"/>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1,408,321</w:t>
            </w:r>
          </w:p>
        </w:tc>
      </w:tr>
      <w:tr>
        <w:trPr>
          <w:trHeight w:val="221"/>
        </w:trPr>
        <w:tc>
          <w:tcPr>
            <w:tcW w:w="638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132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17,491,009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15,383,338</w:t>
            </w:r>
          </w:p>
        </w:tc>
        <w:tc>
          <w:tcPr>
            <w:tcW w:w="100" w:type="dxa"/>
            <w:vAlign w:val="bottom"/>
            <w:gridSpan w:val="2"/>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5884545</wp:posOffset>
                </wp:positionH>
                <wp:positionV relativeFrom="paragraph">
                  <wp:posOffset>-744855</wp:posOffset>
                </wp:positionV>
                <wp:extent cx="5905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055" cy="4763"/>
                        </a:xfrm>
                        <a:prstGeom prst="line">
                          <a:avLst/>
                        </a:prstGeom>
                        <a:solidFill>
                          <a:srgbClr val="FFFFFF"/>
                        </a:solidFill>
                        <a:ln w="6109">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35pt,-58.6499pt" to="468pt,-58.6499pt" o:allowincell="f" strokecolor="#FFFFFF" strokeweight="0.481pt"/>
            </w:pict>
          </mc:Fallback>
        </mc:AlternateContent>
      </w:r>
    </w:p>
    <w:p>
      <w:pPr>
        <w:spacing w:after="0" w:line="3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ATM Program</w:t>
      </w:r>
    </w:p>
    <w:p>
      <w:pPr>
        <w:spacing w:after="0" w:line="12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auto"/>
        </w:rPr>
        <w:t>On October 4, 2021, the Company entered into an at- the-market offering program (the “ATM Program”) pursuant to which, the Company may offer and sell shares of its common stock having aggregate gross sales proceeds of up to $150.0 million from time to time. During the year ended December 31, 2025, the Company did not sell any shares of its common stock under the ATM Program. As of December 31, 2025, the Company had approximately $113.8 million remaining in gross proceeds available for future issuances of common stock under the ATM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360"/>
          </w:cols>
          <w:pgMar w:left="1440" w:top="1440" w:right="1440" w:bottom="175"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i w:val="1"/>
          <w:iCs w:val="1"/>
          <w:color w:val="auto"/>
        </w:rPr>
        <w:t>8.  Stock Plan</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2020 Equity Incentive Plan</w:t>
      </w:r>
    </w:p>
    <w:p>
      <w:pPr>
        <w:spacing w:after="0" w:line="111" w:lineRule="exact"/>
        <w:rPr>
          <w:sz w:val="20"/>
          <w:szCs w:val="20"/>
          <w:color w:val="auto"/>
        </w:rPr>
      </w:pPr>
    </w:p>
    <w:p>
      <w:pPr>
        <w:ind w:firstLine="619"/>
        <w:spacing w:after="0" w:line="231" w:lineRule="auto"/>
        <w:rPr>
          <w:sz w:val="20"/>
          <w:szCs w:val="20"/>
          <w:color w:val="auto"/>
        </w:rPr>
      </w:pPr>
      <w:r>
        <w:rPr>
          <w:rFonts w:ascii="Times New Roman" w:cs="Times New Roman" w:eastAsia="Times New Roman" w:hAnsi="Times New Roman"/>
          <w:sz w:val="20"/>
          <w:szCs w:val="20"/>
          <w:color w:val="auto"/>
        </w:rPr>
        <w:t>The 2020 Equity Incentive Plan (the “2020 Plan”) was approved by the Company’s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Company’s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2022, the board’s compensation committee, as the 2020 Plan administrator, exercised its discretion under clause (iii) to increase the number of shares of common stock reserved for issuance under the 2020 Plan by a lesser amount of 1,363,084 shares, effective as of January 1, 2022. For 2023, the board’s compensation committee, as the 2020 Plan administrator, exercised its discretion under clause (iii) to increase the number of shares of common stock reserved for issuance under the 2020 Plan by a lesser amount of 1,830,853 shares, effective as of January 1, 2023. For 2024, the board’s compensation committee, as the 2020 Plan administrator, exercised its discretion under clause (ii) to increase the number of shares of common stock reserved for issuance under the 2020 Plan by 2,572,174 shares, effective as of January 1, 2024. For 2025, the board’s compensation committee, as the 2020 Plan administrator, exercised its discretion under clause (ii) to increase the number of shares of common stock reserved for issuance under the 2020 Plan by</w:t>
      </w:r>
    </w:p>
    <w:p>
      <w:pPr>
        <w:spacing w:after="0" w:line="11"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0"/>
          <w:szCs w:val="20"/>
          <w:color w:val="auto"/>
        </w:rPr>
        <w:t>2,596,638 shares, effective as of January 1, 2025. For 2026, the board’s compensation committee, as the 2020 Plan administrator, exercised its discretion under clause (ii) to increase the number of shares of common stock reserved for issuance under the 2020 Plan by 2,666,470 shares, effective as of January 1, 2026. As of December 31, 2025, there were 4,338,125 shares available for issuance under the 2020 Plan.</w:t>
      </w:r>
    </w:p>
    <w:p>
      <w:pPr>
        <w:spacing w:after="0" w:line="85"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On September 9, 2022, the Company granted 374,899 Restricted Stock Units (“RSUs”) to employees pursuant to an employee retention program approved by the compensation committee of the Company’s board of directors. The RSUs have graded vesting on an annual basis for two years of continuous service, as per the 2020 Plan. As of December 31, 2025, such RSUs were fully vested and common stock was issued upon the settlement of the RSUs.</w:t>
      </w:r>
    </w:p>
    <w:p>
      <w:pPr>
        <w:spacing w:after="0" w:line="73" w:lineRule="exact"/>
        <w:rPr>
          <w:sz w:val="20"/>
          <w:szCs w:val="20"/>
          <w:color w:val="auto"/>
        </w:rPr>
      </w:pPr>
    </w:p>
    <w:p>
      <w:pPr>
        <w:jc w:val="both"/>
        <w:ind w:right="200" w:firstLine="490"/>
        <w:spacing w:after="0" w:line="259" w:lineRule="auto"/>
        <w:rPr>
          <w:sz w:val="20"/>
          <w:szCs w:val="20"/>
          <w:color w:val="auto"/>
        </w:rPr>
      </w:pPr>
      <w:r>
        <w:rPr>
          <w:rFonts w:ascii="Times New Roman" w:cs="Times New Roman" w:eastAsia="Times New Roman" w:hAnsi="Times New Roman"/>
          <w:sz w:val="20"/>
          <w:szCs w:val="20"/>
          <w:color w:val="auto"/>
        </w:rPr>
        <w:t>On January 18, 2024, the Company granted 952,665 RSUs to employees VP-level or higher, pursuant to an employee retention program approved by the compensation committee of the Company’s board of directors. As of December 31, 2025 such RSUs were fully vested and common stock was issued upon settlement of the RSUs.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table below summarizes the annual grant activity under the 2020 Plan as of December 31, 2025:</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Shares Available</w:t>
            </w:r>
          </w:p>
        </w:tc>
      </w:tr>
      <w:tr>
        <w:trPr>
          <w:trHeight w:val="203"/>
        </w:trPr>
        <w:tc>
          <w:tcPr>
            <w:tcW w:w="7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for Grant</w:t>
            </w:r>
          </w:p>
        </w:tc>
      </w:tr>
      <w:tr>
        <w:trPr>
          <w:trHeight w:val="244"/>
        </w:trPr>
        <w:tc>
          <w:tcPr>
            <w:tcW w:w="75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auto"/>
              </w:rPr>
              <w:t>Balances December 31, 2024</w:t>
            </w:r>
          </w:p>
        </w:tc>
        <w:tc>
          <w:tcPr>
            <w:tcW w:w="10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5,321,104</w:t>
            </w:r>
          </w:p>
        </w:tc>
        <w:tc>
          <w:tcPr>
            <w:tcW w:w="240" w:type="dxa"/>
            <w:vAlign w:val="bottom"/>
            <w:shd w:val="clear" w:color="auto" w:fill="DDDDDD"/>
          </w:tcPr>
          <w:p>
            <w:pPr>
              <w:spacing w:after="0"/>
              <w:rPr>
                <w:sz w:val="21"/>
                <w:szCs w:val="21"/>
                <w:color w:val="auto"/>
              </w:rPr>
            </w:pPr>
          </w:p>
        </w:tc>
      </w:tr>
      <w:tr>
        <w:trPr>
          <w:trHeight w:val="245"/>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Shares reserved for issuance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2,596,638</w:t>
            </w:r>
          </w:p>
        </w:tc>
        <w:tc>
          <w:tcPr>
            <w:tcW w:w="240" w:type="dxa"/>
            <w:vAlign w:val="bottom"/>
          </w:tcPr>
          <w:p>
            <w:pPr>
              <w:spacing w:after="0"/>
              <w:rPr>
                <w:sz w:val="21"/>
                <w:szCs w:val="21"/>
                <w:color w:val="auto"/>
              </w:rPr>
            </w:pPr>
          </w:p>
        </w:tc>
      </w:tr>
      <w:tr>
        <w:trPr>
          <w:trHeight w:val="244"/>
        </w:trPr>
        <w:tc>
          <w:tcPr>
            <w:tcW w:w="75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Options granted</w:t>
            </w:r>
          </w:p>
        </w:tc>
        <w:tc>
          <w:tcPr>
            <w:tcW w:w="10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(3,784,840</w:t>
            </w:r>
          </w:p>
        </w:tc>
        <w:tc>
          <w:tcPr>
            <w:tcW w:w="240" w:type="dxa"/>
            <w:vAlign w:val="bottom"/>
            <w:shd w:val="clear" w:color="auto" w:fill="DDDDDD"/>
          </w:tcPr>
          <w:p>
            <w:pPr>
              <w:jc w:val="right"/>
              <w:ind w:right="100"/>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45"/>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auto"/>
              </w:rPr>
              <w:t>Options forfeited / cancelled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205,223</w:t>
            </w:r>
          </w:p>
        </w:tc>
        <w:tc>
          <w:tcPr>
            <w:tcW w:w="240" w:type="dxa"/>
            <w:vAlign w:val="bottom"/>
          </w:tcPr>
          <w:p>
            <w:pPr>
              <w:spacing w:after="0"/>
              <w:rPr>
                <w:sz w:val="21"/>
                <w:szCs w:val="21"/>
                <w:color w:val="auto"/>
              </w:rPr>
            </w:pPr>
          </w:p>
        </w:tc>
      </w:tr>
      <w:tr>
        <w:trPr>
          <w:trHeight w:val="236"/>
        </w:trPr>
        <w:tc>
          <w:tcPr>
            <w:tcW w:w="7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Balances December 31, 2025</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4,338,125</w:t>
            </w:r>
          </w:p>
        </w:tc>
        <w:tc>
          <w:tcPr>
            <w:tcW w:w="24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-649605</wp:posOffset>
                </wp:positionV>
                <wp:extent cx="59436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1499pt" to="468pt,-51.1499pt" o:allowincell="f" strokecolor="#FFFFFF" strokeweight="0.72pt"/>
            </w:pict>
          </mc:Fallback>
        </mc:AlternateContent>
      </w:r>
    </w:p>
    <w:p>
      <w:pPr>
        <w:spacing w:after="0" w:line="3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2020 Employee Stock Purchase Plan</w:t>
      </w:r>
    </w:p>
    <w:p>
      <w:pPr>
        <w:spacing w:after="0" w:line="110" w:lineRule="exact"/>
        <w:rPr>
          <w:sz w:val="20"/>
          <w:szCs w:val="20"/>
          <w:color w:val="auto"/>
        </w:rPr>
      </w:pPr>
    </w:p>
    <w:p>
      <w:pPr>
        <w:ind w:right="60" w:firstLine="619"/>
        <w:spacing w:after="0" w:line="234" w:lineRule="auto"/>
        <w:rPr>
          <w:sz w:val="20"/>
          <w:szCs w:val="20"/>
          <w:color w:val="auto"/>
        </w:rPr>
      </w:pPr>
      <w:r>
        <w:rPr>
          <w:rFonts w:ascii="Times New Roman" w:cs="Times New Roman" w:eastAsia="Times New Roman" w:hAnsi="Times New Roman"/>
          <w:sz w:val="20"/>
          <w:szCs w:val="20"/>
          <w:color w:val="auto"/>
        </w:rPr>
        <w:t>The 2020 Employee Stock Purchase Plan (the “2020 ESPP”) was approved by the Company’s board of directors on September 24, 2020. A total of 400,752 shares of common stock were initially reserved for issuance under this plan, which shall be increased, upon approval by the Company’s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2022, the Company’s board of directors waived the annual increase to the shares reserved under the 2020 ESPP. For 2023, the 2020 ESPP reserved shares were increased under clause (ii) by 457,713 shares, effective as of January 1, 2023. For 2024, the 2020 ESPP reserved shares were increased under clause (ii) by 514,434 shares, effective as of January 1, 2024. For 2025 and 2026, the Company’s board of directors waived the annual increase to the shares reserved under the 2020 ESPP.</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9360"/>
          </w:cols>
          <w:pgMar w:left="1440" w:top="1412" w:right="1440" w:bottom="175" w:gutter="0" w:footer="0" w:header="0"/>
        </w:sectPr>
      </w:pPr>
    </w:p>
    <w:bookmarkStart w:id="123" w:name="page124"/>
    <w:bookmarkEnd w:id="123"/>
    <w:p>
      <w:pPr>
        <w:ind w:right="20" w:firstLine="619"/>
        <w:spacing w:after="0" w:line="242" w:lineRule="auto"/>
        <w:rPr>
          <w:sz w:val="20"/>
          <w:szCs w:val="20"/>
          <w:color w:val="auto"/>
        </w:rPr>
      </w:pPr>
      <w:r>
        <w:rPr>
          <w:rFonts w:ascii="Times New Roman" w:cs="Times New Roman" w:eastAsia="Times New Roman" w:hAnsi="Times New Roman"/>
          <w:sz w:val="20"/>
          <w:szCs w:val="20"/>
          <w:color w:val="auto"/>
        </w:rPr>
        <w:t>On May 20, 2025, employees of the Company exercised their right to purchase 128,240 shares under the 2020 ESPP. On November 21, 2025, employees of the Company exercised their right to purchase 117,885 shares under the 2020 ESPP. As of December 31, 2025, 611,415 shares are issued or outstanding, and there were 1,162,196 shares available for issuance, under the 2020 ESPP.</w:t>
      </w:r>
    </w:p>
    <w:p>
      <w:pPr>
        <w:spacing w:after="0" w:line="3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11" w:lineRule="exact"/>
        <w:rPr>
          <w:sz w:val="20"/>
          <w:szCs w:val="20"/>
          <w:color w:val="auto"/>
        </w:rPr>
      </w:pPr>
    </w:p>
    <w:p>
      <w:pPr>
        <w:ind w:firstLine="620"/>
        <w:spacing w:after="0" w:line="233" w:lineRule="auto"/>
        <w:rPr>
          <w:sz w:val="20"/>
          <w:szCs w:val="20"/>
          <w:color w:val="auto"/>
        </w:rPr>
      </w:pPr>
      <w:r>
        <w:rPr>
          <w:rFonts w:ascii="Times New Roman" w:cs="Times New Roman" w:eastAsia="Times New Roman" w:hAnsi="Times New Roman"/>
          <w:sz w:val="20"/>
          <w:szCs w:val="20"/>
          <w:color w:val="auto"/>
        </w:rPr>
        <w:t>On July 16, 2024, the Company filed with the Securities and Exchange Commission a Tender Offer Statement on Schedule TO defining the terms and conditions of a one-time voluntary stock option exchange to its employees of certain options to purchase up to an aggregate of 2,820,491 shares of the Company’s common stock (the “Option Exchange”). On August 13, 2024, the completion date of the Option Exchange, stock options covering an aggregate of 2,786,691 shares of common stock were tendered by eligible employees, and the Company granted new options at an exercise price of $1.48, the Company’s closing stock price on August 13, 2024, covering an aggregate of 2,786,691 shares of common stock under the 2020 Plan in exchange for the tendered options. The new options are subject to a new three or four-year vesting schedule, vesting in equal annual installments over the vesting term. Each new option has a maximum term of ten years. The Option Exchange was treated as a modification for accounting purposes. As a result of the Option Exchange, the Company will recognize incremental stock-based compensation expense of $1,370 over the requisite service period of the new stock options, which is three or four years. The Company will recognize the sum of the incremental stock-based compensation expense and the remaining unrecognized compensation expense for the original awards on the modification date, over the requisite service period of the new stock options.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summarizes option activity for the year ended December 31, 2025:</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3"/>
              <w:spacing w:after="0" w:line="168"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20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Life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auto"/>
                <w:w w:val="99"/>
              </w:rPr>
              <w:t>(in 000s)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640" w:type="dxa"/>
            <w:vAlign w:val="bottom"/>
            <w:tcBorders>
              <w:top w:val="single" w:sz="8" w:color="E0E0E0"/>
            </w:tcBorders>
            <w:shd w:val="clear" w:color="auto" w:fill="E0E0E0"/>
          </w:tcPr>
          <w:p>
            <w:pPr>
              <w:spacing w:after="0" w:line="204" w:lineRule="exact"/>
              <w:rPr>
                <w:sz w:val="20"/>
                <w:szCs w:val="20"/>
                <w:color w:val="auto"/>
              </w:rPr>
            </w:pPr>
            <w:r>
              <w:rPr>
                <w:rFonts w:ascii="Times New Roman" w:cs="Times New Roman" w:eastAsia="Times New Roman" w:hAnsi="Times New Roman"/>
                <w:sz w:val="20"/>
                <w:szCs w:val="20"/>
                <w:b w:val="1"/>
                <w:bCs w:val="1"/>
                <w:color w:val="auto"/>
              </w:rPr>
              <w:t>Balances December 31, 2024</w:t>
            </w:r>
          </w:p>
        </w:tc>
        <w:tc>
          <w:tcPr>
            <w:tcW w:w="180" w:type="dxa"/>
            <w:vAlign w:val="bottom"/>
            <w:tcBorders>
              <w:top w:val="single" w:sz="8" w:color="E0E0E0"/>
            </w:tcBorders>
            <w:shd w:val="clear" w:color="auto" w:fill="E0E0E0"/>
          </w:tcPr>
          <w:p>
            <w:pPr>
              <w:spacing w:after="0"/>
              <w:rPr>
                <w:sz w:val="17"/>
                <w:szCs w:val="17"/>
                <w:color w:val="auto"/>
              </w:rPr>
            </w:pPr>
          </w:p>
        </w:tc>
        <w:tc>
          <w:tcPr>
            <w:tcW w:w="20" w:type="dxa"/>
            <w:vAlign w:val="bottom"/>
            <w:tcBorders>
              <w:top w:val="single" w:sz="8" w:color="E0E0E0"/>
            </w:tcBorders>
            <w:shd w:val="clear" w:color="auto" w:fill="E0E0E0"/>
          </w:tcPr>
          <w:p>
            <w:pPr>
              <w:spacing w:after="0"/>
              <w:rPr>
                <w:sz w:val="17"/>
                <w:szCs w:val="17"/>
                <w:color w:val="auto"/>
              </w:rPr>
            </w:pPr>
          </w:p>
        </w:tc>
        <w:tc>
          <w:tcPr>
            <w:tcW w:w="80" w:type="dxa"/>
            <w:vAlign w:val="bottom"/>
            <w:tcBorders>
              <w:top w:val="single" w:sz="8" w:color="auto"/>
            </w:tcBorders>
            <w:shd w:val="clear" w:color="auto" w:fill="E0E0E0"/>
          </w:tcPr>
          <w:p>
            <w:pPr>
              <w:spacing w:after="0"/>
              <w:rPr>
                <w:sz w:val="17"/>
                <w:szCs w:val="17"/>
                <w:color w:val="auto"/>
              </w:rPr>
            </w:pPr>
          </w:p>
        </w:tc>
        <w:tc>
          <w:tcPr>
            <w:tcW w:w="1000" w:type="dxa"/>
            <w:vAlign w:val="bottom"/>
            <w:tcBorders>
              <w:top w:val="single" w:sz="8" w:color="auto"/>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8,653,913</w:t>
            </w:r>
          </w:p>
        </w:tc>
        <w:tc>
          <w:tcPr>
            <w:tcW w:w="80" w:type="dxa"/>
            <w:vAlign w:val="bottom"/>
            <w:tcBorders>
              <w:top w:val="single" w:sz="8" w:color="E0E0E0"/>
            </w:tcBorders>
            <w:shd w:val="clear" w:color="auto" w:fill="E0E0E0"/>
          </w:tcPr>
          <w:p>
            <w:pPr>
              <w:spacing w:after="0"/>
              <w:rPr>
                <w:sz w:val="17"/>
                <w:szCs w:val="17"/>
                <w:color w:val="auto"/>
              </w:rPr>
            </w:pPr>
          </w:p>
        </w:tc>
        <w:tc>
          <w:tcPr>
            <w:tcW w:w="12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auto"/>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60" w:type="dxa"/>
            <w:vAlign w:val="bottom"/>
            <w:tcBorders>
              <w:top w:val="single" w:sz="8" w:color="auto"/>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2.87</w:t>
            </w:r>
          </w:p>
        </w:tc>
        <w:tc>
          <w:tcPr>
            <w:tcW w:w="20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auto"/>
            </w:tcBorders>
            <w:shd w:val="clear" w:color="auto" w:fill="E0E0E0"/>
          </w:tcPr>
          <w:p>
            <w:pPr>
              <w:spacing w:after="0"/>
              <w:rPr>
                <w:sz w:val="17"/>
                <w:szCs w:val="17"/>
                <w:color w:val="auto"/>
              </w:rPr>
            </w:pPr>
          </w:p>
        </w:tc>
        <w:tc>
          <w:tcPr>
            <w:tcW w:w="960" w:type="dxa"/>
            <w:vAlign w:val="bottom"/>
            <w:tcBorders>
              <w:top w:val="single" w:sz="8" w:color="auto"/>
            </w:tcBorders>
            <w:shd w:val="clear" w:color="auto" w:fill="E0E0E0"/>
          </w:tcPr>
          <w:p>
            <w:pPr>
              <w:ind w:left="600"/>
              <w:spacing w:after="0" w:line="204" w:lineRule="exact"/>
              <w:rPr>
                <w:sz w:val="20"/>
                <w:szCs w:val="20"/>
                <w:color w:val="auto"/>
              </w:rPr>
            </w:pPr>
            <w:r>
              <w:rPr>
                <w:rFonts w:ascii="Times New Roman" w:cs="Times New Roman" w:eastAsia="Times New Roman" w:hAnsi="Times New Roman"/>
                <w:sz w:val="20"/>
                <w:szCs w:val="20"/>
                <w:color w:val="auto"/>
                <w:w w:val="97"/>
              </w:rPr>
              <w:t>7.72</w:t>
            </w:r>
          </w:p>
        </w:tc>
        <w:tc>
          <w:tcPr>
            <w:tcW w:w="20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auto"/>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20" w:type="dxa"/>
            <w:vAlign w:val="bottom"/>
            <w:tcBorders>
              <w:top w:val="single" w:sz="8" w:color="auto"/>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0"/>
                <w:szCs w:val="20"/>
                <w:color w:val="auto"/>
              </w:rPr>
              <w:t>162</w:t>
            </w:r>
          </w:p>
        </w:tc>
        <w:tc>
          <w:tcPr>
            <w:tcW w:w="100" w:type="dxa"/>
            <w:vAlign w:val="bottom"/>
            <w:tcBorders>
              <w:top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6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auto"/>
              </w:rPr>
              <w:t>Options granted</w:t>
            </w:r>
          </w:p>
        </w:tc>
        <w:tc>
          <w:tcPr>
            <w:tcW w:w="18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10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3,784,840</w:t>
            </w:r>
          </w:p>
        </w:tc>
        <w:tc>
          <w:tcPr>
            <w:tcW w:w="8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7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2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tcPr>
          <w:p>
            <w:pPr>
              <w:spacing w:after="0"/>
              <w:rPr>
                <w:sz w:val="21"/>
                <w:szCs w:val="21"/>
                <w:color w:val="auto"/>
              </w:rPr>
            </w:pPr>
          </w:p>
        </w:tc>
        <w:tc>
          <w:tcPr>
            <w:tcW w:w="20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72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E0E0E0"/>
          </w:tcPr>
          <w:p>
            <w:pPr>
              <w:spacing w:after="0" w:line="224" w:lineRule="exact"/>
              <w:rPr>
                <w:sz w:val="20"/>
                <w:szCs w:val="20"/>
                <w:color w:val="auto"/>
              </w:rPr>
            </w:pPr>
            <w:r>
              <w:rPr>
                <w:rFonts w:ascii="Times New Roman" w:cs="Times New Roman" w:eastAsia="Times New Roman" w:hAnsi="Times New Roman"/>
                <w:sz w:val="20"/>
                <w:szCs w:val="20"/>
                <w:color w:val="auto"/>
              </w:rPr>
              <w:t>Options forfeited / cancelled</w:t>
            </w: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0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(205,223</w:t>
            </w: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1.64</w:t>
            </w:r>
          </w:p>
        </w:tc>
        <w:tc>
          <w:tcPr>
            <w:tcW w:w="2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7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Options exercised</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(242,842 )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640" w:type="dxa"/>
            <w:vAlign w:val="bottom"/>
            <w:tcBorders>
              <w:top w:val="single" w:sz="8" w:color="E0E0E0"/>
            </w:tcBorders>
            <w:shd w:val="clear" w:color="auto" w:fill="E0E0E0"/>
          </w:tcPr>
          <w:p>
            <w:pPr>
              <w:spacing w:after="0" w:line="213" w:lineRule="exact"/>
              <w:rPr>
                <w:sz w:val="20"/>
                <w:szCs w:val="20"/>
                <w:color w:val="auto"/>
              </w:rPr>
            </w:pPr>
            <w:r>
              <w:rPr>
                <w:rFonts w:ascii="Times New Roman" w:cs="Times New Roman" w:eastAsia="Times New Roman" w:hAnsi="Times New Roman"/>
                <w:sz w:val="20"/>
                <w:szCs w:val="20"/>
                <w:b w:val="1"/>
                <w:bCs w:val="1"/>
                <w:color w:val="auto"/>
              </w:rPr>
              <w:t>Balances December 31, 2025</w:t>
            </w:r>
          </w:p>
        </w:tc>
        <w:tc>
          <w:tcPr>
            <w:tcW w:w="18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tcBorders>
            <w:shd w:val="clear" w:color="auto" w:fill="E0E0E0"/>
          </w:tcPr>
          <w:p>
            <w:pPr>
              <w:spacing w:after="0"/>
              <w:rPr>
                <w:sz w:val="18"/>
                <w:szCs w:val="18"/>
                <w:color w:val="auto"/>
              </w:rPr>
            </w:pPr>
          </w:p>
        </w:tc>
        <w:tc>
          <w:tcPr>
            <w:tcW w:w="80" w:type="dxa"/>
            <w:vAlign w:val="bottom"/>
            <w:tcBorders>
              <w:top w:val="single" w:sz="8" w:color="auto"/>
              <w:bottom w:val="single" w:sz="8" w:color="auto"/>
            </w:tcBorders>
            <w:shd w:val="clear" w:color="auto" w:fill="E0E0E0"/>
          </w:tcPr>
          <w:p>
            <w:pPr>
              <w:spacing w:after="0"/>
              <w:rPr>
                <w:sz w:val="18"/>
                <w:szCs w:val="18"/>
                <w:color w:val="auto"/>
              </w:rPr>
            </w:pPr>
          </w:p>
        </w:tc>
        <w:tc>
          <w:tcPr>
            <w:tcW w:w="1000" w:type="dxa"/>
            <w:vAlign w:val="bottom"/>
            <w:tcBorders>
              <w:top w:val="single" w:sz="8" w:color="auto"/>
              <w:bottom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shd w:val="clear" w:color="auto" w:fill="E0E0E0"/>
              </w:rPr>
              <w:t>11,990,688</w:t>
            </w:r>
          </w:p>
        </w:tc>
        <w:tc>
          <w:tcPr>
            <w:tcW w:w="8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auto"/>
              <w:bottom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60" w:type="dxa"/>
            <w:vAlign w:val="bottom"/>
            <w:tcBorders>
              <w:top w:val="single" w:sz="8" w:color="auto"/>
              <w:bottom w:val="single" w:sz="8" w:color="auto"/>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2.43</w:t>
            </w:r>
          </w:p>
        </w:tc>
        <w:tc>
          <w:tcPr>
            <w:tcW w:w="20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960" w:type="dxa"/>
            <w:vAlign w:val="bottom"/>
            <w:tcBorders>
              <w:top w:val="single" w:sz="8" w:color="E0E0E0"/>
            </w:tcBorders>
            <w:shd w:val="clear" w:color="auto" w:fill="E0E0E0"/>
          </w:tcPr>
          <w:p>
            <w:pPr>
              <w:ind w:left="600"/>
              <w:spacing w:after="0" w:line="213" w:lineRule="exact"/>
              <w:rPr>
                <w:sz w:val="20"/>
                <w:szCs w:val="20"/>
                <w:color w:val="auto"/>
              </w:rPr>
            </w:pPr>
            <w:r>
              <w:rPr>
                <w:rFonts w:ascii="Times New Roman" w:cs="Times New Roman" w:eastAsia="Times New Roman" w:hAnsi="Times New Roman"/>
                <w:sz w:val="20"/>
                <w:szCs w:val="20"/>
                <w:color w:val="auto"/>
                <w:w w:val="97"/>
              </w:rPr>
              <w:t>7.74</w:t>
            </w:r>
          </w:p>
        </w:tc>
        <w:tc>
          <w:tcPr>
            <w:tcW w:w="200" w:type="dxa"/>
            <w:vAlign w:val="bottom"/>
            <w:tcBorders>
              <w:top w:val="single" w:sz="8" w:color="E0E0E0"/>
            </w:tcBorders>
            <w:shd w:val="clear" w:color="auto" w:fill="E0E0E0"/>
          </w:tcPr>
          <w:p>
            <w:pPr>
              <w:spacing w:after="0"/>
              <w:rPr>
                <w:sz w:val="18"/>
                <w:szCs w:val="18"/>
                <w:color w:val="auto"/>
              </w:rPr>
            </w:pPr>
          </w:p>
        </w:tc>
        <w:tc>
          <w:tcPr>
            <w:tcW w:w="100" w:type="dxa"/>
            <w:vAlign w:val="bottom"/>
            <w:tcBorders>
              <w:top w:val="single" w:sz="8" w:color="E0E0E0"/>
            </w:tcBorders>
            <w:shd w:val="clear" w:color="auto" w:fill="E0E0E0"/>
          </w:tcPr>
          <w:p>
            <w:pPr>
              <w:spacing w:after="0"/>
              <w:rPr>
                <w:sz w:val="18"/>
                <w:szCs w:val="18"/>
                <w:color w:val="auto"/>
              </w:rPr>
            </w:pPr>
          </w:p>
        </w:tc>
        <w:tc>
          <w:tcPr>
            <w:tcW w:w="720" w:type="dxa"/>
            <w:vAlign w:val="bottom"/>
            <w:tcBorders>
              <w:top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20"/>
                <w:szCs w:val="20"/>
                <w:color w:val="auto"/>
              </w:rPr>
              <w:t>86</w:t>
            </w:r>
          </w:p>
        </w:tc>
        <w:tc>
          <w:tcPr>
            <w:tcW w:w="100" w:type="dxa"/>
            <w:vAlign w:val="bottom"/>
            <w:tcBorders>
              <w:top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At December 31, 2025</w:t>
            </w: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40" w:type="dxa"/>
            <w:vAlign w:val="bottom"/>
            <w:tcBorders>
              <w:bottom w:val="single" w:sz="8" w:color="E0E0E0"/>
            </w:tcBorders>
            <w:gridSpan w:val="3"/>
            <w:vMerge w:val="continue"/>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1000" w:type="dxa"/>
            <w:vAlign w:val="bottom"/>
            <w:tcBorders>
              <w:bottom w:val="single" w:sz="8" w:color="E0E0E0"/>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760" w:type="dxa"/>
            <w:vAlign w:val="bottom"/>
            <w:tcBorders>
              <w:bottom w:val="single" w:sz="8" w:color="E0E0E0"/>
            </w:tcBorders>
          </w:tcPr>
          <w:p>
            <w:pPr>
              <w:spacing w:after="0"/>
              <w:rPr>
                <w:sz w:val="19"/>
                <w:szCs w:val="19"/>
                <w:color w:val="auto"/>
              </w:rPr>
            </w:pPr>
          </w:p>
        </w:tc>
        <w:tc>
          <w:tcPr>
            <w:tcW w:w="20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960" w:type="dxa"/>
            <w:vAlign w:val="bottom"/>
            <w:tcBorders>
              <w:bottom w:val="single" w:sz="8" w:color="E0E0E0"/>
            </w:tcBorders>
          </w:tcPr>
          <w:p>
            <w:pPr>
              <w:spacing w:after="0"/>
              <w:rPr>
                <w:sz w:val="19"/>
                <w:szCs w:val="19"/>
                <w:color w:val="auto"/>
              </w:rPr>
            </w:pPr>
          </w:p>
        </w:tc>
        <w:tc>
          <w:tcPr>
            <w:tcW w:w="20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72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E0E0E0"/>
          </w:tcPr>
          <w:p>
            <w:pPr>
              <w:ind w:left="100"/>
              <w:spacing w:after="0" w:line="224" w:lineRule="exact"/>
              <w:rPr>
                <w:sz w:val="20"/>
                <w:szCs w:val="20"/>
                <w:color w:val="auto"/>
              </w:rPr>
            </w:pPr>
            <w:r>
              <w:rPr>
                <w:rFonts w:ascii="Times New Roman" w:cs="Times New Roman" w:eastAsia="Times New Roman" w:hAnsi="Times New Roman"/>
                <w:sz w:val="20"/>
                <w:szCs w:val="20"/>
                <w:color w:val="auto"/>
              </w:rPr>
              <w:t>Vested and expected to vest</w:t>
            </w: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tcBorders>
              <w:bottom w:val="single" w:sz="8" w:color="auto"/>
            </w:tcBorders>
            <w:shd w:val="clear" w:color="auto" w:fill="E0E0E0"/>
          </w:tcPr>
          <w:p>
            <w:pPr>
              <w:spacing w:after="0"/>
              <w:rPr>
                <w:sz w:val="19"/>
                <w:szCs w:val="19"/>
                <w:color w:val="auto"/>
              </w:rPr>
            </w:pPr>
          </w:p>
        </w:tc>
        <w:tc>
          <w:tcPr>
            <w:tcW w:w="1000" w:type="dxa"/>
            <w:vAlign w:val="bottom"/>
            <w:tcBorders>
              <w:bottom w:val="single" w:sz="8" w:color="auto"/>
            </w:tcBorders>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shd w:val="clear" w:color="auto" w:fill="E0E0E0"/>
              </w:rPr>
              <w:t>11,990,688</w:t>
            </w:r>
          </w:p>
        </w:tc>
        <w:tc>
          <w:tcPr>
            <w:tcW w:w="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2.43</w:t>
            </w:r>
          </w:p>
        </w:tc>
        <w:tc>
          <w:tcPr>
            <w:tcW w:w="2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shd w:val="clear" w:color="auto" w:fill="E0E0E0"/>
          </w:tcPr>
          <w:p>
            <w:pPr>
              <w:ind w:left="600"/>
              <w:spacing w:after="0" w:line="224" w:lineRule="exact"/>
              <w:rPr>
                <w:sz w:val="20"/>
                <w:szCs w:val="20"/>
                <w:color w:val="auto"/>
              </w:rPr>
            </w:pPr>
            <w:r>
              <w:rPr>
                <w:rFonts w:ascii="Times New Roman" w:cs="Times New Roman" w:eastAsia="Times New Roman" w:hAnsi="Times New Roman"/>
                <w:sz w:val="20"/>
                <w:szCs w:val="20"/>
                <w:color w:val="auto"/>
                <w:w w:val="97"/>
              </w:rPr>
              <w:t>7.74</w:t>
            </w:r>
          </w:p>
        </w:tc>
        <w:tc>
          <w:tcPr>
            <w:tcW w:w="20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7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86</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Exercisable</w:t>
            </w: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1260" w:type="dxa"/>
            <w:vAlign w:val="bottom"/>
            <w:gridSpan w:val="3"/>
            <w:vMerge w:val="restart"/>
          </w:tcPr>
          <w:p>
            <w:pPr>
              <w:ind w:left="900"/>
              <w:spacing w:after="0"/>
              <w:rPr>
                <w:sz w:val="20"/>
                <w:szCs w:val="20"/>
                <w:color w:val="auto"/>
              </w:rPr>
            </w:pPr>
            <w:r>
              <w:rPr>
                <w:rFonts w:ascii="Times New Roman" w:cs="Times New Roman" w:eastAsia="Times New Roman" w:hAnsi="Times New Roman"/>
                <w:sz w:val="20"/>
                <w:szCs w:val="20"/>
                <w:color w:val="auto"/>
                <w:w w:val="97"/>
              </w:rPr>
              <w:t>6.52</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840" w:type="dxa"/>
            <w:vAlign w:val="bottom"/>
            <w:gridSpan w:val="3"/>
            <w:vMerge w:val="continue"/>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5,513,338</w:t>
            </w:r>
          </w:p>
        </w:tc>
        <w:tc>
          <w:tcPr>
            <w:tcW w:w="8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260" w:type="dxa"/>
            <w:vAlign w:val="bottom"/>
            <w:gridSpan w:val="3"/>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-1171575</wp:posOffset>
                </wp:positionV>
                <wp:extent cx="59436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2.2499pt" to="468pt,-92.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-862330</wp:posOffset>
                </wp:positionV>
                <wp:extent cx="59436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7.8999pt" to="468pt,-67.8999pt" o:allowincell="f" strokecolor="#FFFFFF" strokeweight="0.72pt"/>
            </w:pict>
          </mc:Fallback>
        </mc:AlternateContent>
      </w:r>
    </w:p>
    <w:p>
      <w:pPr>
        <w:spacing w:after="0" w:line="235" w:lineRule="exact"/>
        <w:rPr>
          <w:sz w:val="20"/>
          <w:szCs w:val="20"/>
          <w:color w:val="auto"/>
        </w:rPr>
      </w:pPr>
    </w:p>
    <w:p>
      <w:pPr>
        <w:ind w:right="300" w:firstLine="619"/>
        <w:spacing w:after="0" w:line="278" w:lineRule="auto"/>
        <w:rPr>
          <w:sz w:val="20"/>
          <w:szCs w:val="20"/>
          <w:color w:val="auto"/>
        </w:rPr>
      </w:pPr>
      <w:r>
        <w:rPr>
          <w:rFonts w:ascii="Times New Roman" w:cs="Times New Roman" w:eastAsia="Times New Roman" w:hAnsi="Times New Roman"/>
          <w:sz w:val="20"/>
          <w:szCs w:val="20"/>
          <w:color w:val="auto"/>
        </w:rPr>
        <w:t>The weighted average grant date fair value of stock options granted during the years ended December 31, 2025, 2024, and 2023, was $0.92, $4.94, and $4.03, respectively.</w:t>
      </w:r>
    </w:p>
    <w:p>
      <w:pPr>
        <w:spacing w:after="0" w:line="168" w:lineRule="exact"/>
        <w:rPr>
          <w:sz w:val="20"/>
          <w:szCs w:val="20"/>
          <w:color w:val="auto"/>
        </w:rPr>
      </w:pPr>
    </w:p>
    <w:p>
      <w:pPr>
        <w:ind w:right="280" w:firstLine="619"/>
        <w:spacing w:after="0" w:line="258" w:lineRule="auto"/>
        <w:rPr>
          <w:sz w:val="20"/>
          <w:szCs w:val="20"/>
          <w:color w:val="auto"/>
        </w:rPr>
      </w:pPr>
      <w:r>
        <w:rPr>
          <w:rFonts w:ascii="Times New Roman" w:cs="Times New Roman" w:eastAsia="Times New Roman" w:hAnsi="Times New Roman"/>
          <w:sz w:val="20"/>
          <w:szCs w:val="20"/>
          <w:color w:val="auto"/>
        </w:rPr>
        <w:t>The aggregate intrinsic value of options vested and exercisable as of December 31, 2025 and 2024 is calculated based on the difference between the exercise price and the fair value of the Company’s common stock. The intrinsic value of options exercised in 2025, 2024, and 2023, was $66, $107, and $892, respectively.</w:t>
      </w:r>
    </w:p>
    <w:p>
      <w:pPr>
        <w:spacing w:after="0" w:line="187" w:lineRule="exact"/>
        <w:rPr>
          <w:sz w:val="20"/>
          <w:szCs w:val="20"/>
          <w:color w:val="auto"/>
        </w:rPr>
      </w:pPr>
    </w:p>
    <w:p>
      <w:pPr>
        <w:ind w:right="220" w:firstLine="619"/>
        <w:spacing w:after="0" w:line="278" w:lineRule="auto"/>
        <w:rPr>
          <w:sz w:val="20"/>
          <w:szCs w:val="20"/>
          <w:color w:val="auto"/>
        </w:rPr>
      </w:pPr>
      <w:r>
        <w:rPr>
          <w:rFonts w:ascii="Times New Roman" w:cs="Times New Roman" w:eastAsia="Times New Roman" w:hAnsi="Times New Roman"/>
          <w:sz w:val="20"/>
          <w:szCs w:val="20"/>
          <w:color w:val="auto"/>
        </w:rPr>
        <w:t>As of December 31, 2025, the total compensation cost related to nonvested awards not yet recognized was $11,185. The weighted-average period over which the nonvested awards will be recognized is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360"/>
          </w:cols>
          <w:pgMar w:left="1440" w:top="1412" w:right="1440" w:bottom="175" w:gutter="0" w:footer="0" w:header="0"/>
        </w:sectPr>
      </w:pPr>
    </w:p>
    <w:bookmarkStart w:id="124" w:name="page125"/>
    <w:bookmarkEnd w:id="124"/>
    <w:p>
      <w:pPr>
        <w:ind w:right="80" w:firstLine="619"/>
        <w:spacing w:after="0" w:line="258" w:lineRule="auto"/>
        <w:rPr>
          <w:sz w:val="20"/>
          <w:szCs w:val="20"/>
          <w:color w:val="auto"/>
        </w:rPr>
      </w:pPr>
      <w:r>
        <w:rPr>
          <w:rFonts w:ascii="Times New Roman" w:cs="Times New Roman" w:eastAsia="Times New Roman" w:hAnsi="Times New Roman"/>
          <w:sz w:val="20"/>
          <w:szCs w:val="20"/>
          <w:color w:val="auto"/>
        </w:rPr>
        <w:t>The Company estimated the fair value of stock options using the Black-Scholes options valuation model. The fair value of employee stock options is being amortized on a straight-line basis over the requisite service period of the awards. The fair value of employee stock options was estimated using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0"/>
        </w:trPr>
        <w:tc>
          <w:tcPr>
            <w:tcW w:w="440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14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E0E0E0"/>
            </w:tcBorders>
          </w:tcPr>
          <w:p>
            <w:pPr>
              <w:spacing w:after="0"/>
              <w:rPr>
                <w:sz w:val="19"/>
                <w:szCs w:val="19"/>
                <w:color w:val="auto"/>
              </w:rPr>
            </w:pPr>
          </w:p>
        </w:tc>
        <w:tc>
          <w:tcPr>
            <w:tcW w:w="14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DDDDDD"/>
            </w:tcBorders>
          </w:tcPr>
          <w:p>
            <w:pPr>
              <w:spacing w:after="0"/>
              <w:rPr>
                <w:sz w:val="19"/>
                <w:szCs w:val="19"/>
                <w:color w:val="auto"/>
              </w:rPr>
            </w:pPr>
          </w:p>
        </w:tc>
      </w:tr>
      <w:tr>
        <w:trPr>
          <w:trHeight w:val="220"/>
        </w:trPr>
        <w:tc>
          <w:tcPr>
            <w:tcW w:w="440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Risk-free interest rate</w:t>
            </w:r>
          </w:p>
        </w:tc>
        <w:tc>
          <w:tcPr>
            <w:tcW w:w="100" w:type="dxa"/>
            <w:vAlign w:val="bottom"/>
            <w:shd w:val="clear" w:color="auto" w:fill="E0E0E0"/>
          </w:tcPr>
          <w:p>
            <w:pPr>
              <w:spacing w:after="0"/>
              <w:rPr>
                <w:sz w:val="19"/>
                <w:szCs w:val="19"/>
                <w:color w:val="auto"/>
              </w:rPr>
            </w:pPr>
          </w:p>
        </w:tc>
        <w:tc>
          <w:tcPr>
            <w:tcW w:w="6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3.89%</w:t>
            </w:r>
          </w:p>
        </w:tc>
        <w:tc>
          <w:tcPr>
            <w:tcW w:w="780" w:type="dxa"/>
            <w:vAlign w:val="bottom"/>
            <w:shd w:val="clear" w:color="auto" w:fill="E0E0E0"/>
          </w:tcPr>
          <w:p>
            <w:pPr>
              <w:ind w:left="20"/>
              <w:spacing w:after="0" w:line="220" w:lineRule="exact"/>
              <w:rPr>
                <w:sz w:val="20"/>
                <w:szCs w:val="20"/>
                <w:color w:val="auto"/>
              </w:rPr>
            </w:pPr>
            <w:r>
              <w:rPr>
                <w:rFonts w:ascii="Times New Roman" w:cs="Times New Roman" w:eastAsia="Times New Roman" w:hAnsi="Times New Roman"/>
                <w:sz w:val="20"/>
                <w:szCs w:val="20"/>
                <w:color w:val="auto"/>
              </w:rPr>
              <w:t>- 4.48%</w:t>
            </w:r>
          </w:p>
        </w:tc>
        <w:tc>
          <w:tcPr>
            <w:tcW w:w="860" w:type="dxa"/>
            <w:vAlign w:val="bottom"/>
            <w:gridSpan w:val="3"/>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3.57%</w:t>
            </w:r>
          </w:p>
        </w:tc>
        <w:tc>
          <w:tcPr>
            <w:tcW w:w="860" w:type="dxa"/>
            <w:vAlign w:val="bottom"/>
            <w:shd w:val="clear" w:color="auto" w:fill="E0E0E0"/>
          </w:tcPr>
          <w:p>
            <w:pPr>
              <w:ind w:left="20"/>
              <w:spacing w:after="0" w:line="220" w:lineRule="exact"/>
              <w:rPr>
                <w:sz w:val="20"/>
                <w:szCs w:val="20"/>
                <w:color w:val="auto"/>
              </w:rPr>
            </w:pPr>
            <w:r>
              <w:rPr>
                <w:rFonts w:ascii="Times New Roman" w:cs="Times New Roman" w:eastAsia="Times New Roman" w:hAnsi="Times New Roman"/>
                <w:sz w:val="20"/>
                <w:szCs w:val="20"/>
                <w:color w:val="auto"/>
              </w:rPr>
              <w:t>- 4.69%</w:t>
            </w:r>
          </w:p>
        </w:tc>
        <w:tc>
          <w:tcPr>
            <w:tcW w:w="80" w:type="dxa"/>
            <w:vAlign w:val="bottom"/>
            <w:shd w:val="clear" w:color="auto" w:fill="E0E0E0"/>
          </w:tcPr>
          <w:p>
            <w:pPr>
              <w:spacing w:after="0"/>
              <w:rPr>
                <w:sz w:val="19"/>
                <w:szCs w:val="19"/>
                <w:color w:val="auto"/>
              </w:rPr>
            </w:pPr>
          </w:p>
        </w:tc>
        <w:tc>
          <w:tcPr>
            <w:tcW w:w="6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auto"/>
              </w:rPr>
              <w:t>3.45%</w:t>
            </w:r>
          </w:p>
        </w:tc>
        <w:tc>
          <w:tcPr>
            <w:tcW w:w="780" w:type="dxa"/>
            <w:vAlign w:val="bottom"/>
            <w:shd w:val="clear" w:color="auto" w:fill="E0E0E0"/>
          </w:tcPr>
          <w:p>
            <w:pPr>
              <w:ind w:left="20"/>
              <w:spacing w:after="0" w:line="220" w:lineRule="exact"/>
              <w:rPr>
                <w:sz w:val="20"/>
                <w:szCs w:val="20"/>
                <w:color w:val="auto"/>
              </w:rPr>
            </w:pPr>
            <w:r>
              <w:rPr>
                <w:rFonts w:ascii="Times New Roman" w:cs="Times New Roman" w:eastAsia="Times New Roman" w:hAnsi="Times New Roman"/>
                <w:sz w:val="20"/>
                <w:szCs w:val="20"/>
                <w:color w:val="auto"/>
              </w:rPr>
              <w:t>- 4.65%</w:t>
            </w:r>
          </w:p>
        </w:tc>
        <w:tc>
          <w:tcPr>
            <w:tcW w:w="140" w:type="dxa"/>
            <w:vAlign w:val="bottom"/>
            <w:shd w:val="clear" w:color="auto" w:fill="DDDDDD"/>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Expected life (in years)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- 6.25</w:t>
            </w:r>
          </w:p>
        </w:tc>
        <w:tc>
          <w:tcPr>
            <w:tcW w:w="120" w:type="dxa"/>
            <w:vAlign w:val="bottom"/>
            <w:gridSpan w:val="2"/>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- 6.25</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w:t>
            </w:r>
          </w:p>
        </w:tc>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- 6.25</w:t>
            </w:r>
          </w:p>
        </w:tc>
        <w:tc>
          <w:tcPr>
            <w:tcW w:w="140" w:type="dxa"/>
            <w:vAlign w:val="bottom"/>
          </w:tcPr>
          <w:p>
            <w:pPr>
              <w:spacing w:after="0"/>
              <w:rPr>
                <w:sz w:val="19"/>
                <w:szCs w:val="19"/>
                <w:color w:val="auto"/>
              </w:rPr>
            </w:pPr>
          </w:p>
        </w:tc>
      </w:tr>
      <w:tr>
        <w:trPr>
          <w:trHeight w:val="230"/>
        </w:trPr>
        <w:tc>
          <w:tcPr>
            <w:tcW w:w="44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00" w:type="dxa"/>
            <w:vAlign w:val="bottom"/>
            <w:shd w:val="clear" w:color="auto" w:fill="E0E0E0"/>
          </w:tcPr>
          <w:p>
            <w:pPr>
              <w:spacing w:after="0"/>
              <w:rPr>
                <w:sz w:val="20"/>
                <w:szCs w:val="20"/>
                <w:color w:val="auto"/>
              </w:rPr>
            </w:pPr>
          </w:p>
        </w:tc>
        <w:tc>
          <w:tcPr>
            <w:tcW w:w="1460" w:type="dxa"/>
            <w:vAlign w:val="bottom"/>
            <w:gridSpan w:val="2"/>
            <w:shd w:val="clear" w:color="auto" w:fill="E0E0E0"/>
          </w:tcPr>
          <w:p>
            <w:pPr>
              <w:jc w:val="right"/>
              <w:ind w:right="480"/>
              <w:spacing w:after="0"/>
              <w:rPr>
                <w:sz w:val="20"/>
                <w:szCs w:val="20"/>
                <w:color w:val="auto"/>
              </w:rPr>
            </w:pPr>
            <w:r>
              <w:rPr>
                <w:rFonts w:ascii="Times New Roman" w:cs="Times New Roman" w:eastAsia="Times New Roman" w:hAnsi="Times New Roman"/>
                <w:sz w:val="20"/>
                <w:szCs w:val="20"/>
                <w:color w:val="auto"/>
              </w:rPr>
              <w:t>0%</w:t>
            </w:r>
          </w:p>
        </w:tc>
        <w:tc>
          <w:tcPr>
            <w:tcW w:w="120" w:type="dxa"/>
            <w:vAlign w:val="bottom"/>
            <w:gridSpan w:val="2"/>
            <w:shd w:val="clear" w:color="auto" w:fill="E0E0E0"/>
          </w:tcPr>
          <w:p>
            <w:pPr>
              <w:spacing w:after="0"/>
              <w:rPr>
                <w:sz w:val="20"/>
                <w:szCs w:val="20"/>
                <w:color w:val="auto"/>
              </w:rPr>
            </w:pPr>
          </w:p>
        </w:tc>
        <w:tc>
          <w:tcPr>
            <w:tcW w:w="1600" w:type="dxa"/>
            <w:vAlign w:val="bottom"/>
            <w:gridSpan w:val="2"/>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rPr>
              <w:t>0%</w:t>
            </w:r>
          </w:p>
        </w:tc>
        <w:tc>
          <w:tcPr>
            <w:tcW w:w="80" w:type="dxa"/>
            <w:vAlign w:val="bottom"/>
            <w:shd w:val="clear" w:color="auto" w:fill="E0E0E0"/>
          </w:tcPr>
          <w:p>
            <w:pPr>
              <w:spacing w:after="0"/>
              <w:rPr>
                <w:sz w:val="20"/>
                <w:szCs w:val="20"/>
                <w:color w:val="auto"/>
              </w:rPr>
            </w:pPr>
          </w:p>
        </w:tc>
        <w:tc>
          <w:tcPr>
            <w:tcW w:w="1460" w:type="dxa"/>
            <w:vAlign w:val="bottom"/>
            <w:gridSpan w:val="2"/>
            <w:shd w:val="clear" w:color="auto" w:fill="E0E0E0"/>
          </w:tcPr>
          <w:p>
            <w:pPr>
              <w:jc w:val="right"/>
              <w:ind w:right="480"/>
              <w:spacing w:after="0"/>
              <w:rPr>
                <w:sz w:val="20"/>
                <w:szCs w:val="20"/>
                <w:color w:val="auto"/>
              </w:rPr>
            </w:pPr>
            <w:r>
              <w:rPr>
                <w:rFonts w:ascii="Times New Roman" w:cs="Times New Roman" w:eastAsia="Times New Roman" w:hAnsi="Times New Roman"/>
                <w:sz w:val="20"/>
                <w:szCs w:val="20"/>
                <w:color w:val="auto"/>
              </w:rPr>
              <w:t>0%</w:t>
            </w:r>
          </w:p>
        </w:tc>
        <w:tc>
          <w:tcPr>
            <w:tcW w:w="140" w:type="dxa"/>
            <w:vAlign w:val="bottom"/>
            <w:shd w:val="clear" w:color="auto" w:fill="DDDDDD"/>
          </w:tcPr>
          <w:p>
            <w:pPr>
              <w:spacing w:after="0"/>
              <w:rPr>
                <w:sz w:val="20"/>
                <w:szCs w:val="20"/>
                <w:color w:val="auto"/>
              </w:rPr>
            </w:pPr>
          </w:p>
        </w:tc>
      </w:tr>
      <w:tr>
        <w:trPr>
          <w:trHeight w:val="267"/>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78.67%</w:t>
            </w:r>
          </w:p>
        </w:tc>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- 80.22%</w:t>
            </w:r>
          </w:p>
        </w:tc>
        <w:tc>
          <w:tcPr>
            <w:tcW w:w="1720" w:type="dxa"/>
            <w:vAlign w:val="bottom"/>
            <w:gridSpan w:val="4"/>
          </w:tcPr>
          <w:p>
            <w:pPr>
              <w:jc w:val="center"/>
              <w:ind w:left="7"/>
              <w:spacing w:after="0"/>
              <w:rPr>
                <w:sz w:val="20"/>
                <w:szCs w:val="20"/>
                <w:color w:val="auto"/>
              </w:rPr>
            </w:pPr>
            <w:r>
              <w:rPr>
                <w:rFonts w:ascii="Times New Roman" w:cs="Times New Roman" w:eastAsia="Times New Roman" w:hAnsi="Times New Roman"/>
                <w:sz w:val="20"/>
                <w:szCs w:val="20"/>
                <w:color w:val="auto"/>
                <w:w w:val="99"/>
              </w:rPr>
              <w:t>85.55% - 127.07%</w:t>
            </w: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75.21%</w:t>
            </w:r>
          </w:p>
        </w:tc>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- 77.72%</w:t>
            </w:r>
          </w:p>
        </w:tc>
        <w:tc>
          <w:tcPr>
            <w:tcW w:w="140" w:type="dxa"/>
            <w:vAlign w:val="bottom"/>
          </w:tcPr>
          <w:p>
            <w:pPr>
              <w:spacing w:after="0"/>
              <w:rPr>
                <w:sz w:val="23"/>
                <w:szCs w:val="23"/>
                <w:color w:val="auto"/>
              </w:rPr>
            </w:pPr>
          </w:p>
        </w:tc>
      </w:tr>
    </w:tbl>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weighted average assumptions used to estimate the fair value of stock purchase rights under the 2020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ESPP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30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7"/>
                <w:szCs w:val="17"/>
                <w:color w:val="auto"/>
              </w:rPr>
            </w:pPr>
          </w:p>
        </w:tc>
      </w:tr>
      <w:tr>
        <w:trPr>
          <w:trHeight w:val="220"/>
        </w:trPr>
        <w:tc>
          <w:tcPr>
            <w:tcW w:w="6220" w:type="dxa"/>
            <w:vAlign w:val="bottom"/>
            <w:tcBorders>
              <w:bottom w:val="single" w:sz="8" w:color="E0E0E0"/>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E0E0E0"/>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DDDDDD"/>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DDDDDD"/>
            </w:tcBorders>
          </w:tcPr>
          <w:p>
            <w:pPr>
              <w:spacing w:after="0"/>
              <w:rPr>
                <w:sz w:val="19"/>
                <w:szCs w:val="19"/>
                <w:color w:val="auto"/>
              </w:rPr>
            </w:pPr>
          </w:p>
        </w:tc>
      </w:tr>
      <w:tr>
        <w:trPr>
          <w:trHeight w:val="220"/>
        </w:trPr>
        <w:tc>
          <w:tcPr>
            <w:tcW w:w="62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Risk-free interest rate</w:t>
            </w:r>
          </w:p>
        </w:tc>
        <w:tc>
          <w:tcPr>
            <w:tcW w:w="980" w:type="dxa"/>
            <w:vAlign w:val="bottom"/>
            <w:shd w:val="clear" w:color="auto" w:fill="E0E0E0"/>
          </w:tcPr>
          <w:p>
            <w:pPr>
              <w:jc w:val="center"/>
              <w:spacing w:after="0" w:line="220" w:lineRule="exact"/>
              <w:rPr>
                <w:sz w:val="20"/>
                <w:szCs w:val="20"/>
                <w:color w:val="auto"/>
              </w:rPr>
            </w:pPr>
            <w:r>
              <w:rPr>
                <w:rFonts w:ascii="Times New Roman" w:cs="Times New Roman" w:eastAsia="Times New Roman" w:hAnsi="Times New Roman"/>
                <w:sz w:val="20"/>
                <w:szCs w:val="20"/>
                <w:color w:val="auto"/>
                <w:w w:val="96"/>
              </w:rPr>
              <w:t>4.07%</w:t>
            </w:r>
          </w:p>
        </w:tc>
        <w:tc>
          <w:tcPr>
            <w:tcW w:w="1100" w:type="dxa"/>
            <w:vAlign w:val="bottom"/>
            <w:tcBorders>
              <w:right w:val="single" w:sz="8" w:color="DDDDDD"/>
            </w:tcBorders>
            <w:gridSpan w:val="2"/>
            <w:shd w:val="clear" w:color="auto" w:fill="E0E0E0"/>
          </w:tcPr>
          <w:p>
            <w:pPr>
              <w:jc w:val="center"/>
              <w:spacing w:after="0" w:line="220" w:lineRule="exact"/>
              <w:rPr>
                <w:sz w:val="20"/>
                <w:szCs w:val="20"/>
                <w:color w:val="auto"/>
              </w:rPr>
            </w:pPr>
            <w:r>
              <w:rPr>
                <w:rFonts w:ascii="Times New Roman" w:cs="Times New Roman" w:eastAsia="Times New Roman" w:hAnsi="Times New Roman"/>
                <w:sz w:val="20"/>
                <w:szCs w:val="20"/>
                <w:color w:val="auto"/>
              </w:rPr>
              <w:t>5.43%</w:t>
            </w:r>
          </w:p>
        </w:tc>
        <w:tc>
          <w:tcPr>
            <w:tcW w:w="120" w:type="dxa"/>
            <w:vAlign w:val="bottom"/>
            <w:shd w:val="clear" w:color="auto" w:fill="DDDDDD"/>
          </w:tcPr>
          <w:p>
            <w:pPr>
              <w:spacing w:after="0"/>
              <w:rPr>
                <w:sz w:val="19"/>
                <w:szCs w:val="19"/>
                <w:color w:val="auto"/>
              </w:rPr>
            </w:pPr>
          </w:p>
        </w:tc>
        <w:tc>
          <w:tcPr>
            <w:tcW w:w="820" w:type="dxa"/>
            <w:vAlign w:val="bottom"/>
            <w:shd w:val="clear" w:color="auto" w:fill="E0E0E0"/>
          </w:tcPr>
          <w:p>
            <w:pPr>
              <w:jc w:val="center"/>
              <w:spacing w:after="0" w:line="220" w:lineRule="exact"/>
              <w:rPr>
                <w:sz w:val="20"/>
                <w:szCs w:val="20"/>
                <w:color w:val="auto"/>
              </w:rPr>
            </w:pPr>
            <w:r>
              <w:rPr>
                <w:rFonts w:ascii="Times New Roman" w:cs="Times New Roman" w:eastAsia="Times New Roman" w:hAnsi="Times New Roman"/>
                <w:sz w:val="20"/>
                <w:szCs w:val="20"/>
                <w:color w:val="auto"/>
              </w:rPr>
              <w:t>5.41%</w:t>
            </w:r>
          </w:p>
        </w:tc>
        <w:tc>
          <w:tcPr>
            <w:tcW w:w="120" w:type="dxa"/>
            <w:vAlign w:val="bottom"/>
            <w:shd w:val="clear" w:color="auto" w:fill="DDDDDD"/>
          </w:tcPr>
          <w:p>
            <w:pPr>
              <w:spacing w:after="0"/>
              <w:rPr>
                <w:sz w:val="19"/>
                <w:szCs w:val="19"/>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Expected life (in years)</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0.5</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5"/>
              </w:rPr>
              <w:t>0.5</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0.49</w:t>
            </w:r>
          </w:p>
        </w:tc>
        <w:tc>
          <w:tcPr>
            <w:tcW w:w="120" w:type="dxa"/>
            <w:vAlign w:val="bottom"/>
          </w:tcPr>
          <w:p>
            <w:pPr>
              <w:spacing w:after="0"/>
              <w:rPr>
                <w:sz w:val="20"/>
                <w:szCs w:val="20"/>
                <w:color w:val="auto"/>
              </w:rPr>
            </w:pPr>
          </w:p>
        </w:tc>
      </w:tr>
      <w:tr>
        <w:trPr>
          <w:trHeight w:val="230"/>
        </w:trPr>
        <w:tc>
          <w:tcPr>
            <w:tcW w:w="62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98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1100" w:type="dxa"/>
            <w:vAlign w:val="bottom"/>
            <w:tcBorders>
              <w:right w:val="single" w:sz="8" w:color="DDDDDD"/>
            </w:tcBorders>
            <w:gridSpan w:val="2"/>
            <w:shd w:val="clear" w:color="auto" w:fill="E0E0E0"/>
          </w:tcPr>
          <w:p>
            <w:pPr>
              <w:jc w:val="center"/>
              <w:ind w:left="20"/>
              <w:spacing w:after="0"/>
              <w:rPr>
                <w:sz w:val="20"/>
                <w:szCs w:val="20"/>
                <w:color w:val="auto"/>
              </w:rPr>
            </w:pPr>
            <w:r>
              <w:rPr>
                <w:rFonts w:ascii="Times New Roman" w:cs="Times New Roman" w:eastAsia="Times New Roman" w:hAnsi="Times New Roman"/>
                <w:sz w:val="20"/>
                <w:szCs w:val="20"/>
                <w:color w:val="auto"/>
                <w:w w:val="97"/>
              </w:rPr>
              <w:t>0%</w:t>
            </w:r>
          </w:p>
        </w:tc>
        <w:tc>
          <w:tcPr>
            <w:tcW w:w="120" w:type="dxa"/>
            <w:vAlign w:val="bottom"/>
            <w:shd w:val="clear" w:color="auto" w:fill="DDDDDD"/>
          </w:tcPr>
          <w:p>
            <w:pPr>
              <w:spacing w:after="0"/>
              <w:rPr>
                <w:sz w:val="20"/>
                <w:szCs w:val="20"/>
                <w:color w:val="auto"/>
              </w:rPr>
            </w:pPr>
          </w:p>
        </w:tc>
        <w:tc>
          <w:tcPr>
            <w:tcW w:w="82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120" w:type="dxa"/>
            <w:vAlign w:val="bottom"/>
            <w:shd w:val="clear" w:color="auto" w:fill="DDDDDD"/>
          </w:tcPr>
          <w:p>
            <w:pPr>
              <w:spacing w:after="0"/>
              <w:rPr>
                <w:sz w:val="20"/>
                <w:szCs w:val="20"/>
                <w:color w:val="auto"/>
              </w:rPr>
            </w:pPr>
          </w:p>
        </w:tc>
      </w:tr>
      <w:tr>
        <w:trPr>
          <w:trHeight w:val="267"/>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78.51%</w:t>
            </w:r>
          </w:p>
        </w:tc>
        <w:tc>
          <w:tcPr>
            <w:tcW w:w="11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85.55%</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76.27%</w:t>
            </w:r>
          </w:p>
        </w:tc>
        <w:tc>
          <w:tcPr>
            <w:tcW w:w="120" w:type="dxa"/>
            <w:vAlign w:val="bottom"/>
          </w:tcPr>
          <w:p>
            <w:pPr>
              <w:spacing w:after="0"/>
              <w:rPr>
                <w:sz w:val="23"/>
                <w:szCs w:val="23"/>
                <w:color w:val="auto"/>
              </w:rPr>
            </w:pPr>
          </w:p>
        </w:tc>
      </w:tr>
    </w:tbl>
    <w:p>
      <w:pPr>
        <w:spacing w:after="0" w:line="183" w:lineRule="exact"/>
        <w:rPr>
          <w:sz w:val="20"/>
          <w:szCs w:val="20"/>
          <w:color w:val="auto"/>
        </w:rPr>
      </w:pPr>
    </w:p>
    <w:p>
      <w:pPr>
        <w:ind w:right="200" w:firstLine="619"/>
        <w:spacing w:after="0" w:line="278" w:lineRule="auto"/>
        <w:rPr>
          <w:sz w:val="20"/>
          <w:szCs w:val="20"/>
          <w:color w:val="auto"/>
        </w:rPr>
      </w:pPr>
      <w:r>
        <w:rPr>
          <w:rFonts w:ascii="Times New Roman" w:cs="Times New Roman" w:eastAsia="Times New Roman" w:hAnsi="Times New Roman"/>
          <w:sz w:val="20"/>
          <w:szCs w:val="20"/>
          <w:color w:val="auto"/>
        </w:rPr>
        <w:t>Risk Free Interest Rate: The risk-free rate is based on the U.S. Treasury yields in effect at the time of grant for periods corresponding with the expected term of the option.</w:t>
      </w:r>
    </w:p>
    <w:p>
      <w:pPr>
        <w:spacing w:after="0" w:line="167" w:lineRule="exact"/>
        <w:rPr>
          <w:sz w:val="20"/>
          <w:szCs w:val="20"/>
          <w:color w:val="auto"/>
        </w:rPr>
      </w:pPr>
    </w:p>
    <w:p>
      <w:pPr>
        <w:ind w:right="40" w:firstLine="619"/>
        <w:spacing w:after="0" w:line="278" w:lineRule="auto"/>
        <w:rPr>
          <w:sz w:val="20"/>
          <w:szCs w:val="20"/>
          <w:color w:val="auto"/>
        </w:rPr>
      </w:pPr>
      <w:r>
        <w:rPr>
          <w:rFonts w:ascii="Times New Roman" w:cs="Times New Roman" w:eastAsia="Times New Roman" w:hAnsi="Times New Roman"/>
          <w:sz w:val="20"/>
          <w:szCs w:val="20"/>
          <w:color w:val="auto"/>
        </w:rPr>
        <w:t>Expected Term: The Company uses the simplified method to calculate expected term described in the SEC’s Staff Accounting Bulletin No. 107, which takes into account vesting term and expiration date of the options.</w:t>
      </w:r>
    </w:p>
    <w:p>
      <w:pPr>
        <w:spacing w:after="0" w:line="168" w:lineRule="exact"/>
        <w:rPr>
          <w:sz w:val="20"/>
          <w:szCs w:val="20"/>
          <w:color w:val="auto"/>
        </w:rPr>
      </w:pPr>
    </w:p>
    <w:p>
      <w:pPr>
        <w:ind w:right="140" w:firstLine="619"/>
        <w:spacing w:after="0" w:line="304" w:lineRule="auto"/>
        <w:rPr>
          <w:sz w:val="20"/>
          <w:szCs w:val="20"/>
          <w:color w:val="auto"/>
        </w:rPr>
      </w:pPr>
      <w:r>
        <w:rPr>
          <w:rFonts w:ascii="Times New Roman" w:cs="Times New Roman" w:eastAsia="Times New Roman" w:hAnsi="Times New Roman"/>
          <w:sz w:val="19"/>
          <w:szCs w:val="19"/>
          <w:color w:val="auto"/>
        </w:rPr>
        <w:t>Dividend Yield: The Company has never declared or paid any cash dividends and does not plan to pay cash dividends in the foreseeable future, and therefore, used an expected dividend yield of zero in the valuation model.</w:t>
      </w:r>
    </w:p>
    <w:p>
      <w:pPr>
        <w:spacing w:after="0" w:line="146" w:lineRule="exact"/>
        <w:rPr>
          <w:sz w:val="20"/>
          <w:szCs w:val="20"/>
          <w:color w:val="auto"/>
        </w:rPr>
      </w:pPr>
    </w:p>
    <w:p>
      <w:pPr>
        <w:ind w:right="440" w:firstLine="619"/>
        <w:spacing w:after="0" w:line="278" w:lineRule="auto"/>
        <w:rPr>
          <w:sz w:val="20"/>
          <w:szCs w:val="20"/>
          <w:color w:val="auto"/>
        </w:rPr>
      </w:pPr>
      <w:r>
        <w:rPr>
          <w:rFonts w:ascii="Times New Roman" w:cs="Times New Roman" w:eastAsia="Times New Roman" w:hAnsi="Times New Roman"/>
          <w:sz w:val="20"/>
          <w:szCs w:val="20"/>
          <w:color w:val="auto"/>
        </w:rPr>
        <w:t>Volatility: Volatility is based on the historical volatility of the Company’s publicly traded shares for the expected term.</w:t>
      </w:r>
    </w:p>
    <w:p>
      <w:pPr>
        <w:spacing w:after="0" w:line="2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following table presents RSU activity under the 2020 Plan as of December 31, 2025:</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290" w:type="dxa"/>
            <w:vAlign w:val="bottom"/>
            <w:gridSpan w:val="2"/>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184"/>
        </w:trPr>
        <w:tc>
          <w:tcPr>
            <w:tcW w:w="6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290" w:type="dxa"/>
            <w:vAlign w:val="bottom"/>
            <w:gridSpan w:val="2"/>
          </w:tcPr>
          <w:p>
            <w:pPr>
              <w:jc w:val="center"/>
              <w:ind w:right="270"/>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84"/>
        </w:trPr>
        <w:tc>
          <w:tcPr>
            <w:tcW w:w="654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04"/>
        </w:trPr>
        <w:tc>
          <w:tcPr>
            <w:tcW w:w="654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10" w:type="dxa"/>
            <w:vAlign w:val="bottom"/>
          </w:tcPr>
          <w:p>
            <w:pPr>
              <w:spacing w:after="0"/>
              <w:rPr>
                <w:sz w:val="17"/>
                <w:szCs w:val="17"/>
                <w:color w:val="auto"/>
              </w:rPr>
            </w:pPr>
          </w:p>
        </w:tc>
        <w:tc>
          <w:tcPr>
            <w:tcW w:w="1290" w:type="dxa"/>
            <w:vAlign w:val="bottom"/>
            <w:gridSpan w:val="2"/>
          </w:tcPr>
          <w:p>
            <w:pPr>
              <w:jc w:val="center"/>
              <w:ind w:right="27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33"/>
        </w:trPr>
        <w:tc>
          <w:tcPr>
            <w:tcW w:w="65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0"/>
                <w:szCs w:val="20"/>
                <w:color w:val="auto"/>
              </w:rPr>
              <w:t>Unvested shares December 31, 2024</w:t>
            </w:r>
          </w:p>
        </w:tc>
        <w:tc>
          <w:tcPr>
            <w:tcW w:w="12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907,665</w:t>
            </w:r>
          </w:p>
        </w:tc>
        <w:tc>
          <w:tcPr>
            <w:tcW w:w="220" w:type="dxa"/>
            <w:vAlign w:val="bottom"/>
            <w:tcBorders>
              <w:top w:val="single" w:sz="8" w:color="E0E0E0"/>
            </w:tcBorders>
            <w:shd w:val="clear" w:color="auto" w:fill="E0E0E0"/>
          </w:tcPr>
          <w:p>
            <w:pPr>
              <w:spacing w:after="0"/>
              <w:rPr>
                <w:sz w:val="20"/>
                <w:szCs w:val="20"/>
                <w:color w:val="auto"/>
              </w:rPr>
            </w:pPr>
          </w:p>
        </w:tc>
        <w:tc>
          <w:tcPr>
            <w:tcW w:w="11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07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220" w:type="dxa"/>
            <w:vAlign w:val="bottom"/>
            <w:tcBorders>
              <w:top w:val="single" w:sz="8" w:color="E0E0E0"/>
            </w:tcBorders>
            <w:shd w:val="clear" w:color="auto" w:fill="E0E0E0"/>
          </w:tcPr>
          <w:p>
            <w:pPr>
              <w:spacing w:after="0"/>
              <w:rPr>
                <w:sz w:val="20"/>
                <w:szCs w:val="20"/>
                <w:color w:val="auto"/>
              </w:rPr>
            </w:pP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0" w:type="dxa"/>
            <w:vAlign w:val="bottom"/>
          </w:tcPr>
          <w:p>
            <w:pPr>
              <w:spacing w:after="0"/>
              <w:rPr>
                <w:sz w:val="21"/>
                <w:szCs w:val="21"/>
                <w:color w:val="auto"/>
              </w:rPr>
            </w:pPr>
          </w:p>
        </w:tc>
        <w:tc>
          <w:tcPr>
            <w:tcW w:w="129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5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Vested</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(907,665</w:t>
            </w:r>
          </w:p>
        </w:tc>
        <w:tc>
          <w:tcPr>
            <w:tcW w:w="22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highlight w:val="lightGray"/>
                <w:w w:val="89"/>
              </w:rPr>
              <w:t>)</w:t>
            </w:r>
          </w:p>
        </w:tc>
        <w:tc>
          <w:tcPr>
            <w:tcW w:w="110" w:type="dxa"/>
            <w:vAlign w:val="bottom"/>
            <w:shd w:val="clear" w:color="auto" w:fill="DDDDDD"/>
          </w:tcPr>
          <w:p>
            <w:pPr>
              <w:spacing w:after="0"/>
              <w:rPr>
                <w:sz w:val="21"/>
                <w:szCs w:val="21"/>
                <w:color w:val="auto"/>
              </w:rPr>
            </w:pPr>
          </w:p>
        </w:tc>
        <w:tc>
          <w:tcPr>
            <w:tcW w:w="107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220" w:type="dxa"/>
            <w:vAlign w:val="bottom"/>
            <w:shd w:val="clear" w:color="auto" w:fill="DDDDDD"/>
          </w:tcPr>
          <w:p>
            <w:pPr>
              <w:jc w:val="right"/>
              <w:ind w:right="80"/>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0" w:type="dxa"/>
            <w:vAlign w:val="bottom"/>
          </w:tcPr>
          <w:p>
            <w:pPr>
              <w:spacing w:after="0"/>
              <w:rPr>
                <w:sz w:val="21"/>
                <w:szCs w:val="21"/>
                <w:color w:val="auto"/>
              </w:rPr>
            </w:pPr>
          </w:p>
        </w:tc>
        <w:tc>
          <w:tcPr>
            <w:tcW w:w="129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36"/>
        </w:trPr>
        <w:tc>
          <w:tcPr>
            <w:tcW w:w="654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Unvested shares December 31, 2025</w:t>
            </w:r>
          </w:p>
        </w:tc>
        <w:tc>
          <w:tcPr>
            <w:tcW w:w="12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DDDDDD"/>
            </w:tcBorders>
            <w:shd w:val="clear" w:color="auto" w:fill="DDDDDD"/>
          </w:tcPr>
          <w:p>
            <w:pPr>
              <w:spacing w:after="0"/>
              <w:rPr>
                <w:sz w:val="20"/>
                <w:szCs w:val="20"/>
                <w:color w:val="auto"/>
              </w:rPr>
            </w:pPr>
          </w:p>
        </w:tc>
        <w:tc>
          <w:tcPr>
            <w:tcW w:w="110" w:type="dxa"/>
            <w:vAlign w:val="bottom"/>
            <w:tcBorders>
              <w:top w:val="single" w:sz="8" w:color="auto"/>
              <w:bottom w:val="single" w:sz="8" w:color="auto"/>
            </w:tcBorders>
            <w:shd w:val="clear" w:color="auto" w:fill="DDDDDD"/>
          </w:tcPr>
          <w:p>
            <w:pPr>
              <w:spacing w:after="0"/>
              <w:rPr>
                <w:sz w:val="20"/>
                <w:szCs w:val="20"/>
                <w:color w:val="auto"/>
              </w:rPr>
            </w:pPr>
          </w:p>
        </w:tc>
        <w:tc>
          <w:tcPr>
            <w:tcW w:w="107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DDDDDD"/>
            </w:tcBorders>
            <w:shd w:val="clear" w:color="auto" w:fill="DDDDDD"/>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As of December 31, 2025, there was no unrecognized compensation cost related to RSUs that are expected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360"/>
          </w:cols>
          <w:pgMar w:left="1440" w:top="1420" w:right="1440" w:bottom="175" w:gutter="0" w:footer="0" w:header="0"/>
        </w:sectPr>
      </w:pPr>
    </w:p>
    <w:bookmarkStart w:id="125" w:name="page126"/>
    <w:bookmarkEnd w:id="125"/>
    <w:p>
      <w:pPr>
        <w:ind w:right="220" w:firstLine="619"/>
        <w:spacing w:after="0" w:line="258" w:lineRule="auto"/>
        <w:rPr>
          <w:sz w:val="20"/>
          <w:szCs w:val="20"/>
          <w:color w:val="auto"/>
        </w:rPr>
      </w:pPr>
      <w:r>
        <w:rPr>
          <w:rFonts w:ascii="Times New Roman" w:cs="Times New Roman" w:eastAsia="Times New Roman" w:hAnsi="Times New Roman"/>
          <w:sz w:val="20"/>
          <w:szCs w:val="20"/>
          <w:color w:val="auto"/>
        </w:rPr>
        <w:t>Stock-based compensation expense recorded under ASC 718 related to stock options granted and common stock issued under the 2020 ESPP were allocated to research and development and general and administrative expense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7"/>
                <w:szCs w:val="17"/>
                <w:color w:val="auto"/>
              </w:rPr>
            </w:pPr>
          </w:p>
        </w:tc>
        <w:tc>
          <w:tcPr>
            <w:tcW w:w="3280" w:type="dxa"/>
            <w:vAlign w:val="bottom"/>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0" w:type="dxa"/>
            <w:vAlign w:val="bottom"/>
          </w:tcPr>
          <w:p>
            <w:pPr>
              <w:spacing w:after="0"/>
              <w:rPr>
                <w:sz w:val="1"/>
                <w:szCs w:val="1"/>
                <w:color w:val="auto"/>
              </w:rPr>
            </w:pPr>
          </w:p>
        </w:tc>
      </w:tr>
      <w:tr>
        <w:trPr>
          <w:trHeight w:val="174"/>
        </w:trPr>
        <w:tc>
          <w:tcPr>
            <w:tcW w:w="5700" w:type="dxa"/>
            <w:vAlign w:val="bottom"/>
            <w:tcBorders>
              <w:bottom w:val="single" w:sz="8" w:color="E0E0E0"/>
            </w:tcBorders>
            <w:gridSpan w:val="2"/>
            <w:vMerge w:val="continue"/>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45"/>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25"/>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700" w:type="dxa"/>
            <w:vAlign w:val="bottom"/>
            <w:gridSpan w:val="2"/>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Research and development</w:t>
            </w:r>
          </w:p>
        </w:tc>
        <w:tc>
          <w:tcPr>
            <w:tcW w:w="220" w:type="dxa"/>
            <w:vAlign w:val="bottom"/>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shd w:val="clear" w:color="auto" w:fill="E0E0E0"/>
          </w:tcPr>
          <w:p>
            <w:pPr>
              <w:ind w:left="320"/>
              <w:spacing w:after="0" w:line="220" w:lineRule="exact"/>
              <w:rPr>
                <w:sz w:val="20"/>
                <w:szCs w:val="20"/>
                <w:color w:val="auto"/>
              </w:rPr>
            </w:pPr>
            <w:r>
              <w:rPr>
                <w:rFonts w:ascii="Times New Roman" w:cs="Times New Roman" w:eastAsia="Times New Roman" w:hAnsi="Times New Roman"/>
                <w:sz w:val="20"/>
                <w:szCs w:val="20"/>
                <w:color w:val="auto"/>
              </w:rPr>
              <w:t>2,607</w:t>
            </w:r>
          </w:p>
        </w:tc>
        <w:tc>
          <w:tcPr>
            <w:tcW w:w="220" w:type="dxa"/>
            <w:vAlign w:val="bottom"/>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right w:val="single" w:sz="8" w:color="E0E0E0"/>
            </w:tcBorders>
            <w:gridSpan w:val="2"/>
            <w:shd w:val="clear" w:color="auto" w:fill="E0E0E0"/>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3,656</w:t>
            </w:r>
          </w:p>
        </w:tc>
        <w:tc>
          <w:tcPr>
            <w:tcW w:w="220" w:type="dxa"/>
            <w:vAlign w:val="bottom"/>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shd w:val="clear" w:color="auto" w:fill="E0E0E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5,518</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20" w:type="dxa"/>
            <w:vAlign w:val="bottom"/>
          </w:tcPr>
          <w:p>
            <w:pPr>
              <w:spacing w:after="0"/>
              <w:rPr>
                <w:sz w:val="20"/>
                <w:szCs w:val="20"/>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3,317</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5,216</w:t>
            </w:r>
          </w:p>
        </w:tc>
        <w:tc>
          <w:tcPr>
            <w:tcW w:w="2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6,857</w:t>
            </w:r>
          </w:p>
        </w:tc>
        <w:tc>
          <w:tcPr>
            <w:tcW w:w="0" w:type="dxa"/>
            <w:vAlign w:val="bottom"/>
          </w:tcPr>
          <w:p>
            <w:pPr>
              <w:spacing w:after="0"/>
              <w:rPr>
                <w:sz w:val="1"/>
                <w:szCs w:val="1"/>
                <w:color w:val="auto"/>
              </w:rPr>
            </w:pPr>
          </w:p>
        </w:tc>
      </w:tr>
      <w:tr>
        <w:trPr>
          <w:trHeight w:val="20"/>
        </w:trPr>
        <w:tc>
          <w:tcPr>
            <w:tcW w:w="5700" w:type="dxa"/>
            <w:vAlign w:val="bottom"/>
            <w:gridSpan w:val="2"/>
            <w:vMerge w:val="restart"/>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Total stock-based compensation</w:t>
            </w: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gridSpan w:val="2"/>
            <w:vMerge w:val="continue"/>
            <w:shd w:val="clear" w:color="auto" w:fill="E0E0E0"/>
          </w:tcPr>
          <w:p>
            <w:pPr>
              <w:spacing w:after="0"/>
              <w:rPr>
                <w:sz w:val="19"/>
                <w:szCs w:val="19"/>
                <w:color w:val="auto"/>
              </w:rPr>
            </w:pPr>
          </w:p>
        </w:tc>
        <w:tc>
          <w:tcPr>
            <w:tcW w:w="220" w:type="dxa"/>
            <w:vAlign w:val="bottom"/>
            <w:shd w:val="clear" w:color="auto" w:fill="E0E0E0"/>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shd w:val="clear" w:color="auto" w:fill="E0E0E0"/>
          </w:tcPr>
          <w:p>
            <w:pPr>
              <w:ind w:left="320"/>
              <w:spacing w:after="0" w:line="221" w:lineRule="exact"/>
              <w:rPr>
                <w:sz w:val="20"/>
                <w:szCs w:val="20"/>
                <w:color w:val="auto"/>
              </w:rPr>
            </w:pPr>
            <w:r>
              <w:rPr>
                <w:rFonts w:ascii="Times New Roman" w:cs="Times New Roman" w:eastAsia="Times New Roman" w:hAnsi="Times New Roman"/>
                <w:sz w:val="20"/>
                <w:szCs w:val="20"/>
                <w:color w:val="auto"/>
              </w:rPr>
              <w:t>5,924</w:t>
            </w:r>
          </w:p>
        </w:tc>
        <w:tc>
          <w:tcPr>
            <w:tcW w:w="220" w:type="dxa"/>
            <w:vAlign w:val="bottom"/>
            <w:shd w:val="clear" w:color="auto" w:fill="E0E0E0"/>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right w:val="single" w:sz="8" w:color="E0E0E0"/>
            </w:tcBorders>
            <w:gridSpan w:val="2"/>
            <w:shd w:val="clear" w:color="auto" w:fill="E0E0E0"/>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8,872</w:t>
            </w:r>
          </w:p>
        </w:tc>
        <w:tc>
          <w:tcPr>
            <w:tcW w:w="220" w:type="dxa"/>
            <w:vAlign w:val="bottom"/>
            <w:shd w:val="clear" w:color="auto" w:fill="E0E0E0"/>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shd w:val="clear" w:color="auto" w:fill="E0E0E0"/>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rPr>
              <w:t>12,375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right="80" w:firstLine="619"/>
        <w:spacing w:after="0" w:line="277" w:lineRule="auto"/>
        <w:rPr>
          <w:sz w:val="20"/>
          <w:szCs w:val="20"/>
          <w:color w:val="auto"/>
        </w:rPr>
      </w:pPr>
      <w:r>
        <w:rPr>
          <w:rFonts w:ascii="Times New Roman" w:cs="Times New Roman" w:eastAsia="Times New Roman" w:hAnsi="Times New Roman"/>
          <w:sz w:val="20"/>
          <w:szCs w:val="20"/>
          <w:color w:val="auto"/>
        </w:rPr>
        <w:t>Stock-based compensation expense by award type included within the consolidated statements of operations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80" w:type="dxa"/>
            <w:vAlign w:val="bottom"/>
            <w:gridSpan w:val="10"/>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173"/>
        </w:trPr>
        <w:tc>
          <w:tcPr>
            <w:tcW w:w="5560" w:type="dxa"/>
            <w:vAlign w:val="bottom"/>
            <w:tcBorders>
              <w:bottom w:val="single" w:sz="8" w:color="DDDDDD"/>
            </w:tcBorders>
            <w:vMerge w:val="continue"/>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27"/>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bottom w:val="single" w:sz="8" w:color="E0E0E0"/>
            </w:tcBorders>
          </w:tcPr>
          <w:p>
            <w:pPr>
              <w:spacing w:after="0"/>
              <w:rPr>
                <w:sz w:val="15"/>
                <w:szCs w:val="15"/>
                <w:color w:val="auto"/>
              </w:rPr>
            </w:pPr>
          </w:p>
        </w:tc>
        <w:tc>
          <w:tcPr>
            <w:tcW w:w="220" w:type="dxa"/>
            <w:vAlign w:val="bottom"/>
            <w:tcBorders>
              <w:top w:val="single" w:sz="8" w:color="auto"/>
              <w:bottom w:val="single" w:sz="8" w:color="E0E0E0"/>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44"/>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DDDDDD"/>
            </w:tcBorders>
          </w:tcPr>
          <w:p>
            <w:pPr>
              <w:spacing w:after="0"/>
              <w:rPr>
                <w:sz w:val="15"/>
                <w:szCs w:val="15"/>
                <w:color w:val="auto"/>
              </w:rPr>
            </w:pPr>
          </w:p>
        </w:tc>
        <w:tc>
          <w:tcPr>
            <w:tcW w:w="140" w:type="dxa"/>
            <w:vAlign w:val="bottom"/>
            <w:tcBorders>
              <w:top w:val="single" w:sz="8" w:color="auto"/>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24"/>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DDDDDD"/>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60" w:type="dxa"/>
            <w:vAlign w:val="bottom"/>
            <w:shd w:val="clear" w:color="auto" w:fill="DDDDDD"/>
          </w:tcPr>
          <w:p>
            <w:pPr>
              <w:spacing w:after="0" w:line="220" w:lineRule="exact"/>
              <w:rPr>
                <w:sz w:val="20"/>
                <w:szCs w:val="20"/>
                <w:color w:val="auto"/>
              </w:rPr>
            </w:pPr>
            <w:r>
              <w:rPr>
                <w:rFonts w:ascii="Times New Roman" w:cs="Times New Roman" w:eastAsia="Times New Roman" w:hAnsi="Times New Roman"/>
                <w:sz w:val="20"/>
                <w:szCs w:val="20"/>
                <w:color w:val="auto"/>
              </w:rPr>
              <w:t>Stock options</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5,172</w:t>
            </w:r>
          </w:p>
        </w:tc>
        <w:tc>
          <w:tcPr>
            <w:tcW w:w="220" w:type="dxa"/>
            <w:vAlign w:val="bottom"/>
            <w:tcBorders>
              <w:right w:val="single" w:sz="8" w:color="E0E0E0"/>
            </w:tcBorders>
            <w:shd w:val="clear" w:color="auto" w:fill="E0E0E0"/>
          </w:tcPr>
          <w:p>
            <w:pPr>
              <w:spacing w:after="0"/>
              <w:rPr>
                <w:sz w:val="19"/>
                <w:szCs w:val="19"/>
                <w:color w:val="auto"/>
              </w:rPr>
            </w:pPr>
          </w:p>
        </w:tc>
        <w:tc>
          <w:tcPr>
            <w:tcW w:w="200" w:type="dxa"/>
            <w:vAlign w:val="bottom"/>
            <w:shd w:val="clear" w:color="auto" w:fill="DDDDDD"/>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DDDDDD"/>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6,732</w:t>
            </w:r>
          </w:p>
        </w:tc>
        <w:tc>
          <w:tcPr>
            <w:tcW w:w="140" w:type="dxa"/>
            <w:vAlign w:val="bottom"/>
            <w:tcBorders>
              <w:right w:val="single" w:sz="8" w:color="E0E0E0"/>
            </w:tcBorders>
            <w:shd w:val="clear" w:color="auto" w:fill="E0E0E0"/>
          </w:tcPr>
          <w:p>
            <w:pPr>
              <w:spacing w:after="0"/>
              <w:rPr>
                <w:sz w:val="19"/>
                <w:szCs w:val="19"/>
                <w:color w:val="auto"/>
              </w:rPr>
            </w:pPr>
          </w:p>
        </w:tc>
        <w:tc>
          <w:tcPr>
            <w:tcW w:w="220" w:type="dxa"/>
            <w:vAlign w:val="bottom"/>
            <w:shd w:val="clear" w:color="auto" w:fill="DDDDDD"/>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shd w:val="clear" w:color="auto" w:fill="DDDDDD"/>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9,745</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559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1,939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2,413</w:t>
            </w:r>
          </w:p>
        </w:tc>
        <w:tc>
          <w:tcPr>
            <w:tcW w:w="0" w:type="dxa"/>
            <w:vAlign w:val="bottom"/>
          </w:tcPr>
          <w:p>
            <w:pPr>
              <w:spacing w:after="0"/>
              <w:rPr>
                <w:sz w:val="1"/>
                <w:szCs w:val="1"/>
                <w:color w:val="auto"/>
              </w:rPr>
            </w:pPr>
          </w:p>
        </w:tc>
      </w:tr>
      <w:tr>
        <w:trPr>
          <w:trHeight w:val="250"/>
        </w:trPr>
        <w:tc>
          <w:tcPr>
            <w:tcW w:w="556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Employee stock purchase plan</w:t>
            </w:r>
          </w:p>
        </w:tc>
        <w:tc>
          <w:tcPr>
            <w:tcW w:w="1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7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193</w:t>
            </w:r>
          </w:p>
        </w:tc>
        <w:tc>
          <w:tcPr>
            <w:tcW w:w="220" w:type="dxa"/>
            <w:vAlign w:val="bottom"/>
            <w:tcBorders>
              <w:right w:val="single" w:sz="8" w:color="E0E0E0"/>
            </w:tcBorders>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8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201</w:t>
            </w:r>
          </w:p>
        </w:tc>
        <w:tc>
          <w:tcPr>
            <w:tcW w:w="140" w:type="dxa"/>
            <w:vAlign w:val="bottom"/>
            <w:tcBorders>
              <w:right w:val="single" w:sz="8" w:color="E0E0E0"/>
            </w:tcBorders>
            <w:shd w:val="clear" w:color="auto" w:fill="E0E0E0"/>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860" w:type="dxa"/>
            <w:vAlign w:val="bottom"/>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217</w:t>
            </w:r>
          </w:p>
        </w:tc>
        <w:tc>
          <w:tcPr>
            <w:tcW w:w="0" w:type="dxa"/>
            <w:vAlign w:val="bottom"/>
          </w:tcPr>
          <w:p>
            <w:pPr>
              <w:spacing w:after="0"/>
              <w:rPr>
                <w:sz w:val="1"/>
                <w:szCs w:val="1"/>
                <w:color w:val="auto"/>
              </w:rPr>
            </w:pPr>
          </w:p>
        </w:tc>
      </w:tr>
      <w:tr>
        <w:trPr>
          <w:trHeight w:val="201"/>
        </w:trPr>
        <w:tc>
          <w:tcPr>
            <w:tcW w:w="5560" w:type="dxa"/>
            <w:vAlign w:val="bottom"/>
            <w:tcBorders>
              <w:top w:val="single" w:sz="8" w:color="DDDDDD"/>
            </w:tcBorders>
          </w:tcPr>
          <w:p>
            <w:pPr>
              <w:ind w:left="160"/>
              <w:spacing w:after="0" w:line="201" w:lineRule="exact"/>
              <w:rPr>
                <w:sz w:val="20"/>
                <w:szCs w:val="20"/>
                <w:color w:val="auto"/>
              </w:rPr>
            </w:pPr>
            <w:r>
              <w:rPr>
                <w:rFonts w:ascii="Times New Roman" w:cs="Times New Roman" w:eastAsia="Times New Roman" w:hAnsi="Times New Roman"/>
                <w:sz w:val="20"/>
                <w:szCs w:val="20"/>
                <w:color w:val="auto"/>
              </w:rPr>
              <w:t>Total stock-based compensation</w:t>
            </w:r>
          </w:p>
        </w:tc>
        <w:tc>
          <w:tcPr>
            <w:tcW w:w="120" w:type="dxa"/>
            <w:vAlign w:val="bottom"/>
            <w:tcBorders>
              <w:top w:val="single" w:sz="8" w:color="E0E0E0"/>
            </w:tcBorders>
          </w:tcPr>
          <w:p>
            <w:pPr>
              <w:spacing w:after="0"/>
              <w:rPr>
                <w:sz w:val="17"/>
                <w:szCs w:val="17"/>
                <w:color w:val="auto"/>
              </w:rPr>
            </w:pPr>
          </w:p>
        </w:tc>
        <w:tc>
          <w:tcPr>
            <w:tcW w:w="20" w:type="dxa"/>
            <w:vAlign w:val="bottom"/>
            <w:tcBorders>
              <w:top w:val="single" w:sz="8" w:color="E0E0E0"/>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2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5,924</w:t>
            </w:r>
          </w:p>
        </w:tc>
        <w:tc>
          <w:tcPr>
            <w:tcW w:w="20" w:type="dxa"/>
            <w:vAlign w:val="bottom"/>
            <w:tcBorders>
              <w:top w:val="single" w:sz="8" w:color="E0E0E0"/>
            </w:tcBorders>
          </w:tcPr>
          <w:p>
            <w:pPr>
              <w:spacing w:after="0"/>
              <w:rPr>
                <w:sz w:val="17"/>
                <w:szCs w:val="17"/>
                <w:color w:val="auto"/>
              </w:rPr>
            </w:pPr>
          </w:p>
        </w:tc>
        <w:tc>
          <w:tcPr>
            <w:tcW w:w="220" w:type="dxa"/>
            <w:vAlign w:val="bottom"/>
            <w:tcBorders>
              <w:top w:val="single" w:sz="8" w:color="E0E0E0"/>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8,872</w:t>
            </w:r>
          </w:p>
        </w:tc>
        <w:tc>
          <w:tcPr>
            <w:tcW w:w="80" w:type="dxa"/>
            <w:vAlign w:val="bottom"/>
            <w:tcBorders>
              <w:top w:val="single" w:sz="8" w:color="E0E0E0"/>
            </w:tcBorders>
          </w:tcPr>
          <w:p>
            <w:pPr>
              <w:spacing w:after="0"/>
              <w:rPr>
                <w:sz w:val="17"/>
                <w:szCs w:val="17"/>
                <w:color w:val="auto"/>
              </w:rPr>
            </w:pPr>
          </w:p>
        </w:tc>
        <w:tc>
          <w:tcPr>
            <w:tcW w:w="140" w:type="dxa"/>
            <w:vAlign w:val="bottom"/>
            <w:tcBorders>
              <w:top w:val="single" w:sz="8" w:color="E0E0E0"/>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2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12,375</w:t>
            </w:r>
          </w:p>
        </w:tc>
        <w:tc>
          <w:tcPr>
            <w:tcW w:w="100" w:type="dxa"/>
            <w:vAlign w:val="bottom"/>
            <w:tcBorders>
              <w:top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-177165</wp:posOffset>
                </wp:positionV>
                <wp:extent cx="361759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759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499pt" to="284.85pt,-13.94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4242435</wp:posOffset>
                </wp:positionH>
                <wp:positionV relativeFrom="paragraph">
                  <wp:posOffset>-177165</wp:posOffset>
                </wp:positionV>
                <wp:extent cx="14478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78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05pt,-13.9499pt" to="345.45pt,-13.94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5012690</wp:posOffset>
                </wp:positionH>
                <wp:positionV relativeFrom="paragraph">
                  <wp:posOffset>-177165</wp:posOffset>
                </wp:positionV>
                <wp:extent cx="14605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05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7pt,-13.9499pt" to="406.2pt,-13.94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5784215</wp:posOffset>
                </wp:positionH>
                <wp:positionV relativeFrom="paragraph">
                  <wp:posOffset>-177165</wp:posOffset>
                </wp:positionV>
                <wp:extent cx="15938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38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45pt,-13.9499pt" to="468pt,-13.9499pt" o:allowincell="f" strokecolor="#FFFFFF" strokeweight="0.4809pt"/>
            </w:pict>
          </mc:Fallback>
        </mc:AlternateConten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9. Income Taxes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income/(loss) from operations before tax (expense) benefit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57"/>
        </w:trPr>
        <w:tc>
          <w:tcPr>
            <w:tcW w:w="448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DDDDD"/>
            </w:tcBorders>
          </w:tcPr>
          <w:p>
            <w:pPr>
              <w:spacing w:after="0"/>
              <w:rPr>
                <w:sz w:val="22"/>
                <w:szCs w:val="22"/>
                <w:color w:val="auto"/>
              </w:rPr>
            </w:pPr>
          </w:p>
        </w:tc>
      </w:tr>
      <w:tr>
        <w:trPr>
          <w:trHeight w:val="233"/>
        </w:trPr>
        <w:tc>
          <w:tcPr>
            <w:tcW w:w="44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Pre-Tax Book Income/(Loss)</w:t>
            </w: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22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r>
      <w:tr>
        <w:trPr>
          <w:trHeight w:val="244"/>
        </w:trPr>
        <w:tc>
          <w:tcPr>
            <w:tcW w:w="4500" w:type="dxa"/>
            <w:vAlign w:val="bottom"/>
            <w:tcBorders>
              <w:bottom w:val="single" w:sz="8" w:color="DDDDDD"/>
            </w:tcBorders>
            <w:gridSpan w:val="2"/>
          </w:tcPr>
          <w:p>
            <w:pPr>
              <w:ind w:left="200"/>
              <w:spacing w:after="0"/>
              <w:rPr>
                <w:sz w:val="20"/>
                <w:szCs w:val="20"/>
                <w:color w:val="auto"/>
              </w:rPr>
            </w:pPr>
            <w:r>
              <w:rPr>
                <w:rFonts w:ascii="Times New Roman" w:cs="Times New Roman" w:eastAsia="Times New Roman" w:hAnsi="Times New Roman"/>
                <w:sz w:val="20"/>
                <w:szCs w:val="20"/>
                <w:color w:val="auto"/>
              </w:rPr>
              <w:t>Domestic</w:t>
            </w:r>
          </w:p>
        </w:tc>
        <w:tc>
          <w:tcPr>
            <w:tcW w:w="100" w:type="dxa"/>
            <w:vAlign w:val="bottom"/>
            <w:tcBorders>
              <w:bottom w:val="single" w:sz="8" w:color="DDDDDD"/>
            </w:tcBorders>
          </w:tcPr>
          <w:p>
            <w:pPr>
              <w:spacing w:after="0"/>
              <w:rPr>
                <w:sz w:val="21"/>
                <w:szCs w:val="21"/>
                <w:color w:val="auto"/>
              </w:rPr>
            </w:pPr>
          </w:p>
        </w:tc>
        <w:tc>
          <w:tcPr>
            <w:tcW w:w="1620" w:type="dxa"/>
            <w:vAlign w:val="bottom"/>
            <w:tcBorders>
              <w:bottom w:val="single" w:sz="8" w:color="DDDDDD"/>
            </w:tcBorders>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(79,937 )</w:t>
            </w:r>
          </w:p>
        </w:tc>
        <w:tc>
          <w:tcPr>
            <w:tcW w:w="20" w:type="dxa"/>
            <w:vAlign w:val="bottom"/>
            <w:tcBorders>
              <w:bottom w:val="single" w:sz="8" w:color="DDDDDD"/>
            </w:tcBorders>
          </w:tcPr>
          <w:p>
            <w:pPr>
              <w:spacing w:after="0"/>
              <w:rPr>
                <w:sz w:val="21"/>
                <w:szCs w:val="21"/>
                <w:color w:val="auto"/>
              </w:rPr>
            </w:pPr>
          </w:p>
        </w:tc>
        <w:tc>
          <w:tcPr>
            <w:tcW w:w="80" w:type="dxa"/>
            <w:vAlign w:val="bottom"/>
            <w:tcBorders>
              <w:bottom w:val="single" w:sz="8" w:color="DDDDDD"/>
            </w:tcBorders>
          </w:tcPr>
          <w:p>
            <w:pPr>
              <w:spacing w:after="0"/>
              <w:rPr>
                <w:sz w:val="21"/>
                <w:szCs w:val="21"/>
                <w:color w:val="auto"/>
              </w:rPr>
            </w:pPr>
          </w:p>
        </w:tc>
        <w:tc>
          <w:tcPr>
            <w:tcW w:w="1640" w:type="dxa"/>
            <w:vAlign w:val="bottom"/>
            <w:tcBorders>
              <w:bottom w:val="single" w:sz="8" w:color="DDDDDD"/>
            </w:tcBorders>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(74,905 )</w:t>
            </w:r>
          </w:p>
        </w:tc>
        <w:tc>
          <w:tcPr>
            <w:tcW w:w="20" w:type="dxa"/>
            <w:vAlign w:val="bottom"/>
            <w:tcBorders>
              <w:bottom w:val="single" w:sz="8" w:color="DDDDDD"/>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128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(68,925 )</w:t>
            </w:r>
          </w:p>
        </w:tc>
      </w:tr>
      <w:tr>
        <w:trPr>
          <w:trHeight w:val="245"/>
        </w:trPr>
        <w:tc>
          <w:tcPr>
            <w:tcW w:w="4480" w:type="dxa"/>
            <w:vAlign w:val="bottom"/>
            <w:tcBorders>
              <w:bottom w:val="single" w:sz="8" w:color="DDDDDD"/>
            </w:tcBorders>
            <w:shd w:val="clear" w:color="auto" w:fill="DDDDDD"/>
          </w:tcPr>
          <w:p>
            <w:pPr>
              <w:ind w:left="200"/>
              <w:spacing w:after="0" w:line="225" w:lineRule="exact"/>
              <w:rPr>
                <w:sz w:val="20"/>
                <w:szCs w:val="20"/>
                <w:color w:val="auto"/>
              </w:rPr>
            </w:pPr>
            <w:r>
              <w:rPr>
                <w:rFonts w:ascii="Times New Roman" w:cs="Times New Roman" w:eastAsia="Times New Roman" w:hAnsi="Times New Roman"/>
                <w:sz w:val="20"/>
                <w:szCs w:val="20"/>
                <w:color w:val="auto"/>
              </w:rPr>
              <w:t>Foreign</w:t>
            </w:r>
          </w:p>
        </w:tc>
        <w:tc>
          <w:tcPr>
            <w:tcW w:w="20" w:type="dxa"/>
            <w:vAlign w:val="bottom"/>
            <w:tcBorders>
              <w:bottom w:val="single" w:sz="8" w:color="DDDDDD"/>
            </w:tcBorders>
            <w:shd w:val="clear" w:color="auto" w:fill="DDDDDD"/>
          </w:tcPr>
          <w:p>
            <w:pPr>
              <w:spacing w:after="0"/>
              <w:rPr>
                <w:sz w:val="21"/>
                <w:szCs w:val="21"/>
                <w:color w:val="auto"/>
              </w:rPr>
            </w:pPr>
          </w:p>
        </w:tc>
        <w:tc>
          <w:tcPr>
            <w:tcW w:w="100" w:type="dxa"/>
            <w:vAlign w:val="bottom"/>
            <w:tcBorders>
              <w:bottom w:val="single" w:sz="8" w:color="auto"/>
            </w:tcBorders>
            <w:shd w:val="clear" w:color="auto" w:fill="DDDDDD"/>
          </w:tcPr>
          <w:p>
            <w:pPr>
              <w:spacing w:after="0"/>
              <w:rPr>
                <w:sz w:val="21"/>
                <w:szCs w:val="21"/>
                <w:color w:val="auto"/>
              </w:rPr>
            </w:pPr>
          </w:p>
        </w:tc>
        <w:tc>
          <w:tcPr>
            <w:tcW w:w="1200" w:type="dxa"/>
            <w:vAlign w:val="bottom"/>
            <w:tcBorders>
              <w:bottom w:val="single" w:sz="8" w:color="auto"/>
            </w:tcBorders>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23</w:t>
            </w:r>
          </w:p>
        </w:tc>
        <w:tc>
          <w:tcPr>
            <w:tcW w:w="42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80" w:type="dxa"/>
            <w:vAlign w:val="bottom"/>
            <w:tcBorders>
              <w:bottom w:val="single" w:sz="8" w:color="auto"/>
            </w:tcBorders>
            <w:shd w:val="clear" w:color="auto" w:fill="DDDDDD"/>
          </w:tcPr>
          <w:p>
            <w:pPr>
              <w:spacing w:after="0"/>
              <w:rPr>
                <w:sz w:val="21"/>
                <w:szCs w:val="21"/>
                <w:color w:val="auto"/>
              </w:rPr>
            </w:pPr>
          </w:p>
        </w:tc>
        <w:tc>
          <w:tcPr>
            <w:tcW w:w="1220" w:type="dxa"/>
            <w:vAlign w:val="bottom"/>
            <w:tcBorders>
              <w:bottom w:val="single" w:sz="8" w:color="auto"/>
            </w:tcBorders>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96</w:t>
            </w:r>
          </w:p>
        </w:tc>
        <w:tc>
          <w:tcPr>
            <w:tcW w:w="42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00" w:type="dxa"/>
            <w:vAlign w:val="bottom"/>
            <w:tcBorders>
              <w:bottom w:val="single" w:sz="8" w:color="auto"/>
            </w:tcBorders>
            <w:shd w:val="clear" w:color="auto" w:fill="DDDDDD"/>
          </w:tcPr>
          <w:p>
            <w:pPr>
              <w:spacing w:after="0"/>
              <w:rPr>
                <w:sz w:val="21"/>
                <w:szCs w:val="21"/>
                <w:color w:val="auto"/>
              </w:rPr>
            </w:pPr>
          </w:p>
        </w:tc>
        <w:tc>
          <w:tcPr>
            <w:tcW w:w="1200" w:type="dxa"/>
            <w:vAlign w:val="bottom"/>
            <w:tcBorders>
              <w:bottom w:val="single" w:sz="8" w:color="auto"/>
            </w:tcBorders>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(33</w:t>
            </w: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r>
      <w:tr>
        <w:trPr>
          <w:trHeight w:val="216"/>
        </w:trPr>
        <w:tc>
          <w:tcPr>
            <w:tcW w:w="4500" w:type="dxa"/>
            <w:vAlign w:val="bottom"/>
            <w:gridSpan w:val="2"/>
          </w:tcPr>
          <w:p>
            <w:pPr>
              <w:ind w:left="300"/>
              <w:spacing w:after="0" w:line="215" w:lineRule="exact"/>
              <w:rPr>
                <w:sz w:val="20"/>
                <w:szCs w:val="20"/>
                <w:color w:val="auto"/>
              </w:rPr>
            </w:pPr>
            <w:r>
              <w:rPr>
                <w:rFonts w:ascii="Times New Roman" w:cs="Times New Roman" w:eastAsia="Times New Roman" w:hAnsi="Times New Roman"/>
                <w:sz w:val="20"/>
                <w:szCs w:val="20"/>
                <w:color w:val="auto"/>
              </w:rPr>
              <w:t>Total Pre-Tax Income/(Loss)</w:t>
            </w:r>
          </w:p>
        </w:tc>
        <w:tc>
          <w:tcPr>
            <w:tcW w:w="1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(79,914</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(74,809</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(68,958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ind w:right="260" w:firstLine="619"/>
        <w:spacing w:after="0" w:line="278" w:lineRule="auto"/>
        <w:rPr>
          <w:sz w:val="20"/>
          <w:szCs w:val="20"/>
          <w:color w:val="auto"/>
        </w:rPr>
      </w:pPr>
      <w:r>
        <w:rPr>
          <w:rFonts w:ascii="Times New Roman" w:cs="Times New Roman" w:eastAsia="Times New Roman" w:hAnsi="Times New Roman"/>
          <w:sz w:val="20"/>
          <w:szCs w:val="20"/>
          <w:color w:val="auto"/>
        </w:rPr>
        <w:t>The income tax (benefit) provision for the years ended December 31, 2025, 2024, and 2023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11"/>
          </w:tcPr>
          <w:p>
            <w:pPr>
              <w:ind w:left="8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DDDD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29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DDDDDD"/>
            </w:tcBorders>
          </w:tcPr>
          <w:p>
            <w:pPr>
              <w:spacing w:after="0"/>
              <w:rPr>
                <w:sz w:val="18"/>
                <w:szCs w:val="18"/>
                <w:color w:val="auto"/>
              </w:rPr>
            </w:pPr>
          </w:p>
        </w:tc>
      </w:tr>
      <w:tr>
        <w:trPr>
          <w:trHeight w:val="214"/>
        </w:trPr>
        <w:tc>
          <w:tcPr>
            <w:tcW w:w="4900" w:type="dxa"/>
            <w:vAlign w:val="bottom"/>
            <w:tcBorders>
              <w:top w:val="single" w:sz="8" w:color="DDDDDD"/>
            </w:tcBorders>
            <w:shd w:val="clear" w:color="auto" w:fill="DDDDDD"/>
          </w:tcPr>
          <w:p>
            <w:pPr>
              <w:spacing w:after="0" w:line="214" w:lineRule="exact"/>
              <w:rPr>
                <w:sz w:val="20"/>
                <w:szCs w:val="20"/>
                <w:color w:val="auto"/>
              </w:rPr>
            </w:pPr>
            <w:r>
              <w:rPr>
                <w:rFonts w:ascii="Times New Roman" w:cs="Times New Roman" w:eastAsia="Times New Roman" w:hAnsi="Times New Roman"/>
                <w:sz w:val="20"/>
                <w:szCs w:val="20"/>
                <w:color w:val="auto"/>
              </w:rPr>
              <w:t>Current:</w:t>
            </w:r>
          </w:p>
        </w:tc>
        <w:tc>
          <w:tcPr>
            <w:tcW w:w="140" w:type="dxa"/>
            <w:vAlign w:val="bottom"/>
            <w:tcBorders>
              <w:top w:val="single" w:sz="8" w:color="DDDDDD"/>
            </w:tcBorders>
            <w:shd w:val="clear" w:color="auto" w:fill="DDDDDD"/>
          </w:tcPr>
          <w:p>
            <w:pPr>
              <w:spacing w:after="0"/>
              <w:rPr>
                <w:sz w:val="18"/>
                <w:szCs w:val="18"/>
                <w:color w:val="auto"/>
              </w:rPr>
            </w:pPr>
          </w:p>
        </w:tc>
        <w:tc>
          <w:tcPr>
            <w:tcW w:w="120" w:type="dxa"/>
            <w:vAlign w:val="bottom"/>
            <w:tcBorders>
              <w:top w:val="single" w:sz="8" w:color="DDDDDD"/>
            </w:tcBorders>
            <w:shd w:val="clear" w:color="auto" w:fill="DDDDDD"/>
          </w:tcPr>
          <w:p>
            <w:pPr>
              <w:spacing w:after="0"/>
              <w:rPr>
                <w:sz w:val="18"/>
                <w:szCs w:val="18"/>
                <w:color w:val="auto"/>
              </w:rPr>
            </w:pPr>
          </w:p>
        </w:tc>
        <w:tc>
          <w:tcPr>
            <w:tcW w:w="1140" w:type="dxa"/>
            <w:vAlign w:val="bottom"/>
            <w:tcBorders>
              <w:top w:val="single" w:sz="8" w:color="DDDDDD"/>
            </w:tcBorders>
            <w:shd w:val="clear" w:color="auto" w:fill="DDDDDD"/>
          </w:tcPr>
          <w:p>
            <w:pPr>
              <w:spacing w:after="0"/>
              <w:rPr>
                <w:sz w:val="18"/>
                <w:szCs w:val="18"/>
                <w:color w:val="auto"/>
              </w:rPr>
            </w:pPr>
          </w:p>
        </w:tc>
        <w:tc>
          <w:tcPr>
            <w:tcW w:w="6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DDDDDD"/>
            </w:tcBorders>
            <w:shd w:val="clear" w:color="auto" w:fill="DDDDDD"/>
          </w:tcPr>
          <w:p>
            <w:pPr>
              <w:spacing w:after="0"/>
              <w:rPr>
                <w:sz w:val="18"/>
                <w:szCs w:val="18"/>
                <w:color w:val="auto"/>
              </w:rPr>
            </w:pPr>
          </w:p>
        </w:tc>
        <w:tc>
          <w:tcPr>
            <w:tcW w:w="14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DDDDDD"/>
            </w:tcBorders>
            <w:shd w:val="clear" w:color="auto" w:fill="DDDDDD"/>
          </w:tcPr>
          <w:p>
            <w:pPr>
              <w:spacing w:after="0"/>
              <w:rPr>
                <w:sz w:val="18"/>
                <w:szCs w:val="18"/>
                <w:color w:val="auto"/>
              </w:rPr>
            </w:pPr>
          </w:p>
        </w:tc>
        <w:tc>
          <w:tcPr>
            <w:tcW w:w="120" w:type="dxa"/>
            <w:vAlign w:val="bottom"/>
            <w:tcBorders>
              <w:top w:val="single" w:sz="8" w:color="DDDDDD"/>
            </w:tcBorders>
            <w:shd w:val="clear" w:color="auto" w:fill="DDDDDD"/>
          </w:tcPr>
          <w:p>
            <w:pPr>
              <w:spacing w:after="0"/>
              <w:rPr>
                <w:sz w:val="18"/>
                <w:szCs w:val="18"/>
                <w:color w:val="auto"/>
              </w:rPr>
            </w:pPr>
          </w:p>
        </w:tc>
        <w:tc>
          <w:tcPr>
            <w:tcW w:w="1120" w:type="dxa"/>
            <w:vAlign w:val="bottom"/>
            <w:tcBorders>
              <w:top w:val="single" w:sz="8" w:color="DDDDDD"/>
            </w:tcBorders>
            <w:shd w:val="clear" w:color="auto" w:fill="DDDDDD"/>
          </w:tcPr>
          <w:p>
            <w:pPr>
              <w:spacing w:after="0"/>
              <w:rPr>
                <w:sz w:val="18"/>
                <w:szCs w:val="18"/>
                <w:color w:val="auto"/>
              </w:rPr>
            </w:pPr>
          </w:p>
        </w:tc>
        <w:tc>
          <w:tcPr>
            <w:tcW w:w="80" w:type="dxa"/>
            <w:vAlign w:val="bottom"/>
            <w:tcBorders>
              <w:top w:val="single" w:sz="8" w:color="DDDDDD"/>
            </w:tcBorders>
            <w:shd w:val="clear" w:color="auto" w:fill="DDDDDD"/>
          </w:tcPr>
          <w:p>
            <w:pPr>
              <w:spacing w:after="0"/>
              <w:rPr>
                <w:sz w:val="18"/>
                <w:szCs w:val="18"/>
                <w:color w:val="auto"/>
              </w:rPr>
            </w:pPr>
          </w:p>
        </w:tc>
        <w:tc>
          <w:tcPr>
            <w:tcW w:w="160" w:type="dxa"/>
            <w:vAlign w:val="bottom"/>
            <w:tcBorders>
              <w:top w:val="single" w:sz="8" w:color="DDDDDD"/>
            </w:tcBorders>
            <w:shd w:val="clear" w:color="auto" w:fill="DDDDDD"/>
          </w:tcPr>
          <w:p>
            <w:pPr>
              <w:spacing w:after="0"/>
              <w:rPr>
                <w:sz w:val="18"/>
                <w:szCs w:val="18"/>
                <w:color w:val="auto"/>
              </w:rPr>
            </w:pPr>
          </w:p>
        </w:tc>
        <w:tc>
          <w:tcPr>
            <w:tcW w:w="110" w:type="dxa"/>
            <w:vAlign w:val="bottom"/>
            <w:tcBorders>
              <w:top w:val="single" w:sz="8" w:color="DDDDDD"/>
            </w:tcBorders>
            <w:shd w:val="clear" w:color="auto" w:fill="DDDDDD"/>
          </w:tcPr>
          <w:p>
            <w:pPr>
              <w:spacing w:after="0"/>
              <w:rPr>
                <w:sz w:val="18"/>
                <w:szCs w:val="18"/>
                <w:color w:val="auto"/>
              </w:rPr>
            </w:pPr>
          </w:p>
        </w:tc>
        <w:tc>
          <w:tcPr>
            <w:tcW w:w="290" w:type="dxa"/>
            <w:vAlign w:val="bottom"/>
            <w:tcBorders>
              <w:top w:val="single" w:sz="8" w:color="DDDDDD"/>
            </w:tcBorders>
            <w:shd w:val="clear" w:color="auto" w:fill="DDDDDD"/>
          </w:tcPr>
          <w:p>
            <w:pPr>
              <w:spacing w:after="0"/>
              <w:rPr>
                <w:sz w:val="18"/>
                <w:szCs w:val="18"/>
                <w:color w:val="auto"/>
              </w:rPr>
            </w:pPr>
          </w:p>
        </w:tc>
        <w:tc>
          <w:tcPr>
            <w:tcW w:w="860" w:type="dxa"/>
            <w:vAlign w:val="bottom"/>
            <w:tcBorders>
              <w:top w:val="single" w:sz="8" w:color="DDDDDD"/>
            </w:tcBorders>
            <w:shd w:val="clear" w:color="auto" w:fill="DDDDDD"/>
          </w:tcPr>
          <w:p>
            <w:pPr>
              <w:spacing w:after="0"/>
              <w:rPr>
                <w:sz w:val="18"/>
                <w:szCs w:val="18"/>
                <w:color w:val="auto"/>
              </w:rPr>
            </w:pPr>
          </w:p>
        </w:tc>
        <w:tc>
          <w:tcPr>
            <w:tcW w:w="80" w:type="dxa"/>
            <w:vAlign w:val="bottom"/>
            <w:tcBorders>
              <w:top w:val="single" w:sz="8" w:color="DDDDDD"/>
            </w:tcBorders>
            <w:shd w:val="clear" w:color="auto" w:fill="DDDDDD"/>
          </w:tcPr>
          <w:p>
            <w:pPr>
              <w:spacing w:after="0"/>
              <w:rPr>
                <w:sz w:val="18"/>
                <w:szCs w:val="18"/>
                <w:color w:val="auto"/>
              </w:rPr>
            </w:pPr>
          </w:p>
        </w:tc>
      </w:tr>
      <w:tr>
        <w:trPr>
          <w:trHeight w:val="244"/>
        </w:trPr>
        <w:tc>
          <w:tcPr>
            <w:tcW w:w="4900" w:type="dxa"/>
            <w:vAlign w:val="bottom"/>
            <w:tcBorders>
              <w:bottom w:val="single" w:sz="8" w:color="DDDDDD"/>
            </w:tcBorders>
          </w:tcPr>
          <w:p>
            <w:pPr>
              <w:ind w:left="100"/>
              <w:spacing w:after="0"/>
              <w:rPr>
                <w:sz w:val="20"/>
                <w:szCs w:val="20"/>
                <w:color w:val="auto"/>
              </w:rPr>
            </w:pPr>
            <w:r>
              <w:rPr>
                <w:rFonts w:ascii="Times New Roman" w:cs="Times New Roman" w:eastAsia="Times New Roman" w:hAnsi="Times New Roman"/>
                <w:sz w:val="20"/>
                <w:szCs w:val="20"/>
                <w:color w:val="auto"/>
              </w:rPr>
              <w:t>Federal</w:t>
            </w:r>
          </w:p>
        </w:tc>
        <w:tc>
          <w:tcPr>
            <w:tcW w:w="26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tcPr>
          <w:p>
            <w:pPr>
              <w:spacing w:after="0"/>
              <w:rPr>
                <w:sz w:val="21"/>
                <w:szCs w:val="21"/>
                <w:color w:val="auto"/>
              </w:rPr>
            </w:pPr>
          </w:p>
        </w:tc>
        <w:tc>
          <w:tcPr>
            <w:tcW w:w="300" w:type="dxa"/>
            <w:vAlign w:val="bottom"/>
            <w:tcBorders>
              <w:bottom w:val="single" w:sz="8" w:color="DDDDDD"/>
            </w:tcBorders>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DDDDD"/>
            </w:tcBorders>
          </w:tcPr>
          <w:p>
            <w:pPr>
              <w:spacing w:after="0"/>
              <w:rPr>
                <w:sz w:val="21"/>
                <w:szCs w:val="21"/>
                <w:color w:val="auto"/>
              </w:rPr>
            </w:pPr>
          </w:p>
        </w:tc>
        <w:tc>
          <w:tcPr>
            <w:tcW w:w="27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90" w:type="dxa"/>
            <w:vAlign w:val="bottom"/>
            <w:tcBorders>
              <w:bottom w:val="single" w:sz="8" w:color="DDDDDD"/>
            </w:tcBorders>
          </w:tcPr>
          <w:p>
            <w:pPr>
              <w:spacing w:after="0"/>
              <w:rPr>
                <w:sz w:val="21"/>
                <w:szCs w:val="21"/>
                <w:color w:val="auto"/>
              </w:rPr>
            </w:pPr>
          </w:p>
        </w:tc>
        <w:tc>
          <w:tcPr>
            <w:tcW w:w="8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DDDDD"/>
            </w:tcBorders>
          </w:tcPr>
          <w:p>
            <w:pPr>
              <w:spacing w:after="0"/>
              <w:rPr>
                <w:sz w:val="21"/>
                <w:szCs w:val="21"/>
                <w:color w:val="auto"/>
              </w:rPr>
            </w:pPr>
          </w:p>
        </w:tc>
      </w:tr>
      <w:tr>
        <w:trPr>
          <w:trHeight w:val="224"/>
        </w:trPr>
        <w:tc>
          <w:tcPr>
            <w:tcW w:w="4900" w:type="dxa"/>
            <w:vAlign w:val="bottom"/>
            <w:shd w:val="clear" w:color="auto" w:fill="DDDDDD"/>
          </w:tcPr>
          <w:p>
            <w:pPr>
              <w:ind w:left="100"/>
              <w:spacing w:after="0" w:line="224" w:lineRule="exact"/>
              <w:rPr>
                <w:sz w:val="20"/>
                <w:szCs w:val="20"/>
                <w:color w:val="auto"/>
              </w:rPr>
            </w:pPr>
            <w:r>
              <w:rPr>
                <w:rFonts w:ascii="Times New Roman" w:cs="Times New Roman" w:eastAsia="Times New Roman" w:hAnsi="Times New Roman"/>
                <w:sz w:val="20"/>
                <w:szCs w:val="20"/>
                <w:color w:val="auto"/>
              </w:rPr>
              <w:t>State</w:t>
            </w:r>
          </w:p>
        </w:tc>
        <w:tc>
          <w:tcPr>
            <w:tcW w:w="1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rPr>
              <w:t>(2,194</w:t>
            </w:r>
          </w:p>
        </w:tc>
        <w:tc>
          <w:tcPr>
            <w:tcW w:w="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2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rPr>
              <w:t>(16,170</w:t>
            </w:r>
          </w:p>
        </w:tc>
        <w:tc>
          <w:tcPr>
            <w:tcW w:w="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160" w:type="dxa"/>
            <w:vAlign w:val="bottom"/>
            <w:shd w:val="clear" w:color="auto" w:fill="DDDDDD"/>
          </w:tcPr>
          <w:p>
            <w:pPr>
              <w:spacing w:after="0"/>
              <w:rPr>
                <w:sz w:val="19"/>
                <w:szCs w:val="19"/>
                <w:color w:val="auto"/>
              </w:rPr>
            </w:pPr>
          </w:p>
        </w:tc>
        <w:tc>
          <w:tcPr>
            <w:tcW w:w="110" w:type="dxa"/>
            <w:vAlign w:val="bottom"/>
            <w:shd w:val="clear" w:color="auto" w:fill="DDDDDD"/>
          </w:tcPr>
          <w:p>
            <w:pPr>
              <w:spacing w:after="0"/>
              <w:rPr>
                <w:sz w:val="19"/>
                <w:szCs w:val="19"/>
                <w:color w:val="auto"/>
              </w:rPr>
            </w:pPr>
          </w:p>
        </w:tc>
        <w:tc>
          <w:tcPr>
            <w:tcW w:w="29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rPr>
              <w:t>2</w:t>
            </w:r>
          </w:p>
        </w:tc>
        <w:tc>
          <w:tcPr>
            <w:tcW w:w="80" w:type="dxa"/>
            <w:vAlign w:val="bottom"/>
            <w:shd w:val="clear" w:color="auto" w:fill="DDDDDD"/>
          </w:tcPr>
          <w:p>
            <w:pPr>
              <w:spacing w:after="0"/>
              <w:rPr>
                <w:sz w:val="19"/>
                <w:szCs w:val="19"/>
                <w:color w:val="auto"/>
              </w:rPr>
            </w:pPr>
          </w:p>
        </w:tc>
      </w:tr>
      <w:tr>
        <w:trPr>
          <w:trHeight w:val="270"/>
        </w:trPr>
        <w:tc>
          <w:tcPr>
            <w:tcW w:w="4900" w:type="dxa"/>
            <w:vAlign w:val="bottom"/>
            <w:tcBorders>
              <w:bottom w:val="single" w:sz="8" w:color="E0E0E0"/>
            </w:tcBorders>
          </w:tcPr>
          <w:p>
            <w:pPr>
              <w:ind w:left="100"/>
              <w:spacing w:after="0"/>
              <w:rPr>
                <w:sz w:val="20"/>
                <w:szCs w:val="20"/>
                <w:color w:val="auto"/>
              </w:rPr>
            </w:pPr>
            <w:r>
              <w:rPr>
                <w:rFonts w:ascii="Times New Roman" w:cs="Times New Roman" w:eastAsia="Times New Roman" w:hAnsi="Times New Roman"/>
                <w:sz w:val="20"/>
                <w:szCs w:val="20"/>
                <w:color w:val="auto"/>
              </w:rPr>
              <w:t>Foreign</w:t>
            </w:r>
          </w:p>
        </w:tc>
        <w:tc>
          <w:tcPr>
            <w:tcW w:w="140" w:type="dxa"/>
            <w:vAlign w:val="bottom"/>
            <w:tcBorders>
              <w:bottom w:val="single" w:sz="8" w:color="E0E0E0"/>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40" w:type="dxa"/>
            <w:vAlign w:val="bottom"/>
            <w:tcBorders>
              <w:bottom w:val="single" w:sz="8" w:color="E0E0E0"/>
            </w:tcBorders>
          </w:tcPr>
          <w:p>
            <w:pPr>
              <w:spacing w:after="0"/>
              <w:rPr>
                <w:sz w:val="23"/>
                <w:szCs w:val="23"/>
                <w:color w:val="auto"/>
              </w:rPr>
            </w:pPr>
          </w:p>
        </w:tc>
        <w:tc>
          <w:tcPr>
            <w:tcW w:w="20" w:type="dxa"/>
            <w:vAlign w:val="bottom"/>
            <w:tcBorders>
              <w:bottom w:val="single" w:sz="8" w:color="E0E0E0"/>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80" w:type="dxa"/>
            <w:vAlign w:val="bottom"/>
            <w:tcBorders>
              <w:bottom w:val="single" w:sz="8" w:color="E0E0E0"/>
            </w:tcBorders>
          </w:tcPr>
          <w:p>
            <w:pPr>
              <w:spacing w:after="0"/>
              <w:rPr>
                <w:sz w:val="23"/>
                <w:szCs w:val="23"/>
                <w:color w:val="auto"/>
              </w:rPr>
            </w:pPr>
          </w:p>
        </w:tc>
        <w:tc>
          <w:tcPr>
            <w:tcW w:w="160" w:type="dxa"/>
            <w:vAlign w:val="bottom"/>
            <w:tcBorders>
              <w:bottom w:val="single" w:sz="8" w:color="E0E0E0"/>
            </w:tcBorders>
          </w:tcPr>
          <w:p>
            <w:pPr>
              <w:spacing w:after="0"/>
              <w:rPr>
                <w:sz w:val="23"/>
                <w:szCs w:val="23"/>
                <w:color w:val="auto"/>
              </w:rPr>
            </w:pPr>
          </w:p>
        </w:tc>
        <w:tc>
          <w:tcPr>
            <w:tcW w:w="110" w:type="dxa"/>
            <w:vAlign w:val="bottom"/>
            <w:tcBorders>
              <w:bottom w:val="single" w:sz="8" w:color="auto"/>
            </w:tcBorders>
          </w:tcPr>
          <w:p>
            <w:pPr>
              <w:spacing w:after="0"/>
              <w:rPr>
                <w:sz w:val="23"/>
                <w:szCs w:val="23"/>
                <w:color w:val="auto"/>
              </w:rPr>
            </w:pPr>
          </w:p>
        </w:tc>
        <w:tc>
          <w:tcPr>
            <w:tcW w:w="29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tcPr>
          <w:p>
            <w:pPr>
              <w:spacing w:after="0"/>
              <w:rPr>
                <w:sz w:val="23"/>
                <w:szCs w:val="23"/>
                <w:color w:val="auto"/>
              </w:rPr>
            </w:pPr>
          </w:p>
        </w:tc>
      </w:tr>
      <w:tr>
        <w:trPr>
          <w:trHeight w:val="234"/>
        </w:trPr>
        <w:tc>
          <w:tcPr>
            <w:tcW w:w="4900" w:type="dxa"/>
            <w:vAlign w:val="bottom"/>
            <w:tcBorders>
              <w:top w:val="single" w:sz="8" w:color="E0E0E0"/>
              <w:bottom w:val="single" w:sz="8" w:color="E0E0E0"/>
            </w:tcBorders>
            <w:shd w:val="clear" w:color="auto" w:fill="E0E0E0"/>
          </w:tcPr>
          <w:p>
            <w:pPr>
              <w:ind w:left="200"/>
              <w:spacing w:after="0" w:line="214" w:lineRule="exact"/>
              <w:rPr>
                <w:sz w:val="20"/>
                <w:szCs w:val="20"/>
                <w:color w:val="auto"/>
              </w:rPr>
            </w:pPr>
            <w:r>
              <w:rPr>
                <w:rFonts w:ascii="Times New Roman" w:cs="Times New Roman" w:eastAsia="Times New Roman" w:hAnsi="Times New Roman"/>
                <w:sz w:val="20"/>
                <w:szCs w:val="20"/>
                <w:color w:val="auto"/>
              </w:rPr>
              <w:t>Total current</w:t>
            </w:r>
          </w:p>
        </w:tc>
        <w:tc>
          <w:tcPr>
            <w:tcW w:w="140" w:type="dxa"/>
            <w:vAlign w:val="bottom"/>
            <w:tcBorders>
              <w:top w:val="single" w:sz="8" w:color="E0E0E0"/>
              <w:bottom w:val="single" w:sz="8" w:color="E0E0E0"/>
            </w:tcBorders>
            <w:shd w:val="clear" w:color="auto" w:fill="E0E0E0"/>
          </w:tcPr>
          <w:p>
            <w:pPr>
              <w:spacing w:after="0"/>
              <w:rPr>
                <w:sz w:val="20"/>
                <w:szCs w:val="20"/>
                <w:color w:val="auto"/>
              </w:rPr>
            </w:pPr>
          </w:p>
        </w:tc>
        <w:tc>
          <w:tcPr>
            <w:tcW w:w="120" w:type="dxa"/>
            <w:vAlign w:val="bottom"/>
            <w:tcBorders>
              <w:top w:val="single" w:sz="8" w:color="E0E0E0"/>
              <w:bottom w:val="single" w:sz="8" w:color="auto"/>
            </w:tcBorders>
            <w:shd w:val="clear" w:color="auto" w:fill="E0E0E0"/>
          </w:tcPr>
          <w:p>
            <w:pPr>
              <w:spacing w:after="0"/>
              <w:rPr>
                <w:sz w:val="20"/>
                <w:szCs w:val="20"/>
                <w:color w:val="auto"/>
              </w:rPr>
            </w:pPr>
          </w:p>
        </w:tc>
        <w:tc>
          <w:tcPr>
            <w:tcW w:w="114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(2,172</w:t>
            </w:r>
          </w:p>
        </w:tc>
        <w:tc>
          <w:tcPr>
            <w:tcW w:w="60" w:type="dxa"/>
            <w:vAlign w:val="bottom"/>
            <w:tcBorders>
              <w:top w:val="single" w:sz="8" w:color="E0E0E0"/>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140" w:type="dxa"/>
            <w:vAlign w:val="bottom"/>
            <w:tcBorders>
              <w:top w:val="single" w:sz="8" w:color="E0E0E0"/>
              <w:bottom w:val="single" w:sz="8" w:color="E0E0E0"/>
            </w:tcBorders>
            <w:shd w:val="clear" w:color="auto" w:fill="E0E0E0"/>
          </w:tcPr>
          <w:p>
            <w:pPr>
              <w:spacing w:after="0"/>
              <w:rPr>
                <w:sz w:val="20"/>
                <w:szCs w:val="20"/>
                <w:color w:val="auto"/>
              </w:rPr>
            </w:pPr>
          </w:p>
        </w:tc>
        <w:tc>
          <w:tcPr>
            <w:tcW w:w="20" w:type="dxa"/>
            <w:vAlign w:val="bottom"/>
            <w:tcBorders>
              <w:top w:val="single" w:sz="8" w:color="E0E0E0"/>
              <w:bottom w:val="single" w:sz="8" w:color="E0E0E0"/>
            </w:tcBorders>
            <w:shd w:val="clear" w:color="auto" w:fill="E0E0E0"/>
          </w:tcPr>
          <w:p>
            <w:pPr>
              <w:spacing w:after="0"/>
              <w:rPr>
                <w:sz w:val="20"/>
                <w:szCs w:val="20"/>
                <w:color w:val="auto"/>
              </w:rPr>
            </w:pPr>
          </w:p>
        </w:tc>
        <w:tc>
          <w:tcPr>
            <w:tcW w:w="120" w:type="dxa"/>
            <w:vAlign w:val="bottom"/>
            <w:tcBorders>
              <w:top w:val="single" w:sz="8" w:color="E0E0E0"/>
              <w:bottom w:val="single" w:sz="8" w:color="auto"/>
            </w:tcBorders>
            <w:shd w:val="clear" w:color="auto" w:fill="E0E0E0"/>
          </w:tcPr>
          <w:p>
            <w:pPr>
              <w:spacing w:after="0"/>
              <w:rPr>
                <w:sz w:val="20"/>
                <w:szCs w:val="20"/>
                <w:color w:val="auto"/>
              </w:rPr>
            </w:pPr>
          </w:p>
        </w:tc>
        <w:tc>
          <w:tcPr>
            <w:tcW w:w="112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(16,100</w:t>
            </w:r>
          </w:p>
        </w:tc>
        <w:tc>
          <w:tcPr>
            <w:tcW w:w="80" w:type="dxa"/>
            <w:vAlign w:val="bottom"/>
            <w:tcBorders>
              <w:top w:val="single" w:sz="8" w:color="E0E0E0"/>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60" w:type="dxa"/>
            <w:vAlign w:val="bottom"/>
            <w:tcBorders>
              <w:top w:val="single" w:sz="8" w:color="E0E0E0"/>
              <w:bottom w:val="single" w:sz="8" w:color="E0E0E0"/>
            </w:tcBorders>
            <w:shd w:val="clear" w:color="auto" w:fill="E0E0E0"/>
          </w:tcPr>
          <w:p>
            <w:pPr>
              <w:spacing w:after="0"/>
              <w:rPr>
                <w:sz w:val="20"/>
                <w:szCs w:val="20"/>
                <w:color w:val="auto"/>
              </w:rPr>
            </w:pPr>
          </w:p>
        </w:tc>
        <w:tc>
          <w:tcPr>
            <w:tcW w:w="110" w:type="dxa"/>
            <w:vAlign w:val="bottom"/>
            <w:tcBorders>
              <w:top w:val="single" w:sz="8" w:color="E0E0E0"/>
              <w:bottom w:val="single" w:sz="8" w:color="auto"/>
            </w:tcBorders>
            <w:shd w:val="clear" w:color="auto" w:fill="E0E0E0"/>
          </w:tcPr>
          <w:p>
            <w:pPr>
              <w:spacing w:after="0"/>
              <w:rPr>
                <w:sz w:val="20"/>
                <w:szCs w:val="20"/>
                <w:color w:val="auto"/>
              </w:rPr>
            </w:pPr>
          </w:p>
        </w:tc>
        <w:tc>
          <w:tcPr>
            <w:tcW w:w="290" w:type="dxa"/>
            <w:vAlign w:val="bottom"/>
            <w:tcBorders>
              <w:top w:val="single" w:sz="8" w:color="E0E0E0"/>
              <w:bottom w:val="single" w:sz="8" w:color="auto"/>
            </w:tcBorders>
            <w:shd w:val="clear" w:color="auto" w:fill="E0E0E0"/>
          </w:tcPr>
          <w:p>
            <w:pPr>
              <w:spacing w:after="0"/>
              <w:rPr>
                <w:sz w:val="20"/>
                <w:szCs w:val="20"/>
                <w:color w:val="auto"/>
              </w:rPr>
            </w:pPr>
          </w:p>
        </w:tc>
        <w:tc>
          <w:tcPr>
            <w:tcW w:w="86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top w:val="single" w:sz="8" w:color="E0E0E0"/>
              <w:bottom w:val="single" w:sz="8" w:color="E0E0E0"/>
            </w:tcBorders>
            <w:shd w:val="clear" w:color="auto" w:fill="E0E0E0"/>
          </w:tcPr>
          <w:p>
            <w:pPr>
              <w:spacing w:after="0"/>
              <w:rPr>
                <w:sz w:val="20"/>
                <w:szCs w:val="20"/>
                <w:color w:val="auto"/>
              </w:rPr>
            </w:pPr>
          </w:p>
        </w:tc>
      </w:tr>
      <w:tr>
        <w:trPr>
          <w:trHeight w:val="213"/>
        </w:trPr>
        <w:tc>
          <w:tcPr>
            <w:tcW w:w="4900" w:type="dxa"/>
            <w:vAlign w:val="bottom"/>
            <w:tcBorders>
              <w:bottom w:val="single" w:sz="8" w:color="E0E0E0"/>
            </w:tcBorders>
          </w:tcPr>
          <w:p>
            <w:pPr>
              <w:spacing w:after="0" w:line="213" w:lineRule="exact"/>
              <w:rPr>
                <w:sz w:val="20"/>
                <w:szCs w:val="20"/>
                <w:color w:val="auto"/>
              </w:rPr>
            </w:pPr>
            <w:r>
              <w:rPr>
                <w:rFonts w:ascii="Times New Roman" w:cs="Times New Roman" w:eastAsia="Times New Roman" w:hAnsi="Times New Roman"/>
                <w:sz w:val="20"/>
                <w:szCs w:val="20"/>
                <w:color w:val="auto"/>
              </w:rPr>
              <w:t>Deferred:</w:t>
            </w:r>
          </w:p>
        </w:tc>
        <w:tc>
          <w:tcPr>
            <w:tcW w:w="140" w:type="dxa"/>
            <w:vAlign w:val="bottom"/>
            <w:tcBorders>
              <w:bottom w:val="single" w:sz="8" w:color="E0E0E0"/>
            </w:tcBorders>
          </w:tcPr>
          <w:p>
            <w:pPr>
              <w:spacing w:after="0"/>
              <w:rPr>
                <w:sz w:val="18"/>
                <w:szCs w:val="18"/>
                <w:color w:val="auto"/>
              </w:rPr>
            </w:pPr>
          </w:p>
        </w:tc>
        <w:tc>
          <w:tcPr>
            <w:tcW w:w="120" w:type="dxa"/>
            <w:vAlign w:val="bottom"/>
            <w:tcBorders>
              <w:bottom w:val="single" w:sz="8" w:color="E0E0E0"/>
            </w:tcBorders>
          </w:tcPr>
          <w:p>
            <w:pPr>
              <w:spacing w:after="0"/>
              <w:rPr>
                <w:sz w:val="18"/>
                <w:szCs w:val="18"/>
                <w:color w:val="auto"/>
              </w:rPr>
            </w:pPr>
          </w:p>
        </w:tc>
        <w:tc>
          <w:tcPr>
            <w:tcW w:w="1140" w:type="dxa"/>
            <w:vAlign w:val="bottom"/>
            <w:tcBorders>
              <w:bottom w:val="single" w:sz="8" w:color="E0E0E0"/>
            </w:tcBorders>
          </w:tcPr>
          <w:p>
            <w:pPr>
              <w:spacing w:after="0"/>
              <w:rPr>
                <w:sz w:val="18"/>
                <w:szCs w:val="18"/>
                <w:color w:val="auto"/>
              </w:rPr>
            </w:pPr>
          </w:p>
        </w:tc>
        <w:tc>
          <w:tcPr>
            <w:tcW w:w="6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4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20" w:type="dxa"/>
            <w:vAlign w:val="bottom"/>
            <w:tcBorders>
              <w:bottom w:val="single" w:sz="8" w:color="E0E0E0"/>
            </w:tcBorders>
          </w:tcPr>
          <w:p>
            <w:pPr>
              <w:spacing w:after="0"/>
              <w:rPr>
                <w:sz w:val="18"/>
                <w:szCs w:val="18"/>
                <w:color w:val="auto"/>
              </w:rPr>
            </w:pPr>
          </w:p>
        </w:tc>
        <w:tc>
          <w:tcPr>
            <w:tcW w:w="1120" w:type="dxa"/>
            <w:vAlign w:val="bottom"/>
            <w:tcBorders>
              <w:bottom w:val="single" w:sz="8" w:color="E0E0E0"/>
            </w:tcBorders>
          </w:tcPr>
          <w:p>
            <w:pPr>
              <w:spacing w:after="0"/>
              <w:rPr>
                <w:sz w:val="18"/>
                <w:szCs w:val="18"/>
                <w:color w:val="auto"/>
              </w:rPr>
            </w:pPr>
          </w:p>
        </w:tc>
        <w:tc>
          <w:tcPr>
            <w:tcW w:w="80" w:type="dxa"/>
            <w:vAlign w:val="bottom"/>
            <w:tcBorders>
              <w:bottom w:val="single" w:sz="8" w:color="E0E0E0"/>
            </w:tcBorders>
          </w:tcPr>
          <w:p>
            <w:pPr>
              <w:spacing w:after="0"/>
              <w:rPr>
                <w:sz w:val="18"/>
                <w:szCs w:val="18"/>
                <w:color w:val="auto"/>
              </w:rPr>
            </w:pPr>
          </w:p>
        </w:tc>
        <w:tc>
          <w:tcPr>
            <w:tcW w:w="160" w:type="dxa"/>
            <w:vAlign w:val="bottom"/>
            <w:tcBorders>
              <w:bottom w:val="single" w:sz="8" w:color="E0E0E0"/>
            </w:tcBorders>
          </w:tcPr>
          <w:p>
            <w:pPr>
              <w:spacing w:after="0"/>
              <w:rPr>
                <w:sz w:val="18"/>
                <w:szCs w:val="18"/>
                <w:color w:val="auto"/>
              </w:rPr>
            </w:pPr>
          </w:p>
        </w:tc>
        <w:tc>
          <w:tcPr>
            <w:tcW w:w="110" w:type="dxa"/>
            <w:vAlign w:val="bottom"/>
            <w:tcBorders>
              <w:bottom w:val="single" w:sz="8" w:color="E0E0E0"/>
            </w:tcBorders>
          </w:tcPr>
          <w:p>
            <w:pPr>
              <w:spacing w:after="0"/>
              <w:rPr>
                <w:sz w:val="18"/>
                <w:szCs w:val="18"/>
                <w:color w:val="auto"/>
              </w:rPr>
            </w:pPr>
          </w:p>
        </w:tc>
        <w:tc>
          <w:tcPr>
            <w:tcW w:w="290" w:type="dxa"/>
            <w:vAlign w:val="bottom"/>
            <w:tcBorders>
              <w:bottom w:val="single" w:sz="8" w:color="E0E0E0"/>
            </w:tcBorders>
          </w:tcPr>
          <w:p>
            <w:pPr>
              <w:spacing w:after="0"/>
              <w:rPr>
                <w:sz w:val="18"/>
                <w:szCs w:val="18"/>
                <w:color w:val="auto"/>
              </w:rPr>
            </w:pPr>
          </w:p>
        </w:tc>
        <w:tc>
          <w:tcPr>
            <w:tcW w:w="860" w:type="dxa"/>
            <w:vAlign w:val="bottom"/>
            <w:tcBorders>
              <w:bottom w:val="single" w:sz="8" w:color="E0E0E0"/>
            </w:tcBorders>
          </w:tcPr>
          <w:p>
            <w:pPr>
              <w:spacing w:after="0"/>
              <w:rPr>
                <w:sz w:val="18"/>
                <w:szCs w:val="18"/>
                <w:color w:val="auto"/>
              </w:rPr>
            </w:pPr>
          </w:p>
        </w:tc>
        <w:tc>
          <w:tcPr>
            <w:tcW w:w="80" w:type="dxa"/>
            <w:vAlign w:val="bottom"/>
            <w:tcBorders>
              <w:bottom w:val="single" w:sz="8" w:color="E0E0E0"/>
            </w:tcBorders>
          </w:tcPr>
          <w:p>
            <w:pPr>
              <w:spacing w:after="0"/>
              <w:rPr>
                <w:sz w:val="18"/>
                <w:szCs w:val="18"/>
                <w:color w:val="auto"/>
              </w:rPr>
            </w:pPr>
          </w:p>
        </w:tc>
      </w:tr>
      <w:tr>
        <w:trPr>
          <w:trHeight w:val="224"/>
        </w:trPr>
        <w:tc>
          <w:tcPr>
            <w:tcW w:w="4900" w:type="dxa"/>
            <w:vAlign w:val="bottom"/>
            <w:shd w:val="clear" w:color="auto" w:fill="E0E0E0"/>
          </w:tcPr>
          <w:p>
            <w:pPr>
              <w:ind w:left="100"/>
              <w:spacing w:after="0" w:line="224" w:lineRule="exact"/>
              <w:rPr>
                <w:sz w:val="20"/>
                <w:szCs w:val="20"/>
                <w:color w:val="auto"/>
              </w:rPr>
            </w:pPr>
            <w:r>
              <w:rPr>
                <w:rFonts w:ascii="Times New Roman" w:cs="Times New Roman" w:eastAsia="Times New Roman" w:hAnsi="Times New Roman"/>
                <w:sz w:val="20"/>
                <w:szCs w:val="20"/>
                <w:color w:val="auto"/>
              </w:rPr>
              <w:t>Federal</w:t>
            </w:r>
          </w:p>
        </w:tc>
        <w:tc>
          <w:tcPr>
            <w:tcW w:w="14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4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2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1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290" w:type="dxa"/>
            <w:vAlign w:val="bottom"/>
            <w:shd w:val="clear" w:color="auto" w:fill="E0E0E0"/>
          </w:tcPr>
          <w:p>
            <w:pPr>
              <w:spacing w:after="0"/>
              <w:rPr>
                <w:sz w:val="19"/>
                <w:szCs w:val="19"/>
                <w:color w:val="auto"/>
              </w:rPr>
            </w:pPr>
          </w:p>
        </w:tc>
        <w:tc>
          <w:tcPr>
            <w:tcW w:w="860" w:type="dxa"/>
            <w:vAlign w:val="bottom"/>
            <w:shd w:val="clear" w:color="auto" w:fill="E0E0E0"/>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r>
      <w:tr>
        <w:trPr>
          <w:trHeight w:val="244"/>
        </w:trPr>
        <w:tc>
          <w:tcPr>
            <w:tcW w:w="4900" w:type="dxa"/>
            <w:vAlign w:val="bottom"/>
            <w:tcBorders>
              <w:bottom w:val="single" w:sz="8" w:color="E0E0E0"/>
            </w:tcBorders>
          </w:tcPr>
          <w:p>
            <w:pPr>
              <w:ind w:left="100"/>
              <w:spacing w:after="0"/>
              <w:rPr>
                <w:sz w:val="20"/>
                <w:szCs w:val="20"/>
                <w:color w:val="auto"/>
              </w:rPr>
            </w:pPr>
            <w:r>
              <w:rPr>
                <w:rFonts w:ascii="Times New Roman" w:cs="Times New Roman" w:eastAsia="Times New Roman" w:hAnsi="Times New Roman"/>
                <w:sz w:val="20"/>
                <w:szCs w:val="20"/>
                <w:color w:val="auto"/>
              </w:rPr>
              <w:t>State</w:t>
            </w:r>
          </w:p>
        </w:tc>
        <w:tc>
          <w:tcPr>
            <w:tcW w:w="14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114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40" w:type="dxa"/>
            <w:vAlign w:val="bottom"/>
            <w:tcBorders>
              <w:bottom w:val="single" w:sz="8" w:color="E0E0E0"/>
            </w:tcBorders>
          </w:tcPr>
          <w:p>
            <w:pPr>
              <w:spacing w:after="0"/>
              <w:rPr>
                <w:sz w:val="21"/>
                <w:szCs w:val="21"/>
                <w:color w:val="auto"/>
              </w:rPr>
            </w:pPr>
          </w:p>
        </w:tc>
        <w:tc>
          <w:tcPr>
            <w:tcW w:w="2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112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tcPr>
          <w:p>
            <w:pPr>
              <w:spacing w:after="0"/>
              <w:rPr>
                <w:sz w:val="21"/>
                <w:szCs w:val="21"/>
                <w:color w:val="auto"/>
              </w:rPr>
            </w:pPr>
          </w:p>
        </w:tc>
        <w:tc>
          <w:tcPr>
            <w:tcW w:w="160" w:type="dxa"/>
            <w:vAlign w:val="bottom"/>
            <w:tcBorders>
              <w:bottom w:val="single" w:sz="8" w:color="E0E0E0"/>
            </w:tcBorders>
          </w:tcPr>
          <w:p>
            <w:pPr>
              <w:spacing w:after="0"/>
              <w:rPr>
                <w:sz w:val="21"/>
                <w:szCs w:val="21"/>
                <w:color w:val="auto"/>
              </w:rPr>
            </w:pPr>
          </w:p>
        </w:tc>
        <w:tc>
          <w:tcPr>
            <w:tcW w:w="110" w:type="dxa"/>
            <w:vAlign w:val="bottom"/>
            <w:tcBorders>
              <w:bottom w:val="single" w:sz="8" w:color="E0E0E0"/>
            </w:tcBorders>
          </w:tcPr>
          <w:p>
            <w:pPr>
              <w:spacing w:after="0"/>
              <w:rPr>
                <w:sz w:val="21"/>
                <w:szCs w:val="21"/>
                <w:color w:val="auto"/>
              </w:rPr>
            </w:pPr>
          </w:p>
        </w:tc>
        <w:tc>
          <w:tcPr>
            <w:tcW w:w="290" w:type="dxa"/>
            <w:vAlign w:val="bottom"/>
            <w:tcBorders>
              <w:bottom w:val="single" w:sz="8" w:color="E0E0E0"/>
            </w:tcBorders>
          </w:tcPr>
          <w:p>
            <w:pPr>
              <w:spacing w:after="0"/>
              <w:rPr>
                <w:sz w:val="21"/>
                <w:szCs w:val="21"/>
                <w:color w:val="auto"/>
              </w:rPr>
            </w:pPr>
          </w:p>
        </w:tc>
        <w:tc>
          <w:tcPr>
            <w:tcW w:w="86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tcPr>
          <w:p>
            <w:pPr>
              <w:spacing w:after="0"/>
              <w:rPr>
                <w:sz w:val="21"/>
                <w:szCs w:val="21"/>
                <w:color w:val="auto"/>
              </w:rPr>
            </w:pPr>
          </w:p>
        </w:tc>
      </w:tr>
      <w:tr>
        <w:trPr>
          <w:trHeight w:val="225"/>
        </w:trPr>
        <w:tc>
          <w:tcPr>
            <w:tcW w:w="4900" w:type="dxa"/>
            <w:vAlign w:val="bottom"/>
            <w:shd w:val="clear" w:color="auto" w:fill="E0E0E0"/>
          </w:tcPr>
          <w:p>
            <w:pPr>
              <w:ind w:left="100"/>
              <w:spacing w:after="0" w:line="225" w:lineRule="exact"/>
              <w:rPr>
                <w:sz w:val="20"/>
                <w:szCs w:val="20"/>
                <w:color w:val="auto"/>
              </w:rPr>
            </w:pPr>
            <w:r>
              <w:rPr>
                <w:rFonts w:ascii="Times New Roman" w:cs="Times New Roman" w:eastAsia="Times New Roman" w:hAnsi="Times New Roman"/>
                <w:sz w:val="20"/>
                <w:szCs w:val="20"/>
                <w:color w:val="auto"/>
              </w:rPr>
              <w:t>Foreign</w:t>
            </w:r>
          </w:p>
        </w:tc>
        <w:tc>
          <w:tcPr>
            <w:tcW w:w="140" w:type="dxa"/>
            <w:vAlign w:val="bottom"/>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114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tcBorders>
              <w:bottom w:val="single" w:sz="8" w:color="auto"/>
            </w:tcBorders>
            <w:shd w:val="clear" w:color="auto" w:fill="E0E0E0"/>
          </w:tcPr>
          <w:p>
            <w:pPr>
              <w:spacing w:after="0"/>
              <w:rPr>
                <w:sz w:val="19"/>
                <w:szCs w:val="19"/>
                <w:color w:val="auto"/>
              </w:rPr>
            </w:pPr>
          </w:p>
        </w:tc>
        <w:tc>
          <w:tcPr>
            <w:tcW w:w="112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10" w:type="dxa"/>
            <w:vAlign w:val="bottom"/>
            <w:tcBorders>
              <w:bottom w:val="single" w:sz="8" w:color="auto"/>
            </w:tcBorders>
            <w:shd w:val="clear" w:color="auto" w:fill="E0E0E0"/>
          </w:tcPr>
          <w:p>
            <w:pPr>
              <w:spacing w:after="0"/>
              <w:rPr>
                <w:sz w:val="19"/>
                <w:szCs w:val="19"/>
                <w:color w:val="auto"/>
              </w:rPr>
            </w:pPr>
          </w:p>
        </w:tc>
        <w:tc>
          <w:tcPr>
            <w:tcW w:w="290" w:type="dxa"/>
            <w:vAlign w:val="bottom"/>
            <w:tcBorders>
              <w:bottom w:val="single" w:sz="8" w:color="auto"/>
            </w:tcBorders>
            <w:shd w:val="clear" w:color="auto" w:fill="E0E0E0"/>
          </w:tcPr>
          <w:p>
            <w:pPr>
              <w:spacing w:after="0"/>
              <w:rPr>
                <w:sz w:val="19"/>
                <w:szCs w:val="19"/>
                <w:color w:val="auto"/>
              </w:rPr>
            </w:pPr>
          </w:p>
        </w:tc>
        <w:tc>
          <w:tcPr>
            <w:tcW w:w="860" w:type="dxa"/>
            <w:vAlign w:val="bottom"/>
            <w:tcBorders>
              <w:bottom w:val="single" w:sz="8" w:color="auto"/>
            </w:tcBorders>
            <w:shd w:val="clear" w:color="auto" w:fill="E0E0E0"/>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0E0E0"/>
          </w:tcPr>
          <w:p>
            <w:pPr>
              <w:spacing w:after="0"/>
              <w:rPr>
                <w:sz w:val="19"/>
                <w:szCs w:val="19"/>
                <w:color w:val="auto"/>
              </w:rPr>
            </w:pPr>
          </w:p>
        </w:tc>
      </w:tr>
      <w:tr>
        <w:trPr>
          <w:trHeight w:val="259"/>
        </w:trPr>
        <w:tc>
          <w:tcPr>
            <w:tcW w:w="49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auto"/>
              </w:rPr>
              <w:t>Total deferred</w:t>
            </w:r>
          </w:p>
        </w:tc>
        <w:tc>
          <w:tcPr>
            <w:tcW w:w="14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4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tcPr>
          <w:p>
            <w:pPr>
              <w:spacing w:after="0"/>
              <w:rPr>
                <w:sz w:val="22"/>
                <w:szCs w:val="22"/>
                <w:color w:val="auto"/>
              </w:rPr>
            </w:pPr>
          </w:p>
        </w:tc>
        <w:tc>
          <w:tcPr>
            <w:tcW w:w="160" w:type="dxa"/>
            <w:vAlign w:val="bottom"/>
            <w:tcBorders>
              <w:bottom w:val="single" w:sz="8" w:color="E0E0E0"/>
            </w:tcBorders>
          </w:tcPr>
          <w:p>
            <w:pPr>
              <w:spacing w:after="0"/>
              <w:rPr>
                <w:sz w:val="22"/>
                <w:szCs w:val="22"/>
                <w:color w:val="auto"/>
              </w:rPr>
            </w:pPr>
          </w:p>
        </w:tc>
        <w:tc>
          <w:tcPr>
            <w:tcW w:w="110" w:type="dxa"/>
            <w:vAlign w:val="bottom"/>
            <w:tcBorders>
              <w:bottom w:val="single" w:sz="8" w:color="auto"/>
            </w:tcBorders>
          </w:tcPr>
          <w:p>
            <w:pPr>
              <w:spacing w:after="0"/>
              <w:rPr>
                <w:sz w:val="22"/>
                <w:szCs w:val="22"/>
                <w:color w:val="auto"/>
              </w:rPr>
            </w:pPr>
          </w:p>
        </w:tc>
        <w:tc>
          <w:tcPr>
            <w:tcW w:w="29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0E0E0"/>
            </w:tcBorders>
          </w:tcPr>
          <w:p>
            <w:pPr>
              <w:spacing w:after="0"/>
              <w:rPr>
                <w:sz w:val="22"/>
                <w:szCs w:val="22"/>
                <w:color w:val="auto"/>
              </w:rPr>
            </w:pPr>
          </w:p>
        </w:tc>
      </w:tr>
      <w:tr>
        <w:trPr>
          <w:trHeight w:val="214"/>
        </w:trPr>
        <w:tc>
          <w:tcPr>
            <w:tcW w:w="4900" w:type="dxa"/>
            <w:vAlign w:val="bottom"/>
            <w:tcBorders>
              <w:top w:val="single" w:sz="8" w:color="E0E0E0"/>
            </w:tcBorders>
            <w:shd w:val="clear" w:color="auto" w:fill="E0E0E0"/>
          </w:tcPr>
          <w:p>
            <w:pPr>
              <w:ind w:left="300"/>
              <w:spacing w:after="0" w:line="214" w:lineRule="exact"/>
              <w:rPr>
                <w:sz w:val="20"/>
                <w:szCs w:val="20"/>
                <w:color w:val="auto"/>
              </w:rPr>
            </w:pPr>
            <w:r>
              <w:rPr>
                <w:rFonts w:ascii="Times New Roman" w:cs="Times New Roman" w:eastAsia="Times New Roman" w:hAnsi="Times New Roman"/>
                <w:sz w:val="20"/>
                <w:szCs w:val="20"/>
                <w:color w:val="auto"/>
              </w:rPr>
              <w:t>Total (benefit) provision</w:t>
            </w:r>
          </w:p>
        </w:tc>
        <w:tc>
          <w:tcPr>
            <w:tcW w:w="140" w:type="dxa"/>
            <w:vAlign w:val="bottom"/>
            <w:tcBorders>
              <w:top w:val="single" w:sz="8" w:color="E0E0E0"/>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4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(2,172</w:t>
            </w:r>
          </w:p>
        </w:tc>
        <w:tc>
          <w:tcPr>
            <w:tcW w:w="6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20" w:type="dxa"/>
            <w:vAlign w:val="bottom"/>
            <w:tcBorders>
              <w:top w:val="single" w:sz="8" w:color="E0E0E0"/>
            </w:tcBorders>
            <w:shd w:val="clear" w:color="auto" w:fill="E0E0E0"/>
          </w:tcPr>
          <w:p>
            <w:pPr>
              <w:spacing w:after="0"/>
              <w:rPr>
                <w:sz w:val="18"/>
                <w:szCs w:val="18"/>
                <w:color w:val="auto"/>
              </w:rPr>
            </w:pPr>
          </w:p>
        </w:tc>
        <w:tc>
          <w:tcPr>
            <w:tcW w:w="140" w:type="dxa"/>
            <w:vAlign w:val="bottom"/>
            <w:tcBorders>
              <w:top w:val="single" w:sz="8" w:color="E0E0E0"/>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112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(16,100</w:t>
            </w:r>
          </w:p>
        </w:tc>
        <w:tc>
          <w:tcPr>
            <w:tcW w:w="8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60" w:type="dxa"/>
            <w:vAlign w:val="bottom"/>
            <w:tcBorders>
              <w:top w:val="single" w:sz="8" w:color="E0E0E0"/>
            </w:tcBorders>
            <w:shd w:val="clear" w:color="auto" w:fill="E0E0E0"/>
          </w:tcPr>
          <w:p>
            <w:pPr>
              <w:spacing w:after="0"/>
              <w:rPr>
                <w:sz w:val="18"/>
                <w:szCs w:val="18"/>
                <w:color w:val="auto"/>
              </w:rPr>
            </w:pPr>
          </w:p>
        </w:tc>
        <w:tc>
          <w:tcPr>
            <w:tcW w:w="11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E0E0E0"/>
              </w:rPr>
              <w:t>$</w:t>
            </w:r>
          </w:p>
        </w:tc>
        <w:tc>
          <w:tcPr>
            <w:tcW w:w="290" w:type="dxa"/>
            <w:vAlign w:val="bottom"/>
            <w:tcBorders>
              <w:top w:val="single" w:sz="8" w:color="E0E0E0"/>
              <w:bottom w:val="single" w:sz="8" w:color="auto"/>
            </w:tcBorders>
            <w:shd w:val="clear" w:color="auto" w:fill="E0E0E0"/>
          </w:tcPr>
          <w:p>
            <w:pPr>
              <w:spacing w:after="0"/>
              <w:rPr>
                <w:sz w:val="18"/>
                <w:szCs w:val="18"/>
                <w:color w:val="auto"/>
              </w:rPr>
            </w:pPr>
          </w:p>
        </w:tc>
        <w:tc>
          <w:tcPr>
            <w:tcW w:w="860" w:type="dxa"/>
            <w:vAlign w:val="bottom"/>
            <w:tcBorders>
              <w:top w:val="single" w:sz="8" w:color="E0E0E0"/>
              <w:bottom w:val="single" w:sz="8" w:color="auto"/>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top w:val="single" w:sz="8" w:color="E0E0E0"/>
            </w:tcBorders>
            <w:shd w:val="clear" w:color="auto" w:fill="E0E0E0"/>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29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-1288415</wp:posOffset>
                </wp:positionV>
                <wp:extent cx="59436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4499pt" to="468pt,-101.4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-655955</wp:posOffset>
                </wp:positionV>
                <wp:extent cx="594360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6499pt" to="468pt,-51.6499pt" o:allowincell="f" strokecolor="#FFFFFF" strokeweight="0.72pt"/>
            </w:pict>
          </mc:Fallback>
        </mc:AlternateContent>
      </w:r>
    </w:p>
    <w:p>
      <w:pPr>
        <w:spacing w:after="0" w:line="200" w:lineRule="exact"/>
        <w:rPr>
          <w:sz w:val="20"/>
          <w:szCs w:val="20"/>
          <w:color w:val="auto"/>
        </w:rPr>
      </w:pPr>
    </w:p>
    <w:p>
      <w:pPr>
        <w:spacing w:after="0" w:line="266" w:lineRule="exact"/>
        <w:rPr>
          <w:sz w:val="20"/>
          <w:szCs w:val="20"/>
          <w:color w:val="auto"/>
        </w:rPr>
      </w:pPr>
    </w:p>
    <w:p>
      <w:pPr>
        <w:ind w:right="400" w:firstLine="619"/>
        <w:spacing w:after="0" w:line="278" w:lineRule="auto"/>
        <w:rPr>
          <w:sz w:val="20"/>
          <w:szCs w:val="20"/>
          <w:color w:val="auto"/>
        </w:rPr>
      </w:pPr>
      <w:r>
        <w:rPr>
          <w:rFonts w:ascii="Times New Roman" w:cs="Times New Roman" w:eastAsia="Times New Roman" w:hAnsi="Times New Roman"/>
          <w:sz w:val="20"/>
          <w:szCs w:val="20"/>
          <w:color w:val="auto"/>
        </w:rPr>
        <w:t>A reconciliation of the provision for income to the amount computed by applying the 21% statutory U.S federal income tax rate to income before income taxes after the adoption of ASU 2023-09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360"/>
          </w:cols>
          <w:pgMar w:left="1440" w:top="1420" w:right="1440" w:bottom="175" w:gutter="0" w:footer="0" w:header="0"/>
        </w:sectPr>
      </w:pPr>
    </w:p>
    <w:bookmarkStart w:id="126" w:name="page127"/>
    <w:bookmarkEnd w:id="126"/>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5"/>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180" w:type="dxa"/>
            <w:vAlign w:val="bottom"/>
          </w:tcPr>
          <w:p>
            <w:pPr>
              <w:spacing w:after="0"/>
              <w:rPr>
                <w:sz w:val="17"/>
                <w:szCs w:val="17"/>
                <w:color w:val="auto"/>
              </w:rPr>
            </w:pPr>
          </w:p>
        </w:tc>
      </w:tr>
      <w:tr>
        <w:trPr>
          <w:trHeight w:val="234"/>
        </w:trPr>
        <w:tc>
          <w:tcPr>
            <w:tcW w:w="6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33"/>
        </w:trPr>
        <w:tc>
          <w:tcPr>
            <w:tcW w:w="620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U.S. Federal Statutory Tax Rate</w:t>
            </w:r>
          </w:p>
        </w:tc>
        <w:tc>
          <w:tcPr>
            <w:tcW w:w="20" w:type="dxa"/>
            <w:vAlign w:val="bottom"/>
            <w:tcBorders>
              <w:top w:val="single" w:sz="8" w:color="DDDDDD"/>
            </w:tcBorders>
            <w:shd w:val="clear" w:color="auto" w:fill="DDDDDD"/>
          </w:tcPr>
          <w:p>
            <w:pPr>
              <w:spacing w:after="0"/>
              <w:rPr>
                <w:sz w:val="20"/>
                <w:szCs w:val="20"/>
                <w:color w:val="auto"/>
              </w:rPr>
            </w:pPr>
          </w:p>
        </w:tc>
        <w:tc>
          <w:tcPr>
            <w:tcW w:w="1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2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(16,782</w:t>
            </w:r>
          </w:p>
        </w:tc>
        <w:tc>
          <w:tcPr>
            <w:tcW w:w="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89"/>
              </w:rPr>
              <w:t>)</w:t>
            </w:r>
          </w:p>
        </w:tc>
        <w:tc>
          <w:tcPr>
            <w:tcW w:w="20" w:type="dxa"/>
            <w:vAlign w:val="bottom"/>
            <w:tcBorders>
              <w:top w:val="single" w:sz="8" w:color="DDDDDD"/>
            </w:tcBorders>
            <w:shd w:val="clear" w:color="auto" w:fill="DDDDDD"/>
          </w:tcPr>
          <w:p>
            <w:pPr>
              <w:spacing w:after="0"/>
              <w:rPr>
                <w:sz w:val="20"/>
                <w:szCs w:val="20"/>
                <w:color w:val="auto"/>
              </w:rPr>
            </w:pPr>
          </w:p>
        </w:tc>
        <w:tc>
          <w:tcPr>
            <w:tcW w:w="200" w:type="dxa"/>
            <w:vAlign w:val="bottom"/>
            <w:tcBorders>
              <w:top w:val="single" w:sz="8" w:color="auto"/>
            </w:tcBorders>
            <w:shd w:val="clear" w:color="auto" w:fill="DDDDDD"/>
          </w:tcPr>
          <w:p>
            <w:pPr>
              <w:spacing w:after="0"/>
              <w:rPr>
                <w:sz w:val="20"/>
                <w:szCs w:val="20"/>
                <w:color w:val="auto"/>
              </w:rPr>
            </w:pPr>
          </w:p>
        </w:tc>
        <w:tc>
          <w:tcPr>
            <w:tcW w:w="13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83"/>
              </w:rPr>
              <w:t>%</w:t>
            </w:r>
          </w:p>
        </w:tc>
      </w:tr>
      <w:tr>
        <w:trPr>
          <w:trHeight w:val="222"/>
        </w:trPr>
        <w:tc>
          <w:tcPr>
            <w:tcW w:w="620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State and Local Income Taxes, Net of Federal Income Tax Effect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(1,843</w:t>
            </w:r>
          </w:p>
        </w:tc>
        <w:tc>
          <w:tcPr>
            <w:tcW w:w="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highlight w:val="white"/>
                <w:w w:val="89"/>
              </w:rPr>
              <w:t>)</w:t>
            </w:r>
          </w:p>
        </w:tc>
        <w:tc>
          <w:tcPr>
            <w:tcW w:w="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highlight w:val="white"/>
                <w:w w:val="96"/>
              </w:rPr>
              <w:t>(a)</w:t>
            </w:r>
          </w:p>
        </w:tc>
        <w:tc>
          <w:tcPr>
            <w:tcW w:w="132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highlight w:val="white"/>
                <w:w w:val="83"/>
              </w:rPr>
              <w:t>%</w:t>
            </w:r>
          </w:p>
        </w:tc>
      </w:tr>
      <w:tr>
        <w:trPr>
          <w:trHeight w:val="23"/>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62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Foreign Tax Effect</w:t>
            </w:r>
          </w:p>
        </w:tc>
        <w:tc>
          <w:tcPr>
            <w:tcW w:w="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24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3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r>
      <w:tr>
        <w:trPr>
          <w:trHeight w:val="244"/>
        </w:trPr>
        <w:tc>
          <w:tcPr>
            <w:tcW w:w="62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Australia - statutory tax rate differential</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0 %</w:t>
            </w:r>
          </w:p>
        </w:tc>
      </w:tr>
      <w:tr>
        <w:trPr>
          <w:trHeight w:val="245"/>
        </w:trPr>
        <w:tc>
          <w:tcPr>
            <w:tcW w:w="62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(2,542</w:t>
            </w:r>
          </w:p>
        </w:tc>
        <w:tc>
          <w:tcPr>
            <w:tcW w:w="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89"/>
              </w:rPr>
              <w:t>)</w:t>
            </w:r>
          </w:p>
        </w:tc>
        <w:tc>
          <w:tcPr>
            <w:tcW w:w="2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83"/>
              </w:rPr>
              <w:t>%</w:t>
            </w:r>
          </w:p>
        </w:tc>
      </w:tr>
      <w:tr>
        <w:trPr>
          <w:trHeight w:val="244"/>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-1 %</w:t>
            </w:r>
          </w:p>
        </w:tc>
      </w:tr>
      <w:tr>
        <w:trPr>
          <w:trHeight w:val="244"/>
        </w:trPr>
        <w:tc>
          <w:tcPr>
            <w:tcW w:w="62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Change in unrecognized tax benefits</w:t>
            </w:r>
          </w:p>
        </w:tc>
        <w:tc>
          <w:tcPr>
            <w:tcW w:w="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8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83"/>
              </w:rPr>
              <w:t>%</w:t>
            </w:r>
          </w:p>
        </w:tc>
      </w:tr>
      <w:tr>
        <w:trPr>
          <w:trHeight w:val="269"/>
        </w:trPr>
        <w:tc>
          <w:tcPr>
            <w:tcW w:w="62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20" w:type="dxa"/>
            <w:vAlign w:val="bottom"/>
            <w:tcBorders>
              <w:bottom w:val="single" w:sz="8" w:color="DDDDDD"/>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17,252</w:t>
            </w:r>
          </w:p>
        </w:tc>
        <w:tc>
          <w:tcPr>
            <w:tcW w:w="8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3"/>
              </w:rPr>
              <w:t>%</w:t>
            </w:r>
          </w:p>
        </w:tc>
      </w:tr>
      <w:tr>
        <w:trPr>
          <w:trHeight w:val="245"/>
        </w:trPr>
        <w:tc>
          <w:tcPr>
            <w:tcW w:w="62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20" w:type="dxa"/>
            <w:vAlign w:val="bottom"/>
            <w:tcBorders>
              <w:bottom w:val="single" w:sz="8" w:color="auto"/>
            </w:tcBorders>
            <w:shd w:val="clear" w:color="auto" w:fill="DDDDDD"/>
          </w:tcPr>
          <w:p>
            <w:pPr>
              <w:spacing w:after="0"/>
              <w:rPr>
                <w:sz w:val="21"/>
                <w:szCs w:val="21"/>
                <w:color w:val="auto"/>
              </w:rPr>
            </w:pP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2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(2,172</w:t>
            </w:r>
          </w:p>
        </w:tc>
        <w:tc>
          <w:tcPr>
            <w:tcW w:w="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89"/>
              </w:rPr>
              <w:t>)</w:t>
            </w:r>
          </w:p>
        </w:tc>
        <w:tc>
          <w:tcPr>
            <w:tcW w:w="20" w:type="dxa"/>
            <w:vAlign w:val="bottom"/>
            <w:tcBorders>
              <w:bottom w:val="single" w:sz="8" w:color="auto"/>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1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83"/>
              </w:rPr>
              <w:t>%</w:t>
            </w:r>
          </w:p>
        </w:tc>
      </w:tr>
      <w:tr>
        <w:trPr>
          <w:trHeight w:val="20"/>
        </w:trPr>
        <w:tc>
          <w:tcPr>
            <w:tcW w:w="6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-1290955</wp:posOffset>
                </wp:positionV>
                <wp:extent cx="59436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6499pt" to="468pt,-101.6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-361950</wp:posOffset>
                </wp:positionV>
                <wp:extent cx="59436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4999pt" to="468pt,-28.4999pt" o:allowincell="f" strokecolor="#FFFFFF" strokeweight="0.7199pt"/>
            </w:pict>
          </mc:Fallback>
        </mc:AlternateContent>
      </w:r>
    </w:p>
    <w:p>
      <w:pPr>
        <w:spacing w:after="0" w:line="195" w:lineRule="exact"/>
        <w:rPr>
          <w:sz w:val="20"/>
          <w:szCs w:val="20"/>
          <w:color w:val="auto"/>
        </w:rPr>
      </w:pPr>
    </w:p>
    <w:p>
      <w:pPr>
        <w:ind w:right="240" w:firstLine="619"/>
        <w:spacing w:after="0" w:line="276" w:lineRule="auto"/>
        <w:tabs>
          <w:tab w:leader="none" w:pos="83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taxes in New Jersey made up the majority (greater than 50 percent) of the tax effect in this category, inclusive of the benefit from the sale of NOLs in 2025 under the New Jersey Technology Business Tax Certificate Transfer Program.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80" w:firstLine="619"/>
        <w:spacing w:after="0" w:line="259" w:lineRule="auto"/>
        <w:rPr>
          <w:sz w:val="20"/>
          <w:szCs w:val="20"/>
          <w:color w:val="auto"/>
        </w:rPr>
      </w:pPr>
      <w:r>
        <w:rPr>
          <w:rFonts w:ascii="Times New Roman" w:cs="Times New Roman" w:eastAsia="Times New Roman" w:hAnsi="Times New Roman"/>
          <w:sz w:val="20"/>
          <w:szCs w:val="20"/>
          <w:color w:val="auto"/>
        </w:rPr>
        <w:t>As previously disclosed for the years ended December 31, 2024 and 2023 prior to the adoption of ASU 2023-09, the following is a reconciliation of the difference between the effective income tax rate and federal statutory rate: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gridSpan w:val="7"/>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168"/>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top w:val="single" w:sz="8" w:color="auto"/>
            </w:tcBorders>
            <w:gridSpan w:val="3"/>
          </w:tcPr>
          <w:p>
            <w:pPr>
              <w:jc w:val="right"/>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63"/>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4"/>
                <w:szCs w:val="14"/>
                <w:color w:val="auto"/>
              </w:rPr>
            </w:pPr>
          </w:p>
        </w:tc>
      </w:tr>
      <w:tr>
        <w:trPr>
          <w:trHeight w:val="204"/>
        </w:trPr>
        <w:tc>
          <w:tcPr>
            <w:tcW w:w="6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3"/>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r>
      <w:tr>
        <w:trPr>
          <w:trHeight w:val="233"/>
        </w:trPr>
        <w:tc>
          <w:tcPr>
            <w:tcW w:w="622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Income tax provision at statutory rate</w:t>
            </w:r>
          </w:p>
        </w:tc>
        <w:tc>
          <w:tcPr>
            <w:tcW w:w="20" w:type="dxa"/>
            <w:vAlign w:val="bottom"/>
            <w:tcBorders>
              <w:top w:val="single" w:sz="8" w:color="DDDDDD"/>
            </w:tcBorders>
            <w:shd w:val="clear" w:color="auto" w:fill="DDDDDD"/>
          </w:tcPr>
          <w:p>
            <w:pPr>
              <w:spacing w:after="0"/>
              <w:rPr>
                <w:sz w:val="20"/>
                <w:szCs w:val="20"/>
                <w:color w:val="auto"/>
              </w:rPr>
            </w:pPr>
          </w:p>
        </w:tc>
        <w:tc>
          <w:tcPr>
            <w:tcW w:w="12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shd w:val="clear" w:color="auto" w:fill="DDDDDD"/>
          </w:tcPr>
          <w:p>
            <w:pPr>
              <w:spacing w:after="0"/>
              <w:rPr>
                <w:sz w:val="20"/>
                <w:szCs w:val="20"/>
                <w:color w:val="auto"/>
              </w:rPr>
            </w:pPr>
          </w:p>
        </w:tc>
        <w:tc>
          <w:tcPr>
            <w:tcW w:w="2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71"/>
              </w:rPr>
              <w:t>%</w:t>
            </w:r>
          </w:p>
        </w:tc>
        <w:tc>
          <w:tcPr>
            <w:tcW w:w="1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12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95"/>
              </w:rPr>
              <w:t>%</w:t>
            </w:r>
          </w:p>
        </w:tc>
      </w:tr>
      <w:tr>
        <w:trPr>
          <w:trHeight w:val="244"/>
        </w:trPr>
        <w:tc>
          <w:tcPr>
            <w:tcW w:w="6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income taxes, net of federal benefit</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5 %</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6 %</w:t>
            </w:r>
          </w:p>
        </w:tc>
      </w:tr>
      <w:tr>
        <w:trPr>
          <w:trHeight w:val="245"/>
        </w:trPr>
        <w:tc>
          <w:tcPr>
            <w:tcW w:w="62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0" w:type="dxa"/>
            <w:vAlign w:val="bottom"/>
            <w:shd w:val="clear" w:color="auto" w:fill="DDDDDD"/>
          </w:tcPr>
          <w:p>
            <w:pPr>
              <w:spacing w:after="0"/>
              <w:rPr>
                <w:sz w:val="21"/>
                <w:szCs w:val="21"/>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shd w:val="clear" w:color="auto" w:fill="DDDDDD"/>
          </w:tcPr>
          <w:p>
            <w:pPr>
              <w:spacing w:after="0"/>
              <w:rPr>
                <w:sz w:val="21"/>
                <w:szCs w:val="21"/>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71"/>
              </w:rPr>
              <w:t>%</w:t>
            </w:r>
          </w:p>
        </w:tc>
        <w:tc>
          <w:tcPr>
            <w:tcW w:w="1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95"/>
              </w:rPr>
              <w:t>%</w:t>
            </w:r>
          </w:p>
        </w:tc>
      </w:tr>
      <w:tr>
        <w:trPr>
          <w:trHeight w:val="244"/>
        </w:trPr>
        <w:tc>
          <w:tcPr>
            <w:tcW w:w="6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 compensation</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-3 %</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-1 %</w:t>
            </w:r>
          </w:p>
        </w:tc>
      </w:tr>
      <w:tr>
        <w:trPr>
          <w:trHeight w:val="244"/>
        </w:trPr>
        <w:tc>
          <w:tcPr>
            <w:tcW w:w="62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Executive compensation limitation</w:t>
            </w:r>
          </w:p>
        </w:tc>
        <w:tc>
          <w:tcPr>
            <w:tcW w:w="20" w:type="dxa"/>
            <w:vAlign w:val="bottom"/>
            <w:shd w:val="clear" w:color="auto" w:fill="DDDDDD"/>
          </w:tcPr>
          <w:p>
            <w:pPr>
              <w:spacing w:after="0"/>
              <w:rPr>
                <w:sz w:val="21"/>
                <w:szCs w:val="21"/>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shd w:val="clear" w:color="auto" w:fill="DDDDDD"/>
          </w:tcPr>
          <w:p>
            <w:pPr>
              <w:spacing w:after="0"/>
              <w:rPr>
                <w:sz w:val="21"/>
                <w:szCs w:val="21"/>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71"/>
              </w:rPr>
              <w:t>%</w:t>
            </w:r>
          </w:p>
        </w:tc>
        <w:tc>
          <w:tcPr>
            <w:tcW w:w="1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95"/>
              </w:rPr>
              <w:t>%</w:t>
            </w:r>
          </w:p>
        </w:tc>
      </w:tr>
      <w:tr>
        <w:trPr>
          <w:trHeight w:val="245"/>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sale of tax attributes</w:t>
            </w:r>
          </w:p>
        </w:tc>
        <w:tc>
          <w:tcPr>
            <w:tcW w:w="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1"/>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95"/>
              </w:rPr>
              <w:t>%</w:t>
            </w:r>
          </w:p>
        </w:tc>
      </w:tr>
      <w:tr>
        <w:trPr>
          <w:trHeight w:val="244"/>
        </w:trPr>
        <w:tc>
          <w:tcPr>
            <w:tcW w:w="62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Change in valuation allowance, excluding impact of the sale of tax</w:t>
            </w:r>
          </w:p>
        </w:tc>
        <w:tc>
          <w:tcPr>
            <w:tcW w:w="20" w:type="dxa"/>
            <w:vAlign w:val="bottom"/>
            <w:shd w:val="clear" w:color="auto" w:fill="DDDDDD"/>
          </w:tcPr>
          <w:p>
            <w:pPr>
              <w:spacing w:after="0"/>
              <w:rPr>
                <w:sz w:val="21"/>
                <w:szCs w:val="21"/>
                <w:color w:val="auto"/>
              </w:rPr>
            </w:pPr>
          </w:p>
        </w:tc>
        <w:tc>
          <w:tcPr>
            <w:tcW w:w="12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24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r>
      <w:tr>
        <w:trPr>
          <w:trHeight w:val="230"/>
        </w:trPr>
        <w:tc>
          <w:tcPr>
            <w:tcW w:w="62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attributes</w:t>
            </w:r>
          </w:p>
        </w:tc>
        <w:tc>
          <w:tcPr>
            <w:tcW w:w="20" w:type="dxa"/>
            <w:vAlign w:val="bottom"/>
            <w:shd w:val="clear" w:color="auto" w:fill="DDDDDD"/>
          </w:tcPr>
          <w:p>
            <w:pPr>
              <w:spacing w:after="0"/>
              <w:rPr>
                <w:sz w:val="20"/>
                <w:szCs w:val="20"/>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71"/>
              </w:rPr>
              <w:t>%</w:t>
            </w:r>
          </w:p>
        </w:tc>
        <w:tc>
          <w:tcPr>
            <w:tcW w:w="1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95"/>
              </w:rPr>
              <w:t>%</w:t>
            </w:r>
          </w:p>
        </w:tc>
      </w:tr>
      <w:tr>
        <w:trPr>
          <w:trHeight w:val="236"/>
        </w:trPr>
        <w:tc>
          <w:tcPr>
            <w:tcW w:w="6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r>
        <w:trPr>
          <w:trHeight w:val="20"/>
        </w:trPr>
        <w:tc>
          <w:tcPr>
            <w:tcW w:w="6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-640715</wp:posOffset>
                </wp:positionV>
                <wp:extent cx="594360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4499pt" to="468pt,-50.4499pt" o:allowincell="f" strokecolor="#FFFFFF" strokeweight="0.72pt"/>
            </w:pict>
          </mc:Fallback>
        </mc:AlternateContent>
      </w:r>
    </w:p>
    <w:p>
      <w:pPr>
        <w:spacing w:after="0" w:line="200" w:lineRule="exact"/>
        <w:rPr>
          <w:sz w:val="20"/>
          <w:szCs w:val="20"/>
          <w:color w:val="auto"/>
        </w:rPr>
      </w:pPr>
    </w:p>
    <w:p>
      <w:pPr>
        <w:spacing w:after="0" w:line="220" w:lineRule="exact"/>
        <w:rPr>
          <w:sz w:val="20"/>
          <w:szCs w:val="20"/>
          <w:color w:val="auto"/>
        </w:rPr>
      </w:pPr>
    </w:p>
    <w:p>
      <w:pPr>
        <w:ind w:right="80" w:firstLine="619"/>
        <w:spacing w:after="0" w:line="245" w:lineRule="auto"/>
        <w:rPr>
          <w:sz w:val="20"/>
          <w:szCs w:val="20"/>
          <w:color w:val="auto"/>
        </w:rPr>
      </w:pPr>
      <w:r>
        <w:rPr>
          <w:rFonts w:ascii="Times New Roman" w:cs="Times New Roman" w:eastAsia="Times New Roman" w:hAnsi="Times New Roman"/>
          <w:sz w:val="20"/>
          <w:szCs w:val="20"/>
          <w:color w:val="auto"/>
        </w:rPr>
        <w:t>For the years ended December 31, 2025 and 2024, the Company generated a state tax benefit from the sale of net operating losses (“NOLs”) under the New Jersey Technology Business Tax Certificate Transfer Program. For the years ended December 31, 2025 and 2024, the Company’s effective tax rate was 3% and 21%, respectively, primarily due to the income tax benefit recognized for the sale of state tax attributes and the Company’s position to establish a full valuation allowance on its deferred tax assets. For the year ending December 31, 2023, the Company’s effective tax rate was below the federal statutory income tax rate of 21% primarily due to state income taxes, net of federal benefit and the Company’s position to establish a full valuation allowance on its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360"/>
          </w:cols>
          <w:pgMar w:left="1440" w:top="1440" w:right="1440" w:bottom="175" w:gutter="0" w:footer="0" w:header="0"/>
        </w:sectPr>
      </w:pPr>
    </w:p>
    <w:bookmarkStart w:id="127" w:name="page128"/>
    <w:bookmarkEnd w:id="127"/>
    <w:p>
      <w:pPr>
        <w:spacing w:after="0" w:line="210" w:lineRule="exact"/>
        <w:rPr>
          <w:sz w:val="20"/>
          <w:szCs w:val="20"/>
          <w:color w:val="auto"/>
        </w:rPr>
      </w:pPr>
    </w:p>
    <w:p>
      <w:pPr>
        <w:ind w:right="700" w:firstLine="619"/>
        <w:spacing w:after="0" w:line="278" w:lineRule="auto"/>
        <w:rPr>
          <w:sz w:val="20"/>
          <w:szCs w:val="20"/>
          <w:color w:val="auto"/>
        </w:rPr>
      </w:pPr>
      <w:r>
        <w:rPr>
          <w:rFonts w:ascii="Times New Roman" w:cs="Times New Roman" w:eastAsia="Times New Roman" w:hAnsi="Times New Roman"/>
          <w:sz w:val="20"/>
          <w:szCs w:val="20"/>
          <w:color w:val="auto"/>
        </w:rPr>
        <w:t>The tax effect of temporary differences and carryforwards that give rise to significant portions of the deferred tax assets and liabilities are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88"/>
        </w:trPr>
        <w:tc>
          <w:tcPr>
            <w:tcW w:w="6500" w:type="dxa"/>
            <w:vAlign w:val="bottom"/>
            <w:tcBorders>
              <w:bottom w:val="single" w:sz="8" w:color="DDDDDD"/>
            </w:tcBorders>
            <w:vMerge w:val="continue"/>
          </w:tcPr>
          <w:p>
            <w:pPr>
              <w:spacing w:after="0"/>
              <w:rPr>
                <w:sz w:val="16"/>
                <w:szCs w:val="16"/>
                <w:color w:val="auto"/>
              </w:rPr>
            </w:pPr>
          </w:p>
        </w:tc>
        <w:tc>
          <w:tcPr>
            <w:tcW w:w="180" w:type="dxa"/>
            <w:vAlign w:val="bottom"/>
            <w:tcBorders>
              <w:bottom w:val="single" w:sz="8" w:color="DDDDDD"/>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DDDDDD"/>
            </w:tcBorders>
          </w:tcPr>
          <w:p>
            <w:pPr>
              <w:spacing w:after="0"/>
              <w:rPr>
                <w:sz w:val="16"/>
                <w:szCs w:val="16"/>
                <w:color w:val="auto"/>
              </w:rPr>
            </w:pPr>
          </w:p>
        </w:tc>
        <w:tc>
          <w:tcPr>
            <w:tcW w:w="160" w:type="dxa"/>
            <w:vAlign w:val="bottom"/>
            <w:tcBorders>
              <w:top w:val="single" w:sz="8" w:color="auto"/>
              <w:bottom w:val="single" w:sz="8" w:color="DDDDDD"/>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DDDDD"/>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80" w:type="dxa"/>
            <w:vAlign w:val="bottom"/>
            <w:tcBorders>
              <w:right w:val="single" w:sz="8" w:color="DDDDDD"/>
            </w:tcBorders>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080" w:type="dxa"/>
            <w:vAlign w:val="bottom"/>
            <w:shd w:val="clear" w:color="auto" w:fill="DDDDDD"/>
          </w:tcPr>
          <w:p>
            <w:pPr>
              <w:spacing w:after="0"/>
              <w:rPr>
                <w:sz w:val="20"/>
                <w:szCs w:val="20"/>
                <w:color w:val="auto"/>
              </w:rPr>
            </w:pPr>
          </w:p>
        </w:tc>
        <w:tc>
          <w:tcPr>
            <w:tcW w:w="100" w:type="dxa"/>
            <w:vAlign w:val="bottom"/>
            <w:tcBorders>
              <w:right w:val="single" w:sz="8" w:color="DDDDDD"/>
            </w:tcBorders>
            <w:shd w:val="clear" w:color="auto" w:fill="DDDDDD"/>
          </w:tcPr>
          <w:p>
            <w:pPr>
              <w:spacing w:after="0"/>
              <w:rPr>
                <w:sz w:val="20"/>
                <w:szCs w:val="20"/>
                <w:color w:val="auto"/>
              </w:rPr>
            </w:pPr>
          </w:p>
        </w:tc>
        <w:tc>
          <w:tcPr>
            <w:tcW w:w="160" w:type="dxa"/>
            <w:vAlign w:val="bottom"/>
            <w:tcBorders>
              <w:right w:val="single" w:sz="8" w:color="DDDDDD"/>
            </w:tcBorders>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08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68,592</w:t>
            </w:r>
          </w:p>
        </w:tc>
        <w:tc>
          <w:tcPr>
            <w:tcW w:w="100" w:type="dxa"/>
            <w:vAlign w:val="bottom"/>
          </w:tcPr>
          <w:p>
            <w:pPr>
              <w:spacing w:after="0"/>
              <w:rPr>
                <w:sz w:val="21"/>
                <w:szCs w:val="21"/>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0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Stock compensation</w:t>
            </w:r>
          </w:p>
        </w:tc>
        <w:tc>
          <w:tcPr>
            <w:tcW w:w="180" w:type="dxa"/>
            <w:vAlign w:val="bottom"/>
            <w:tcBorders>
              <w:right w:val="single" w:sz="8" w:color="DDDDDD"/>
            </w:tcBorders>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3,681</w:t>
            </w:r>
          </w:p>
        </w:tc>
        <w:tc>
          <w:tcPr>
            <w:tcW w:w="100" w:type="dxa"/>
            <w:vAlign w:val="bottom"/>
            <w:tcBorders>
              <w:right w:val="single" w:sz="8" w:color="DDDDDD"/>
            </w:tcBorders>
            <w:shd w:val="clear" w:color="auto" w:fill="DDDDDD"/>
          </w:tcPr>
          <w:p>
            <w:pPr>
              <w:spacing w:after="0"/>
              <w:rPr>
                <w:sz w:val="21"/>
                <w:szCs w:val="21"/>
                <w:color w:val="auto"/>
              </w:rPr>
            </w:pPr>
          </w:p>
        </w:tc>
        <w:tc>
          <w:tcPr>
            <w:tcW w:w="160" w:type="dxa"/>
            <w:vAlign w:val="bottom"/>
            <w:tcBorders>
              <w:right w:val="single" w:sz="8" w:color="DDDDDD"/>
            </w:tcBorders>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3,610</w:t>
            </w:r>
          </w:p>
        </w:tc>
        <w:tc>
          <w:tcPr>
            <w:tcW w:w="8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Capitalized research expenditures</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32,514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0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180" w:type="dxa"/>
            <w:vAlign w:val="bottom"/>
            <w:tcBorders>
              <w:right w:val="single" w:sz="8" w:color="DDDDDD"/>
            </w:tcBorders>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11,788</w:t>
            </w:r>
          </w:p>
        </w:tc>
        <w:tc>
          <w:tcPr>
            <w:tcW w:w="100" w:type="dxa"/>
            <w:vAlign w:val="bottom"/>
            <w:tcBorders>
              <w:right w:val="single" w:sz="8" w:color="DDDDDD"/>
            </w:tcBorders>
            <w:shd w:val="clear" w:color="auto" w:fill="DDDDDD"/>
          </w:tcPr>
          <w:p>
            <w:pPr>
              <w:spacing w:after="0"/>
              <w:rPr>
                <w:sz w:val="21"/>
                <w:szCs w:val="21"/>
                <w:color w:val="auto"/>
              </w:rPr>
            </w:pPr>
          </w:p>
        </w:tc>
        <w:tc>
          <w:tcPr>
            <w:tcW w:w="160" w:type="dxa"/>
            <w:vAlign w:val="bottom"/>
            <w:tcBorders>
              <w:right w:val="single" w:sz="8" w:color="DDDDDD"/>
            </w:tcBorders>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9,554</w:t>
            </w:r>
          </w:p>
        </w:tc>
        <w:tc>
          <w:tcPr>
            <w:tcW w:w="8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 and other</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500" w:type="dxa"/>
            <w:vAlign w:val="bottom"/>
            <w:tcBorders>
              <w:bottom w:val="single" w:sz="8" w:color="DDDDDD"/>
            </w:tcBorders>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80" w:type="dxa"/>
            <w:vAlign w:val="bottom"/>
            <w:tcBorders>
              <w:bottom w:val="single" w:sz="8" w:color="DDDDDD"/>
              <w:right w:val="single" w:sz="8" w:color="DDDDDD"/>
            </w:tcBorders>
            <w:shd w:val="clear" w:color="auto" w:fill="DDDDDD"/>
          </w:tcPr>
          <w:p>
            <w:pPr>
              <w:spacing w:after="0"/>
              <w:rPr>
                <w:sz w:val="23"/>
                <w:szCs w:val="23"/>
                <w:color w:val="auto"/>
              </w:rPr>
            </w:pPr>
          </w:p>
        </w:tc>
        <w:tc>
          <w:tcPr>
            <w:tcW w:w="80" w:type="dxa"/>
            <w:vAlign w:val="bottom"/>
            <w:tcBorders>
              <w:bottom w:val="single" w:sz="8" w:color="auto"/>
            </w:tcBorders>
            <w:shd w:val="clear" w:color="auto" w:fill="DDDDDD"/>
          </w:tcPr>
          <w:p>
            <w:pPr>
              <w:spacing w:after="0"/>
              <w:rPr>
                <w:sz w:val="23"/>
                <w:szCs w:val="23"/>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100" w:type="dxa"/>
            <w:vAlign w:val="bottom"/>
            <w:tcBorders>
              <w:bottom w:val="single" w:sz="8" w:color="DDDDDD"/>
              <w:right w:val="single" w:sz="8" w:color="DDDDDD"/>
            </w:tcBorders>
            <w:shd w:val="clear" w:color="auto" w:fill="DDDDDD"/>
          </w:tcPr>
          <w:p>
            <w:pPr>
              <w:spacing w:after="0"/>
              <w:rPr>
                <w:sz w:val="23"/>
                <w:szCs w:val="23"/>
                <w:color w:val="auto"/>
              </w:rPr>
            </w:pPr>
          </w:p>
        </w:tc>
        <w:tc>
          <w:tcPr>
            <w:tcW w:w="160" w:type="dxa"/>
            <w:vAlign w:val="bottom"/>
            <w:tcBorders>
              <w:bottom w:val="single" w:sz="8" w:color="DDDDDD"/>
              <w:right w:val="single" w:sz="8" w:color="DDDDDD"/>
            </w:tcBorders>
            <w:shd w:val="clear" w:color="auto" w:fill="DDDDDD"/>
          </w:tcPr>
          <w:p>
            <w:pPr>
              <w:spacing w:after="0"/>
              <w:rPr>
                <w:sz w:val="23"/>
                <w:szCs w:val="23"/>
                <w:color w:val="auto"/>
              </w:rPr>
            </w:pPr>
          </w:p>
        </w:tc>
        <w:tc>
          <w:tcPr>
            <w:tcW w:w="100" w:type="dxa"/>
            <w:vAlign w:val="bottom"/>
            <w:tcBorders>
              <w:bottom w:val="single" w:sz="8" w:color="auto"/>
            </w:tcBorders>
            <w:shd w:val="clear" w:color="auto" w:fill="DDDDDD"/>
          </w:tcPr>
          <w:p>
            <w:pPr>
              <w:spacing w:after="0"/>
              <w:rPr>
                <w:sz w:val="23"/>
                <w:szCs w:val="23"/>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8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500" w:type="dxa"/>
            <w:vAlign w:val="bottom"/>
          </w:tcPr>
          <w:p>
            <w:pPr>
              <w:spacing w:after="0" w:line="213" w:lineRule="exact"/>
              <w:rPr>
                <w:sz w:val="20"/>
                <w:szCs w:val="20"/>
                <w:color w:val="auto"/>
              </w:rPr>
            </w:pPr>
            <w:r>
              <w:rPr>
                <w:rFonts w:ascii="Times New Roman" w:cs="Times New Roman" w:eastAsia="Times New Roman" w:hAnsi="Times New Roman"/>
                <w:sz w:val="20"/>
                <w:szCs w:val="20"/>
                <w:color w:val="auto"/>
              </w:rPr>
              <w:t>Total deferred tax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117,807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auto"/>
              </w:rPr>
              <w:t>96,975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650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80" w:type="dxa"/>
            <w:vAlign w:val="bottom"/>
            <w:tcBorders>
              <w:bottom w:val="single" w:sz="8" w:color="DDDDDD"/>
              <w:right w:val="single" w:sz="8" w:color="DDDDDD"/>
            </w:tcBorders>
            <w:shd w:val="clear" w:color="auto" w:fill="DDDDDD"/>
          </w:tcPr>
          <w:p>
            <w:pPr>
              <w:spacing w:after="0"/>
              <w:rPr>
                <w:sz w:val="23"/>
                <w:szCs w:val="23"/>
                <w:color w:val="auto"/>
              </w:rPr>
            </w:pPr>
          </w:p>
        </w:tc>
        <w:tc>
          <w:tcPr>
            <w:tcW w:w="80" w:type="dxa"/>
            <w:vAlign w:val="bottom"/>
            <w:tcBorders>
              <w:bottom w:val="single" w:sz="8" w:color="auto"/>
            </w:tcBorders>
            <w:shd w:val="clear" w:color="auto" w:fill="DDDDDD"/>
          </w:tcPr>
          <w:p>
            <w:pPr>
              <w:spacing w:after="0"/>
              <w:rPr>
                <w:sz w:val="23"/>
                <w:szCs w:val="23"/>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(117,542</w:t>
            </w:r>
          </w:p>
        </w:tc>
        <w:tc>
          <w:tcPr>
            <w:tcW w:w="100" w:type="dxa"/>
            <w:vAlign w:val="bottom"/>
            <w:tcBorders>
              <w:bottom w:val="single" w:sz="8" w:color="DDDDDD"/>
              <w:right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89"/>
              </w:rPr>
              <w:t>)</w:t>
            </w:r>
          </w:p>
        </w:tc>
        <w:tc>
          <w:tcPr>
            <w:tcW w:w="160" w:type="dxa"/>
            <w:vAlign w:val="bottom"/>
            <w:tcBorders>
              <w:bottom w:val="single" w:sz="8" w:color="DDDDDD"/>
              <w:right w:val="single" w:sz="8" w:color="DDDDDD"/>
            </w:tcBorders>
            <w:shd w:val="clear" w:color="auto" w:fill="DDDDDD"/>
          </w:tcPr>
          <w:p>
            <w:pPr>
              <w:spacing w:after="0"/>
              <w:rPr>
                <w:sz w:val="23"/>
                <w:szCs w:val="23"/>
                <w:color w:val="auto"/>
              </w:rPr>
            </w:pPr>
          </w:p>
        </w:tc>
        <w:tc>
          <w:tcPr>
            <w:tcW w:w="100" w:type="dxa"/>
            <w:vAlign w:val="bottom"/>
            <w:tcBorders>
              <w:bottom w:val="single" w:sz="8" w:color="auto"/>
            </w:tcBorders>
            <w:shd w:val="clear" w:color="auto" w:fill="DDDDDD"/>
          </w:tcPr>
          <w:p>
            <w:pPr>
              <w:spacing w:after="0"/>
              <w:rPr>
                <w:sz w:val="23"/>
                <w:szCs w:val="23"/>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(96,606</w:t>
            </w:r>
          </w:p>
        </w:tc>
        <w:tc>
          <w:tcPr>
            <w:tcW w:w="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0" w:type="dxa"/>
            <w:vAlign w:val="bottom"/>
          </w:tcPr>
          <w:p>
            <w:pPr>
              <w:spacing w:after="0"/>
              <w:rPr>
                <w:sz w:val="1"/>
                <w:szCs w:val="1"/>
                <w:color w:val="auto"/>
              </w:rPr>
            </w:pPr>
          </w:p>
        </w:tc>
      </w:tr>
      <w:tr>
        <w:trPr>
          <w:trHeight w:val="213"/>
        </w:trPr>
        <w:tc>
          <w:tcPr>
            <w:tcW w:w="6500" w:type="dxa"/>
            <w:vAlign w:val="bottom"/>
            <w:tcBorders>
              <w:bottom w:val="single" w:sz="8" w:color="DDDDDD"/>
            </w:tcBorders>
          </w:tcPr>
          <w:p>
            <w:pPr>
              <w:spacing w:after="0" w:line="213" w:lineRule="exact"/>
              <w:rPr>
                <w:sz w:val="20"/>
                <w:szCs w:val="20"/>
                <w:color w:val="auto"/>
              </w:rPr>
            </w:pPr>
            <w:r>
              <w:rPr>
                <w:rFonts w:ascii="Times New Roman" w:cs="Times New Roman" w:eastAsia="Times New Roman" w:hAnsi="Times New Roman"/>
                <w:sz w:val="20"/>
                <w:szCs w:val="20"/>
                <w:color w:val="auto"/>
              </w:rPr>
              <w:t>Deferred tax assets recognized</w:t>
            </w:r>
          </w:p>
        </w:tc>
        <w:tc>
          <w:tcPr>
            <w:tcW w:w="180" w:type="dxa"/>
            <w:vAlign w:val="bottom"/>
            <w:tcBorders>
              <w:bottom w:val="single" w:sz="8" w:color="DDDDDD"/>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265</w:t>
            </w:r>
          </w:p>
        </w:tc>
        <w:tc>
          <w:tcPr>
            <w:tcW w:w="100" w:type="dxa"/>
            <w:vAlign w:val="bottom"/>
            <w:tcBorders>
              <w:bottom w:val="single" w:sz="8" w:color="DDDDDD"/>
            </w:tcBorders>
          </w:tcPr>
          <w:p>
            <w:pPr>
              <w:spacing w:after="0"/>
              <w:rPr>
                <w:sz w:val="18"/>
                <w:szCs w:val="18"/>
                <w:color w:val="auto"/>
              </w:rPr>
            </w:pPr>
          </w:p>
        </w:tc>
        <w:tc>
          <w:tcPr>
            <w:tcW w:w="160" w:type="dxa"/>
            <w:vAlign w:val="bottom"/>
            <w:tcBorders>
              <w:bottom w:val="single" w:sz="8" w:color="DDDDDD"/>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369</w:t>
            </w:r>
          </w:p>
        </w:tc>
        <w:tc>
          <w:tcPr>
            <w:tcW w:w="80" w:type="dxa"/>
            <w:vAlign w:val="bottom"/>
            <w:tcBorders>
              <w:bottom w:val="single" w:sz="8" w:color="DDDDDD"/>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80" w:type="dxa"/>
            <w:vAlign w:val="bottom"/>
            <w:tcBorders>
              <w:right w:val="single" w:sz="8" w:color="DDDDDD"/>
            </w:tcBorders>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080" w:type="dxa"/>
            <w:vAlign w:val="bottom"/>
            <w:shd w:val="clear" w:color="auto" w:fill="DDDDDD"/>
          </w:tcPr>
          <w:p>
            <w:pPr>
              <w:spacing w:after="0"/>
              <w:rPr>
                <w:sz w:val="20"/>
                <w:szCs w:val="20"/>
                <w:color w:val="auto"/>
              </w:rPr>
            </w:pPr>
          </w:p>
        </w:tc>
        <w:tc>
          <w:tcPr>
            <w:tcW w:w="100" w:type="dxa"/>
            <w:vAlign w:val="bottom"/>
            <w:tcBorders>
              <w:right w:val="single" w:sz="8" w:color="DDDDDD"/>
            </w:tcBorders>
            <w:shd w:val="clear" w:color="auto" w:fill="DDDDDD"/>
          </w:tcPr>
          <w:p>
            <w:pPr>
              <w:spacing w:after="0"/>
              <w:rPr>
                <w:sz w:val="20"/>
                <w:szCs w:val="20"/>
                <w:color w:val="auto"/>
              </w:rPr>
            </w:pPr>
          </w:p>
        </w:tc>
        <w:tc>
          <w:tcPr>
            <w:tcW w:w="160" w:type="dxa"/>
            <w:vAlign w:val="bottom"/>
            <w:tcBorders>
              <w:right w:val="single" w:sz="8" w:color="DDDDDD"/>
            </w:tcBorders>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08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Right-of-use assets</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(238 )</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(325 )</w:t>
            </w:r>
          </w:p>
        </w:tc>
        <w:tc>
          <w:tcPr>
            <w:tcW w:w="0" w:type="dxa"/>
            <w:vAlign w:val="bottom"/>
          </w:tcPr>
          <w:p>
            <w:pPr>
              <w:spacing w:after="0"/>
              <w:rPr>
                <w:sz w:val="1"/>
                <w:szCs w:val="1"/>
                <w:color w:val="auto"/>
              </w:rPr>
            </w:pPr>
          </w:p>
        </w:tc>
      </w:tr>
      <w:tr>
        <w:trPr>
          <w:trHeight w:val="245"/>
        </w:trPr>
        <w:tc>
          <w:tcPr>
            <w:tcW w:w="650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Fixed assets and depreciation</w:t>
            </w:r>
          </w:p>
        </w:tc>
        <w:tc>
          <w:tcPr>
            <w:tcW w:w="180" w:type="dxa"/>
            <w:vAlign w:val="bottom"/>
            <w:tcBorders>
              <w:right w:val="single" w:sz="8" w:color="DDDDDD"/>
            </w:tcBorders>
            <w:shd w:val="clear" w:color="auto" w:fill="DDDDDD"/>
          </w:tcPr>
          <w:p>
            <w:pPr>
              <w:spacing w:after="0"/>
              <w:rPr>
                <w:sz w:val="21"/>
                <w:szCs w:val="21"/>
                <w:color w:val="auto"/>
              </w:rPr>
            </w:pPr>
          </w:p>
        </w:tc>
        <w:tc>
          <w:tcPr>
            <w:tcW w:w="80" w:type="dxa"/>
            <w:vAlign w:val="bottom"/>
            <w:tcBorders>
              <w:bottom w:val="single" w:sz="8" w:color="auto"/>
            </w:tcBorders>
            <w:shd w:val="clear" w:color="auto" w:fill="DDDDDD"/>
          </w:tcPr>
          <w:p>
            <w:pPr>
              <w:spacing w:after="0"/>
              <w:rPr>
                <w:sz w:val="21"/>
                <w:szCs w:val="21"/>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00" w:type="dxa"/>
            <w:vAlign w:val="bottom"/>
            <w:tcBorders>
              <w:right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89"/>
              </w:rPr>
              <w:t>)</w:t>
            </w:r>
          </w:p>
        </w:tc>
        <w:tc>
          <w:tcPr>
            <w:tcW w:w="160" w:type="dxa"/>
            <w:vAlign w:val="bottom"/>
            <w:tcBorders>
              <w:right w:val="single" w:sz="8" w:color="DDDDDD"/>
            </w:tcBorders>
            <w:shd w:val="clear" w:color="auto" w:fill="DDDDDD"/>
          </w:tcPr>
          <w:p>
            <w:pPr>
              <w:spacing w:after="0"/>
              <w:rPr>
                <w:sz w:val="21"/>
                <w:szCs w:val="21"/>
                <w:color w:val="auto"/>
              </w:rPr>
            </w:pPr>
          </w:p>
        </w:tc>
        <w:tc>
          <w:tcPr>
            <w:tcW w:w="100" w:type="dxa"/>
            <w:vAlign w:val="bottom"/>
            <w:tcBorders>
              <w:bottom w:val="single" w:sz="8" w:color="auto"/>
            </w:tcBorders>
            <w:shd w:val="clear" w:color="auto" w:fill="DDDDDD"/>
          </w:tcPr>
          <w:p>
            <w:pPr>
              <w:spacing w:after="0"/>
              <w:rPr>
                <w:sz w:val="21"/>
                <w:szCs w:val="21"/>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highlight w:val="lightGray"/>
                <w:w w:val="74"/>
              </w:rPr>
              <w:t>)</w:t>
            </w:r>
          </w:p>
        </w:tc>
        <w:tc>
          <w:tcPr>
            <w:tcW w:w="0" w:type="dxa"/>
            <w:vAlign w:val="bottom"/>
          </w:tcPr>
          <w:p>
            <w:pPr>
              <w:spacing w:after="0"/>
              <w:rPr>
                <w:sz w:val="1"/>
                <w:szCs w:val="1"/>
                <w:color w:val="auto"/>
              </w:rPr>
            </w:pPr>
          </w:p>
        </w:tc>
      </w:tr>
      <w:tr>
        <w:trPr>
          <w:trHeight w:val="233"/>
        </w:trPr>
        <w:tc>
          <w:tcPr>
            <w:tcW w:w="65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180" w:type="dxa"/>
            <w:vAlign w:val="bottom"/>
            <w:tcBorders>
              <w:bottom w:val="single" w:sz="8" w:color="DDDDDD"/>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10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160" w:type="dxa"/>
            <w:vAlign w:val="bottom"/>
            <w:tcBorders>
              <w:bottom w:val="single" w:sz="8" w:color="DDDDDD"/>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(369</w:t>
            </w:r>
          </w:p>
        </w:tc>
        <w:tc>
          <w:tcPr>
            <w:tcW w:w="80" w:type="dxa"/>
            <w:vAlign w:val="bottom"/>
            <w:tcBorders>
              <w:bottom w:val="single" w:sz="8" w:color="E0E0E0"/>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5"/>
        </w:trPr>
        <w:tc>
          <w:tcPr>
            <w:tcW w:w="65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180" w:type="dxa"/>
            <w:vAlign w:val="bottom"/>
            <w:tcBorders>
              <w:right w:val="single" w:sz="8" w:color="DDDDDD"/>
            </w:tcBorders>
            <w:shd w:val="clear" w:color="auto" w:fill="DDDDDD"/>
          </w:tcPr>
          <w:p>
            <w:pPr>
              <w:spacing w:after="0"/>
              <w:rPr>
                <w:sz w:val="20"/>
                <w:szCs w:val="20"/>
                <w:color w:val="auto"/>
              </w:rPr>
            </w:pPr>
          </w:p>
        </w:tc>
        <w:tc>
          <w:tcPr>
            <w:tcW w:w="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0E0E0"/>
              </w:rPr>
              <w:t>$</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E0E0E0"/>
            </w:tcBorders>
            <w:shd w:val="clear" w:color="auto" w:fill="E0E0E0"/>
          </w:tcPr>
          <w:p>
            <w:pPr>
              <w:spacing w:after="0"/>
              <w:rPr>
                <w:sz w:val="20"/>
                <w:szCs w:val="20"/>
                <w:color w:val="auto"/>
              </w:rPr>
            </w:pPr>
          </w:p>
        </w:tc>
        <w:tc>
          <w:tcPr>
            <w:tcW w:w="160" w:type="dxa"/>
            <w:vAlign w:val="bottom"/>
            <w:tcBorders>
              <w:right w:val="single" w:sz="8" w:color="DDDDDD"/>
            </w:tcBorders>
            <w:shd w:val="clear" w:color="auto" w:fill="DDDDDD"/>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w w:val="88"/>
                <w:shd w:val="clear" w:color="auto" w:fill="E0E0E0"/>
              </w:rPr>
              <w:t>$</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-1913890</wp:posOffset>
                </wp:positionV>
                <wp:extent cx="59436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6999pt" to="468pt,-150.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-1604645</wp:posOffset>
                </wp:positionV>
                <wp:extent cx="59436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6.3499pt" to="468pt,-126.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4981575</wp:posOffset>
                </wp:positionH>
                <wp:positionV relativeFrom="paragraph">
                  <wp:posOffset>-1291590</wp:posOffset>
                </wp:positionV>
                <wp:extent cx="15494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94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25pt,-101.6999pt" to="404.45pt,-101.69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4981575</wp:posOffset>
                </wp:positionH>
                <wp:positionV relativeFrom="paragraph">
                  <wp:posOffset>-975360</wp:posOffset>
                </wp:positionV>
                <wp:extent cx="15494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94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25pt,-76.7999pt" to="404.45pt,-76.79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-655955</wp:posOffset>
                </wp:positionV>
                <wp:extent cx="594360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6499pt" to="468pt,-51.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4981575</wp:posOffset>
                </wp:positionH>
                <wp:positionV relativeFrom="paragraph">
                  <wp:posOffset>-342900</wp:posOffset>
                </wp:positionV>
                <wp:extent cx="15494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94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25pt,-27pt" to="404.45pt,-27pt" o:allowincell="f" strokecolor="#FFFFFF" strokeweight="1.2pt"/>
            </w:pict>
          </mc:Fallback>
        </mc:AlternateContent>
      </w:r>
    </w:p>
    <w:p>
      <w:pPr>
        <w:spacing w:after="0" w:line="237" w:lineRule="exact"/>
        <w:rPr>
          <w:sz w:val="20"/>
          <w:szCs w:val="20"/>
          <w:color w:val="auto"/>
        </w:rPr>
      </w:pPr>
    </w:p>
    <w:p>
      <w:pPr>
        <w:ind w:right="240" w:firstLine="619"/>
        <w:spacing w:after="0" w:line="278" w:lineRule="auto"/>
        <w:rPr>
          <w:sz w:val="20"/>
          <w:szCs w:val="20"/>
          <w:color w:val="auto"/>
        </w:rPr>
      </w:pPr>
      <w:r>
        <w:rPr>
          <w:rFonts w:ascii="Times New Roman" w:cs="Times New Roman" w:eastAsia="Times New Roman" w:hAnsi="Times New Roman"/>
          <w:sz w:val="20"/>
          <w:szCs w:val="20"/>
          <w:color w:val="auto"/>
        </w:rPr>
        <w:t>The Company has recorded a valuation allowance for its deferred tax assets that it does not believe will be realizable at a more likely than not level based on analysis of all available sources of taxable income.</w:t>
      </w:r>
    </w:p>
    <w:p>
      <w:pPr>
        <w:spacing w:after="0" w:line="167" w:lineRule="exact"/>
        <w:rPr>
          <w:sz w:val="20"/>
          <w:szCs w:val="20"/>
          <w:color w:val="auto"/>
        </w:rPr>
      </w:pPr>
    </w:p>
    <w:p>
      <w:pPr>
        <w:ind w:right="100" w:firstLine="619"/>
        <w:spacing w:after="0" w:line="243" w:lineRule="auto"/>
        <w:rPr>
          <w:sz w:val="20"/>
          <w:szCs w:val="20"/>
          <w:color w:val="auto"/>
        </w:rPr>
      </w:pPr>
      <w:r>
        <w:rPr>
          <w:rFonts w:ascii="Times New Roman" w:cs="Times New Roman" w:eastAsia="Times New Roman" w:hAnsi="Times New Roman"/>
          <w:sz w:val="20"/>
          <w:szCs w:val="20"/>
          <w:color w:val="auto"/>
        </w:rPr>
        <w:t>As of December 31, 2025 and 2024, the Company had federal net operating loss carryforwards of $289,964 and $214,652, respectively. As of December 31, 2025, the Company had state net operating loss carryforwards for New Jersey, California, Massachusetts, and Arizona of approximately $97,539, $4,912, $6,342, and $543, respectively. At December 31, 2024, the Company had state net operating loss carryforwards for New Jersey, California, Massachusetts, and Arizona of approximately $54,685, $4,912, $6,542, and $192, respectively. Federal net operating loss carryforwards of $27,500 expire beginning in the year 2033. State net operating loss carryforwards begin to expire in the year 2033. Net operating loss carryforwards related to tax years after 2017 of $262,464 do not expire. The Company also has federal and state research and development credit carryforward of approximately $16,129 and $13,034 as of December 31, 2025 and 2024, respectively. The federal credits will begin to expire in 2034 if not utilized. The California state credits carryforward indefinitely and the New Jersey state credits expire starting in 2030. The above net operating losses and research and development credits are subject to Sections 382 and 383 of the Internal Revenue Code. In the event of a change in ownership as defined by these code sections, the usage of the net operating losses and research and development credits may be limited.</w:t>
      </w:r>
    </w:p>
    <w:p>
      <w:pPr>
        <w:spacing w:after="0" w:line="203"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20"/>
          <w:szCs w:val="20"/>
          <w:color w:val="121212"/>
        </w:rPr>
        <w:t>The Company accrues interest and penalties related to unrecognized tax benefits in the (benefit) provision for income taxes line item in the consolidated statements of operations and comprehensive loss</w:t>
      </w:r>
      <w:r>
        <w:rPr>
          <w:rFonts w:ascii="Times New Roman" w:cs="Times New Roman" w:eastAsia="Times New Roman" w:hAnsi="Times New Roman"/>
          <w:sz w:val="20"/>
          <w:szCs w:val="20"/>
          <w:b w:val="1"/>
          <w:bCs w:val="1"/>
          <w:color w:val="121212"/>
        </w:rPr>
        <w:t>.</w:t>
      </w:r>
      <w:r>
        <w:rPr>
          <w:rFonts w:ascii="Times New Roman" w:cs="Times New Roman" w:eastAsia="Times New Roman" w:hAnsi="Times New Roman"/>
          <w:sz w:val="20"/>
          <w:szCs w:val="20"/>
          <w:color w:val="121212"/>
        </w:rPr>
        <w:t xml:space="preserve"> </w:t>
      </w:r>
      <w:r>
        <w:rPr>
          <w:rFonts w:ascii="Times New Roman" w:cs="Times New Roman" w:eastAsia="Times New Roman" w:hAnsi="Times New Roman"/>
          <w:sz w:val="20"/>
          <w:szCs w:val="20"/>
          <w:color w:val="000000"/>
        </w:rPr>
        <w:t>As of December 31,</w:t>
      </w:r>
      <w:r>
        <w:rPr>
          <w:rFonts w:ascii="Times New Roman" w:cs="Times New Roman" w:eastAsia="Times New Roman" w:hAnsi="Times New Roman"/>
          <w:sz w:val="20"/>
          <w:szCs w:val="20"/>
          <w:color w:val="121212"/>
        </w:rPr>
        <w:t xml:space="preserve"> </w:t>
      </w:r>
      <w:r>
        <w:rPr>
          <w:rFonts w:ascii="Times New Roman" w:cs="Times New Roman" w:eastAsia="Times New Roman" w:hAnsi="Times New Roman"/>
          <w:sz w:val="20"/>
          <w:szCs w:val="20"/>
          <w:color w:val="000000"/>
        </w:rPr>
        <w:t>2025 and 2024, the Company had not accrued any interest or penalties related to uncertain tax positions.</w:t>
      </w:r>
    </w:p>
    <w:p>
      <w:pPr>
        <w:spacing w:after="0" w:line="188"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20"/>
          <w:szCs w:val="20"/>
          <w:color w:val="auto"/>
        </w:rPr>
        <w:t>If the ending balance of $4,032 and $3,259 of unrecognized tax benefits as of December 31, 2025 and 2024, respectively, were recognized, none of the recognition would affect the income tax rate. The following table summarized the activity related to the Company’s unrecognized tax benefits: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243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gridSpan w:val="6"/>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43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9"/>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7"/>
              <w:spacing w:after="0" w:line="16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80" w:type="dxa"/>
            <w:vAlign w:val="bottom"/>
            <w:tcBorders>
              <w:bottom w:val="single" w:sz="8" w:color="DDDDDD"/>
            </w:tcBorders>
          </w:tcPr>
          <w:p>
            <w:pPr>
              <w:spacing w:after="0"/>
              <w:rPr>
                <w:sz w:val="17"/>
                <w:szCs w:val="17"/>
                <w:color w:val="auto"/>
              </w:rPr>
            </w:pPr>
          </w:p>
        </w:tc>
        <w:tc>
          <w:tcPr>
            <w:tcW w:w="2430" w:type="dxa"/>
            <w:vAlign w:val="bottom"/>
            <w:tcBorders>
              <w:bottom w:val="single" w:sz="8" w:color="DDDDDD"/>
            </w:tcBorders>
          </w:tcPr>
          <w:p>
            <w:pPr>
              <w:spacing w:after="0"/>
              <w:rPr>
                <w:sz w:val="17"/>
                <w:szCs w:val="17"/>
                <w:color w:val="auto"/>
              </w:rPr>
            </w:pPr>
          </w:p>
        </w:tc>
        <w:tc>
          <w:tcPr>
            <w:tcW w:w="15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Unrecognized tax benefits, beginning of year</w:t>
            </w:r>
          </w:p>
        </w:tc>
        <w:tc>
          <w:tcPr>
            <w:tcW w:w="2430" w:type="dxa"/>
            <w:vAlign w:val="bottom"/>
            <w:shd w:val="clear" w:color="auto" w:fill="DDDDDD"/>
          </w:tcPr>
          <w:p>
            <w:pPr>
              <w:spacing w:after="0"/>
              <w:rPr>
                <w:sz w:val="20"/>
                <w:szCs w:val="20"/>
                <w:color w:val="auto"/>
              </w:rPr>
            </w:pPr>
          </w:p>
        </w:tc>
        <w:tc>
          <w:tcPr>
            <w:tcW w:w="15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3,259</w:t>
            </w:r>
          </w:p>
        </w:tc>
        <w:tc>
          <w:tcPr>
            <w:tcW w:w="2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highlight w:val="lightGray"/>
                <w:w w:val="70"/>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3,173</w:t>
            </w:r>
          </w:p>
        </w:tc>
        <w:tc>
          <w:tcPr>
            <w:tcW w:w="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Decreases related to prior year tax positions</w:t>
            </w:r>
          </w:p>
        </w:tc>
        <w:tc>
          <w:tcPr>
            <w:tcW w:w="243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(586 )</w:t>
            </w:r>
          </w:p>
        </w:tc>
        <w:tc>
          <w:tcPr>
            <w:tcW w:w="0" w:type="dxa"/>
            <w:vAlign w:val="bottom"/>
          </w:tcPr>
          <w:p>
            <w:pPr>
              <w:spacing w:after="0"/>
              <w:rPr>
                <w:sz w:val="1"/>
                <w:szCs w:val="1"/>
                <w:color w:val="auto"/>
              </w:rPr>
            </w:pPr>
          </w:p>
        </w:tc>
      </w:tr>
      <w:tr>
        <w:trPr>
          <w:trHeight w:val="265"/>
        </w:trPr>
        <w:tc>
          <w:tcPr>
            <w:tcW w:w="408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Increases related to current year tax positions</w:t>
            </w:r>
          </w:p>
        </w:tc>
        <w:tc>
          <w:tcPr>
            <w:tcW w:w="2430" w:type="dxa"/>
            <w:vAlign w:val="bottom"/>
            <w:tcBorders>
              <w:bottom w:val="single" w:sz="8" w:color="DDDDDD"/>
            </w:tcBorders>
            <w:shd w:val="clear" w:color="auto" w:fill="DDDDDD"/>
          </w:tcPr>
          <w:p>
            <w:pPr>
              <w:spacing w:after="0"/>
              <w:rPr>
                <w:sz w:val="23"/>
                <w:szCs w:val="23"/>
                <w:color w:val="auto"/>
              </w:rPr>
            </w:pPr>
          </w:p>
        </w:tc>
        <w:tc>
          <w:tcPr>
            <w:tcW w:w="15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auto"/>
            </w:tcBorders>
            <w:shd w:val="clear" w:color="auto" w:fill="DDDDDD"/>
          </w:tcPr>
          <w:p>
            <w:pPr>
              <w:spacing w:after="0"/>
              <w:rPr>
                <w:sz w:val="23"/>
                <w:szCs w:val="23"/>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773</w:t>
            </w:r>
          </w:p>
        </w:tc>
        <w:tc>
          <w:tcPr>
            <w:tcW w:w="24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auto"/>
            </w:tcBorders>
            <w:shd w:val="clear" w:color="auto" w:fill="DDDDDD"/>
          </w:tcPr>
          <w:p>
            <w:pPr>
              <w:spacing w:after="0"/>
              <w:rPr>
                <w:sz w:val="23"/>
                <w:szCs w:val="23"/>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672</w:t>
            </w:r>
          </w:p>
        </w:tc>
        <w:tc>
          <w:tcPr>
            <w:tcW w:w="8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Unrecognized tax benefits, end of year</w:t>
            </w:r>
          </w:p>
        </w:tc>
        <w:tc>
          <w:tcPr>
            <w:tcW w:w="2600" w:type="dxa"/>
            <w:vAlign w:val="bottom"/>
            <w:gridSpan w:val="3"/>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4,032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3,259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30" w:type="dxa"/>
            <w:vAlign w:val="bottom"/>
            <w:vMerge w:val="restart"/>
          </w:tcPr>
          <w:p>
            <w:pPr>
              <w:jc w:val="right"/>
              <w:ind w:right="1570"/>
              <w:spacing w:after="0"/>
              <w:rPr>
                <w:sz w:val="20"/>
                <w:szCs w:val="20"/>
                <w:color w:val="auto"/>
              </w:rPr>
            </w:pPr>
            <w:r>
              <w:rPr>
                <w:rFonts w:ascii="Times New Roman" w:cs="Times New Roman" w:eastAsia="Times New Roman" w:hAnsi="Times New Roman"/>
                <w:sz w:val="20"/>
                <w:szCs w:val="20"/>
                <w:color w:val="auto"/>
              </w:rPr>
              <w:t>122</w:t>
            </w:r>
          </w:p>
        </w:tc>
        <w:tc>
          <w:tcPr>
            <w:tcW w:w="15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080" w:type="dxa"/>
            <w:vAlign w:val="bottom"/>
          </w:tcPr>
          <w:p>
            <w:pPr>
              <w:spacing w:after="0"/>
              <w:rPr>
                <w:sz w:val="24"/>
                <w:szCs w:val="24"/>
                <w:color w:val="auto"/>
              </w:rPr>
            </w:pPr>
          </w:p>
        </w:tc>
        <w:tc>
          <w:tcPr>
            <w:tcW w:w="2430" w:type="dxa"/>
            <w:vAlign w:val="bottom"/>
            <w:vMerge w:val="continue"/>
          </w:tcPr>
          <w:p>
            <w:pPr>
              <w:spacing w:after="0"/>
              <w:rPr>
                <w:sz w:val="24"/>
                <w:szCs w:val="24"/>
                <w:color w:val="auto"/>
              </w:rPr>
            </w:pPr>
          </w:p>
        </w:tc>
        <w:tc>
          <w:tcPr>
            <w:tcW w:w="1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4231640</wp:posOffset>
                </wp:positionH>
                <wp:positionV relativeFrom="paragraph">
                  <wp:posOffset>-704850</wp:posOffset>
                </wp:positionV>
                <wp:extent cx="74993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99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2pt,-55.4999pt" to="392.25pt,-55.4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5135880</wp:posOffset>
                </wp:positionH>
                <wp:positionV relativeFrom="paragraph">
                  <wp:posOffset>-704850</wp:posOffset>
                </wp:positionV>
                <wp:extent cx="75057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05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4pt,-55.4999pt" to="463.5pt,-55.4999pt" o:allowincell="f" strokecolor="#FFFFFF" strokeweight="0.72pt"/>
            </w:pict>
          </mc:Fallback>
        </mc:AlternateContent>
      </w:r>
    </w:p>
    <w:p>
      <w:pPr>
        <w:sectPr>
          <w:pgSz w:w="12240" w:h="15840" w:orient="portrait"/>
          <w:cols w:equalWidth="0" w:num="1">
            <w:col w:w="9360"/>
          </w:cols>
          <w:pgMar w:left="1440" w:top="1440" w:right="1440" w:bottom="139" w:gutter="0" w:footer="0" w:header="0"/>
        </w:sectPr>
      </w:pPr>
    </w:p>
    <w:bookmarkStart w:id="128" w:name="page129"/>
    <w:bookmarkEnd w:id="128"/>
    <w:p>
      <w:pPr>
        <w:ind w:right="240" w:firstLine="619"/>
        <w:spacing w:after="0" w:line="252" w:lineRule="auto"/>
        <w:rPr>
          <w:sz w:val="20"/>
          <w:szCs w:val="20"/>
          <w:color w:val="auto"/>
        </w:rPr>
      </w:pPr>
      <w:r>
        <w:rPr>
          <w:rFonts w:ascii="Times New Roman" w:cs="Times New Roman" w:eastAsia="Times New Roman" w:hAnsi="Times New Roman"/>
          <w:sz w:val="20"/>
          <w:szCs w:val="20"/>
          <w:color w:val="auto"/>
        </w:rPr>
        <w:t>The Company files U.S. federal and state income tax returns with varying statutes of limitations. The Company’s tax years 2013 to 2024 will remain open for examination by the federal and state authorities for three and four years, respectively, from the date of utilization of any net operating losses and research and development credits.</w:t>
      </w:r>
    </w:p>
    <w:p>
      <w:pPr>
        <w:spacing w:after="0" w:line="193"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The State of New Jersey’s Technology Business Tax Certificate Program allows certain high technology and biotechnology companies to sell unused NOL carryforwards and research and development (“R&amp;D”) tax credits to other New Jersey-based corporate taxpayers. As of December 31, 2025 and 2024, the Company received $2,196 and $16,176, respectively, of cash for the NOL and R&amp;D tax credit sales related to the tax years ended December 31, 2015 through 2024. The sale of the NOLs and R&amp;D tax credits has been recorded as an income tax benefit within the consolidated statement of operations.</w:t>
      </w:r>
    </w:p>
    <w:p>
      <w:pPr>
        <w:spacing w:after="0" w:line="191" w:lineRule="exact"/>
        <w:rPr>
          <w:sz w:val="20"/>
          <w:szCs w:val="20"/>
          <w:color w:val="auto"/>
        </w:rPr>
      </w:pPr>
    </w:p>
    <w:p>
      <w:pPr>
        <w:ind w:right="120" w:firstLine="619"/>
        <w:spacing w:after="0" w:line="252" w:lineRule="auto"/>
        <w:rPr>
          <w:sz w:val="20"/>
          <w:szCs w:val="20"/>
          <w:color w:val="auto"/>
        </w:rPr>
      </w:pPr>
      <w:r>
        <w:rPr>
          <w:rFonts w:ascii="Times New Roman" w:cs="Times New Roman" w:eastAsia="Times New Roman" w:hAnsi="Times New Roman"/>
          <w:sz w:val="20"/>
          <w:szCs w:val="20"/>
          <w:color w:val="auto"/>
        </w:rPr>
        <w:t>For the year ended December 31, 2025, income taxes paid, net of refunds, by jurisdiction were immaterial both individually and in the aggregate and, accordingly, have not been separately disclosed. This is exclusive of the benefit from the sale of NOLs in 2025 under the New Jersey Technology Business Tax Certificate Transfer Program.</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10. Net Loss per Share</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The Company excluded all outstanding stock options and RSUs at each period end from the computation of diluted net loss per share attributable to common stockholders for the periods indicated because including them would have had an anti-dilutive effect. The following common stock equivalents were excluded from the calculation of diluted net loss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auto"/>
            </w:tcBorders>
            <w:gridSpan w:val="8"/>
          </w:tcPr>
          <w:p>
            <w:pPr>
              <w:ind w:left="13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4"/>
        </w:trPr>
        <w:tc>
          <w:tcPr>
            <w:tcW w:w="412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580" w:type="dxa"/>
            <w:vAlign w:val="bottom"/>
            <w:tcBorders>
              <w:bottom w:val="single" w:sz="8" w:color="auto"/>
            </w:tcBorders>
          </w:tcPr>
          <w:p>
            <w:pPr>
              <w:jc w:val="right"/>
              <w:ind w:right="54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E0E0E0"/>
            </w:tcBorders>
          </w:tcPr>
          <w:p>
            <w:pPr>
              <w:spacing w:after="0"/>
              <w:rPr>
                <w:sz w:val="15"/>
                <w:szCs w:val="15"/>
                <w:color w:val="auto"/>
              </w:rPr>
            </w:pPr>
          </w:p>
        </w:tc>
        <w:tc>
          <w:tcPr>
            <w:tcW w:w="2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440" w:type="dxa"/>
            <w:vAlign w:val="bottom"/>
            <w:tcBorders>
              <w:bottom w:val="single" w:sz="8" w:color="auto"/>
            </w:tcBorders>
          </w:tcPr>
          <w:p>
            <w:pPr>
              <w:jc w:val="right"/>
              <w:ind w:right="46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4"/>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r>
      <w:tr>
        <w:trPr>
          <w:trHeight w:val="220"/>
        </w:trPr>
        <w:tc>
          <w:tcPr>
            <w:tcW w:w="41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auto"/>
              </w:rPr>
              <w:t>Options to purchase common stock</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0" w:type="dxa"/>
            <w:vAlign w:val="bottom"/>
            <w:gridSpan w:val="2"/>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11,990,688</w:t>
            </w:r>
          </w:p>
        </w:tc>
        <w:tc>
          <w:tcPr>
            <w:tcW w:w="2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60" w:type="dxa"/>
            <w:vAlign w:val="bottom"/>
            <w:gridSpan w:val="2"/>
            <w:shd w:val="clear" w:color="auto" w:fill="E0E0E0"/>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8,653,913</w:t>
            </w:r>
          </w:p>
        </w:tc>
        <w:tc>
          <w:tcPr>
            <w:tcW w:w="20" w:type="dxa"/>
            <w:vAlign w:val="bottom"/>
            <w:shd w:val="clear" w:color="auto" w:fill="E0E0E0"/>
          </w:tcPr>
          <w:p>
            <w:pPr>
              <w:spacing w:after="0"/>
              <w:rPr>
                <w:sz w:val="19"/>
                <w:szCs w:val="19"/>
                <w:color w:val="auto"/>
              </w:rPr>
            </w:pPr>
          </w:p>
        </w:tc>
        <w:tc>
          <w:tcPr>
            <w:tcW w:w="400" w:type="dxa"/>
            <w:vAlign w:val="bottom"/>
            <w:shd w:val="clear" w:color="auto" w:fill="E0E0E0"/>
          </w:tcPr>
          <w:p>
            <w:pPr>
              <w:spacing w:after="0"/>
              <w:rPr>
                <w:sz w:val="19"/>
                <w:szCs w:val="19"/>
                <w:color w:val="auto"/>
              </w:rPr>
            </w:pPr>
          </w:p>
        </w:tc>
        <w:tc>
          <w:tcPr>
            <w:tcW w:w="1220" w:type="dxa"/>
            <w:vAlign w:val="bottom"/>
            <w:gridSpan w:val="3"/>
            <w:shd w:val="clear" w:color="auto" w:fill="E0E0E0"/>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6,973,464</w:t>
            </w: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20"/>
                <w:szCs w:val="20"/>
                <w:color w:val="auto"/>
              </w:rPr>
              <w:t>Unvested restricted stock units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gridSpan w:val="4"/>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907,666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236,296</w:t>
            </w:r>
          </w:p>
        </w:tc>
      </w:tr>
      <w:tr>
        <w:trPr>
          <w:trHeight w:val="250"/>
        </w:trPr>
        <w:tc>
          <w:tcPr>
            <w:tcW w:w="41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auto"/>
                <w:shd w:val="clear" w:color="auto" w:fill="E0E0E0"/>
              </w:rPr>
              <w:t>Expected shares to be purchased under 2020 ESPP</w:t>
            </w:r>
          </w:p>
        </w:tc>
        <w:tc>
          <w:tcPr>
            <w:tcW w:w="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840" w:type="dxa"/>
            <w:vAlign w:val="bottom"/>
            <w:gridSpan w:val="3"/>
            <w:shd w:val="clear" w:color="auto" w:fill="E0E0E0"/>
          </w:tcPr>
          <w:p>
            <w:pPr>
              <w:jc w:val="right"/>
              <w:ind w:right="260"/>
              <w:spacing w:after="0"/>
              <w:rPr>
                <w:sz w:val="20"/>
                <w:szCs w:val="20"/>
                <w:color w:val="auto"/>
              </w:rPr>
            </w:pPr>
            <w:r>
              <w:rPr>
                <w:rFonts w:ascii="Times New Roman" w:cs="Times New Roman" w:eastAsia="Times New Roman" w:hAnsi="Times New Roman"/>
                <w:sz w:val="20"/>
                <w:szCs w:val="20"/>
                <w:color w:val="auto"/>
              </w:rPr>
              <w:t>6,417</w:t>
            </w:r>
          </w:p>
        </w:tc>
        <w:tc>
          <w:tcPr>
            <w:tcW w:w="20" w:type="dxa"/>
            <w:vAlign w:val="bottom"/>
            <w:shd w:val="clear" w:color="auto" w:fill="E0E0E0"/>
          </w:tcPr>
          <w:p>
            <w:pPr>
              <w:spacing w:after="0"/>
              <w:rPr>
                <w:sz w:val="21"/>
                <w:szCs w:val="21"/>
                <w:color w:val="auto"/>
              </w:rPr>
            </w:pPr>
          </w:p>
        </w:tc>
        <w:tc>
          <w:tcPr>
            <w:tcW w:w="166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color w:val="auto"/>
              </w:rPr>
              <w:t>3,944</w:t>
            </w:r>
          </w:p>
        </w:tc>
        <w:tc>
          <w:tcPr>
            <w:tcW w:w="20" w:type="dxa"/>
            <w:vAlign w:val="bottom"/>
            <w:shd w:val="clear" w:color="auto" w:fill="E0E0E0"/>
          </w:tcPr>
          <w:p>
            <w:pPr>
              <w:spacing w:after="0"/>
              <w:rPr>
                <w:sz w:val="21"/>
                <w:szCs w:val="21"/>
                <w:color w:val="auto"/>
              </w:rPr>
            </w:pPr>
          </w:p>
        </w:tc>
        <w:tc>
          <w:tcPr>
            <w:tcW w:w="400" w:type="dxa"/>
            <w:vAlign w:val="bottom"/>
            <w:shd w:val="clear" w:color="auto" w:fill="E0E0E0"/>
          </w:tcPr>
          <w:p>
            <w:pPr>
              <w:spacing w:after="0"/>
              <w:rPr>
                <w:sz w:val="21"/>
                <w:szCs w:val="21"/>
                <w:color w:val="auto"/>
              </w:rPr>
            </w:pPr>
          </w:p>
        </w:tc>
        <w:tc>
          <w:tcPr>
            <w:tcW w:w="1220" w:type="dxa"/>
            <w:vAlign w:val="bottom"/>
            <w:gridSpan w:val="3"/>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2,237</w:t>
            </w:r>
          </w:p>
        </w:tc>
      </w:tr>
      <w:tr>
        <w:trPr>
          <w:trHeight w:val="201"/>
        </w:trPr>
        <w:tc>
          <w:tcPr>
            <w:tcW w:w="4120" w:type="dxa"/>
            <w:vAlign w:val="bottom"/>
            <w:tcBorders>
              <w:top w:val="single" w:sz="8" w:color="E0E0E0"/>
            </w:tcBorders>
          </w:tcPr>
          <w:p>
            <w:pPr>
              <w:spacing w:after="0" w:line="201" w:lineRule="exact"/>
              <w:rPr>
                <w:sz w:val="20"/>
                <w:szCs w:val="20"/>
                <w:color w:val="auto"/>
              </w:rPr>
            </w:pPr>
            <w:r>
              <w:rPr>
                <w:rFonts w:ascii="Times New Roman" w:cs="Times New Roman" w:eastAsia="Times New Roman" w:hAnsi="Times New Roman"/>
                <w:sz w:val="20"/>
                <w:szCs w:val="20"/>
                <w:color w:val="auto"/>
              </w:rPr>
              <w:t>Total</w:t>
            </w:r>
          </w:p>
        </w:tc>
        <w:tc>
          <w:tcPr>
            <w:tcW w:w="60" w:type="dxa"/>
            <w:vAlign w:val="bottom"/>
            <w:tcBorders>
              <w:top w:val="single" w:sz="8" w:color="E0E0E0"/>
            </w:tcBorders>
          </w:tcPr>
          <w:p>
            <w:pPr>
              <w:spacing w:after="0"/>
              <w:rPr>
                <w:sz w:val="17"/>
                <w:szCs w:val="17"/>
                <w:color w:val="auto"/>
              </w:rPr>
            </w:pPr>
          </w:p>
        </w:tc>
        <w:tc>
          <w:tcPr>
            <w:tcW w:w="20" w:type="dxa"/>
            <w:vAlign w:val="bottom"/>
            <w:tcBorders>
              <w:top w:val="single" w:sz="8" w:color="E0E0E0"/>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11,997,105</w:t>
            </w:r>
          </w:p>
        </w:tc>
        <w:tc>
          <w:tcPr>
            <w:tcW w:w="20" w:type="dxa"/>
            <w:vAlign w:val="bottom"/>
            <w:tcBorders>
              <w:top w:val="single" w:sz="8" w:color="E0E0E0"/>
            </w:tcBorders>
          </w:tcPr>
          <w:p>
            <w:pPr>
              <w:spacing w:after="0"/>
              <w:rPr>
                <w:sz w:val="17"/>
                <w:szCs w:val="17"/>
                <w:color w:val="auto"/>
              </w:rPr>
            </w:pPr>
          </w:p>
        </w:tc>
        <w:tc>
          <w:tcPr>
            <w:tcW w:w="240" w:type="dxa"/>
            <w:vAlign w:val="bottom"/>
            <w:tcBorders>
              <w:top w:val="single" w:sz="8" w:color="E0E0E0"/>
            </w:tcBorders>
          </w:tcPr>
          <w:p>
            <w:pPr>
              <w:spacing w:after="0"/>
              <w:rPr>
                <w:sz w:val="17"/>
                <w:szCs w:val="17"/>
                <w:color w:val="auto"/>
              </w:rPr>
            </w:pPr>
          </w:p>
        </w:tc>
        <w:tc>
          <w:tcPr>
            <w:tcW w:w="20" w:type="dxa"/>
            <w:vAlign w:val="bottom"/>
            <w:tcBorders>
              <w:top w:val="single" w:sz="8" w:color="E0E0E0"/>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9,565,523</w:t>
            </w:r>
          </w:p>
        </w:tc>
        <w:tc>
          <w:tcPr>
            <w:tcW w:w="220" w:type="dxa"/>
            <w:vAlign w:val="bottom"/>
            <w:tcBorders>
              <w:top w:val="single" w:sz="8" w:color="E0E0E0"/>
            </w:tcBorders>
          </w:tcPr>
          <w:p>
            <w:pPr>
              <w:spacing w:after="0"/>
              <w:rPr>
                <w:sz w:val="17"/>
                <w:szCs w:val="17"/>
                <w:color w:val="auto"/>
              </w:rPr>
            </w:pPr>
          </w:p>
        </w:tc>
        <w:tc>
          <w:tcPr>
            <w:tcW w:w="20" w:type="dxa"/>
            <w:vAlign w:val="bottom"/>
            <w:tcBorders>
              <w:top w:val="single" w:sz="8" w:color="E0E0E0"/>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7,211,997</w:t>
            </w:r>
          </w:p>
        </w:tc>
        <w:tc>
          <w:tcPr>
            <w:tcW w:w="100" w:type="dxa"/>
            <w:vAlign w:val="bottom"/>
            <w:tcBorders>
              <w:top w:val="single" w:sz="8" w:color="E0E0E0"/>
            </w:tcBorders>
            <w:gridSpan w:val="2"/>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5883910</wp:posOffset>
                </wp:positionH>
                <wp:positionV relativeFrom="paragraph">
                  <wp:posOffset>-744855</wp:posOffset>
                </wp:positionV>
                <wp:extent cx="5969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 cy="4763"/>
                        </a:xfrm>
                        <a:prstGeom prst="line">
                          <a:avLst/>
                        </a:prstGeom>
                        <a:solidFill>
                          <a:srgbClr val="FFFFFF"/>
                        </a:solidFill>
                        <a:ln w="6095">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3pt,-58.6499pt" to="468pt,-58.6499pt" o:allowincell="f" strokecolor="#FFFFFF" strokeweight="0.47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-177165</wp:posOffset>
                </wp:positionV>
                <wp:extent cx="266890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890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499pt" to="210.15pt,-13.94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3665855</wp:posOffset>
                </wp:positionH>
                <wp:positionV relativeFrom="paragraph">
                  <wp:posOffset>-177165</wp:posOffset>
                </wp:positionV>
                <wp:extent cx="18351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51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65pt,-13.9499pt" to="303.1pt,-13.94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4763770</wp:posOffset>
                </wp:positionH>
                <wp:positionV relativeFrom="paragraph">
                  <wp:posOffset>-177165</wp:posOffset>
                </wp:positionV>
                <wp:extent cx="14859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859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1pt,-13.9499pt" to="386.8pt,-13.9499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5883910</wp:posOffset>
                </wp:positionH>
                <wp:positionV relativeFrom="paragraph">
                  <wp:posOffset>-177165</wp:posOffset>
                </wp:positionV>
                <wp:extent cx="5969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3pt,-13.9499pt" to="468pt,-13.9499pt" o:allowincell="f" strokecolor="#FFFFFF" strokeweight="0.4809pt"/>
            </w:pict>
          </mc:Fallback>
        </mc:AlternateConten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11. Related Parties</w:t>
      </w:r>
    </w:p>
    <w:p>
      <w:pPr>
        <w:spacing w:after="0" w:line="138" w:lineRule="exact"/>
        <w:rPr>
          <w:sz w:val="20"/>
          <w:szCs w:val="20"/>
          <w:color w:val="auto"/>
        </w:rPr>
      </w:pPr>
    </w:p>
    <w:p>
      <w:pPr>
        <w:ind w:right="100" w:firstLine="619"/>
        <w:spacing w:after="0" w:line="252" w:lineRule="auto"/>
        <w:rPr>
          <w:sz w:val="20"/>
          <w:szCs w:val="20"/>
          <w:color w:val="auto"/>
        </w:rPr>
      </w:pPr>
      <w:r>
        <w:rPr>
          <w:rFonts w:ascii="Times New Roman" w:cs="Times New Roman" w:eastAsia="Times New Roman" w:hAnsi="Times New Roman"/>
          <w:sz w:val="20"/>
          <w:szCs w:val="20"/>
          <w:color w:val="auto"/>
        </w:rPr>
        <w:t>The Company has consulting agreements with three members of its board of directors; one of which waived his consulting fees starting as of September 2021. Total consulting fees paid during the years ended December 31, 2025, 2024, and 2023 were $200, $187, and $92, respectively. There were no amounts owed under the consulting agreements as of December 31, 2025.</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12. Restructuring</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On January 18, 2024, the Company announced a restructuring plan involving the reduction of its workforce by approximately 30% of the Company’s employees. The Company undertook these steps in order to streamline operations, reduce costs and preserve capital as it advances into late-stage development for its lead product candidate, rezatapopt. All of the costs under the restructuring plan were incurred and paid in full during the fiscal year ending December 31, 2024.</w:t>
      </w:r>
    </w:p>
    <w:p>
      <w:pPr>
        <w:spacing w:after="0" w:line="95"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As a result of the reduction in force, the Company incurred an aggregate non-recurring charge of $597 for the fiscal year ending December 31, 2024, consisting primarily of employee severance and benefit costs associated with the restructuring. The Company has recorded these charges in research and development expenses in the accompanying consolidated statement of operations based on responsibilities of the impacted employees.</w:t>
      </w:r>
    </w:p>
    <w:p>
      <w:pPr>
        <w:spacing w:after="0" w:line="92"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The Company accounts for employee termination benefits that represent a one-time benefit in accordance with ASC Topic 420, Exit or Disposal Cost Obligations. It records such costs into expense over the employee’s future service period, if any.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360"/>
          </w:cols>
          <w:pgMar w:left="1440" w:top="1420" w:right="1440" w:bottom="175"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i w:val="1"/>
          <w:iCs w:val="1"/>
          <w:color w:val="auto"/>
        </w:rPr>
        <w:t>13. Segment Information</w:t>
      </w:r>
    </w:p>
    <w:p>
      <w:pPr>
        <w:spacing w:after="0" w:line="111" w:lineRule="exact"/>
        <w:rPr>
          <w:sz w:val="20"/>
          <w:szCs w:val="20"/>
          <w:color w:val="auto"/>
        </w:rPr>
      </w:pPr>
    </w:p>
    <w:p>
      <w:pPr>
        <w:ind w:firstLine="619"/>
        <w:spacing w:after="0" w:line="236" w:lineRule="auto"/>
        <w:rPr>
          <w:sz w:val="20"/>
          <w:szCs w:val="20"/>
          <w:color w:val="auto"/>
        </w:rPr>
      </w:pPr>
      <w:r>
        <w:rPr>
          <w:rFonts w:ascii="Times New Roman" w:cs="Times New Roman" w:eastAsia="Times New Roman" w:hAnsi="Times New Roman"/>
          <w:sz w:val="20"/>
          <w:szCs w:val="20"/>
          <w:color w:val="auto"/>
        </w:rPr>
        <w:t>The Company has viewed its operations and manages its business as one operating and reporting segment. Operating segments are identified as components of an enterprise for which separate discrete financial information is available for evaluation by the Company’s chief operating decision maker (“CODM”) to make decisions with respect to resource allocation and assessment of performance. The Company’s CODM is its Chief Executive Officer (the “CEO”), who reviews and evaluates consolidated net loss for purposes of assessing performance, making operating decisions, allocating resources, and planning and forecasting for future periods. The determination of a single segment is consistent with the financial information regularly reviewed by the CEO.</w:t>
      </w:r>
    </w:p>
    <w:p>
      <w:pPr>
        <w:spacing w:after="0" w:line="200" w:lineRule="exact"/>
        <w:rPr>
          <w:sz w:val="20"/>
          <w:szCs w:val="20"/>
          <w:color w:val="auto"/>
        </w:rPr>
      </w:pPr>
    </w:p>
    <w:p>
      <w:pPr>
        <w:ind w:right="100" w:firstLine="619"/>
        <w:spacing w:after="0" w:line="248" w:lineRule="auto"/>
        <w:rPr>
          <w:sz w:val="20"/>
          <w:szCs w:val="20"/>
          <w:color w:val="auto"/>
        </w:rPr>
      </w:pPr>
      <w:r>
        <w:rPr>
          <w:rFonts w:ascii="Times New Roman" w:cs="Times New Roman" w:eastAsia="Times New Roman" w:hAnsi="Times New Roman"/>
          <w:sz w:val="20"/>
          <w:szCs w:val="20"/>
          <w:color w:val="auto"/>
        </w:rPr>
        <w:t>The CEO regularly reviews the consolidated statement of operations and a disaggregation of operating expenses, of which the significant expenses are related to research and development. The following table represents the significant segment expenses regularly provided to the CEO:</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90" w:type="dxa"/>
            <w:vAlign w:val="bottom"/>
          </w:tcPr>
          <w:p>
            <w:pPr>
              <w:spacing w:after="0"/>
              <w:rPr>
                <w:sz w:val="17"/>
                <w:szCs w:val="17"/>
                <w:color w:val="auto"/>
              </w:rPr>
            </w:pPr>
          </w:p>
        </w:tc>
        <w:tc>
          <w:tcPr>
            <w:tcW w:w="8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6"/>
          </w:tcPr>
          <w:p>
            <w:pPr>
              <w:ind w:left="120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00" w:type="dxa"/>
            <w:vAlign w:val="bottom"/>
          </w:tcPr>
          <w:p>
            <w:pPr>
              <w:spacing w:after="0"/>
              <w:rPr>
                <w:sz w:val="18"/>
                <w:szCs w:val="18"/>
                <w:color w:val="auto"/>
              </w:rPr>
            </w:pPr>
          </w:p>
        </w:tc>
        <w:tc>
          <w:tcPr>
            <w:tcW w:w="1260" w:type="dxa"/>
            <w:vAlign w:val="bottom"/>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DDDDDD"/>
            </w:tcBorders>
            <w:gridSpan w:val="3"/>
            <w:vMerge w:val="continue"/>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1260" w:type="dxa"/>
            <w:vAlign w:val="bottom"/>
            <w:tcBorders>
              <w:bottom w:val="single" w:sz="8" w:color="DDDDDD"/>
            </w:tcBorders>
          </w:tcPr>
          <w:p>
            <w:pPr>
              <w:spacing w:after="0"/>
              <w:rPr>
                <w:sz w:val="19"/>
                <w:szCs w:val="19"/>
                <w:color w:val="auto"/>
              </w:rPr>
            </w:pPr>
          </w:p>
        </w:tc>
        <w:tc>
          <w:tcPr>
            <w:tcW w:w="24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1680" w:type="dxa"/>
            <w:vAlign w:val="bottom"/>
            <w:tcBorders>
              <w:bottom w:val="single" w:sz="8" w:color="DDDDDD"/>
            </w:tcBorders>
          </w:tcPr>
          <w:p>
            <w:pPr>
              <w:spacing w:after="0"/>
              <w:rPr>
                <w:sz w:val="19"/>
                <w:szCs w:val="19"/>
                <w:color w:val="auto"/>
              </w:rPr>
            </w:pPr>
          </w:p>
        </w:tc>
        <w:tc>
          <w:tcPr>
            <w:tcW w:w="24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100" w:type="dxa"/>
            <w:vAlign w:val="bottom"/>
            <w:tcBorders>
              <w:bottom w:val="single" w:sz="8" w:color="DDDDDD"/>
            </w:tcBorders>
          </w:tcPr>
          <w:p>
            <w:pPr>
              <w:spacing w:after="0"/>
              <w:rPr>
                <w:sz w:val="19"/>
                <w:szCs w:val="19"/>
                <w:color w:val="auto"/>
              </w:rPr>
            </w:pPr>
          </w:p>
        </w:tc>
        <w:tc>
          <w:tcPr>
            <w:tcW w:w="1120" w:type="dxa"/>
            <w:vAlign w:val="bottom"/>
            <w:tcBorders>
              <w:bottom w:val="single" w:sz="8" w:color="DDDDDD"/>
            </w:tcBorders>
          </w:tcPr>
          <w:p>
            <w:pPr>
              <w:spacing w:after="0"/>
              <w:rPr>
                <w:sz w:val="19"/>
                <w:szCs w:val="19"/>
                <w:color w:val="auto"/>
              </w:rPr>
            </w:pPr>
          </w:p>
        </w:tc>
        <w:tc>
          <w:tcPr>
            <w:tcW w:w="80" w:type="dxa"/>
            <w:vAlign w:val="bottom"/>
            <w:tcBorders>
              <w:bottom w:val="single" w:sz="8" w:color="DDDDDD"/>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90" w:type="dxa"/>
            <w:vAlign w:val="bottom"/>
            <w:shd w:val="clear" w:color="auto" w:fill="DDDDDD"/>
          </w:tcPr>
          <w:p>
            <w:pPr>
              <w:ind w:left="300"/>
              <w:spacing w:after="0" w:line="224" w:lineRule="exact"/>
              <w:rPr>
                <w:sz w:val="20"/>
                <w:szCs w:val="20"/>
                <w:color w:val="auto"/>
              </w:rPr>
            </w:pPr>
            <w:r>
              <w:rPr>
                <w:rFonts w:ascii="Times New Roman" w:cs="Times New Roman" w:eastAsia="Times New Roman" w:hAnsi="Times New Roman"/>
                <w:sz w:val="20"/>
                <w:szCs w:val="20"/>
                <w:color w:val="auto"/>
              </w:rPr>
              <w:t>Research</w:t>
            </w:r>
          </w:p>
        </w:tc>
        <w:tc>
          <w:tcPr>
            <w:tcW w:w="89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6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rPr>
              <w:t>5,232</w:t>
            </w:r>
          </w:p>
        </w:tc>
        <w:tc>
          <w:tcPr>
            <w:tcW w:w="2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68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rPr>
              <w:t>5,914</w:t>
            </w:r>
          </w:p>
        </w:tc>
        <w:tc>
          <w:tcPr>
            <w:tcW w:w="2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12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rPr>
              <w:t>5,307</w:t>
            </w:r>
          </w:p>
        </w:tc>
        <w:tc>
          <w:tcPr>
            <w:tcW w:w="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DDDDDD"/>
            </w:tcBorders>
            <w:gridSpan w:val="3"/>
          </w:tcPr>
          <w:p>
            <w:pPr>
              <w:ind w:left="300"/>
              <w:spacing w:after="0"/>
              <w:rPr>
                <w:sz w:val="20"/>
                <w:szCs w:val="20"/>
                <w:color w:val="auto"/>
              </w:rPr>
            </w:pPr>
            <w:r>
              <w:rPr>
                <w:rFonts w:ascii="Times New Roman" w:cs="Times New Roman" w:eastAsia="Times New Roman" w:hAnsi="Times New Roman"/>
                <w:sz w:val="20"/>
                <w:szCs w:val="20"/>
                <w:color w:val="auto"/>
              </w:rPr>
              <w:t>Development</w:t>
            </w:r>
          </w:p>
        </w:tc>
        <w:tc>
          <w:tcPr>
            <w:tcW w:w="100" w:type="dxa"/>
            <w:vAlign w:val="bottom"/>
            <w:tcBorders>
              <w:bottom w:val="single" w:sz="8" w:color="DDDDDD"/>
            </w:tcBorders>
          </w:tcPr>
          <w:p>
            <w:pPr>
              <w:spacing w:after="0"/>
              <w:rPr>
                <w:sz w:val="21"/>
                <w:szCs w:val="21"/>
                <w:color w:val="auto"/>
              </w:rPr>
            </w:pPr>
          </w:p>
        </w:tc>
        <w:tc>
          <w:tcPr>
            <w:tcW w:w="12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20"/>
                <w:szCs w:val="20"/>
                <w:color w:val="auto"/>
              </w:rPr>
              <w:t>48,370</w:t>
            </w:r>
          </w:p>
        </w:tc>
        <w:tc>
          <w:tcPr>
            <w:tcW w:w="2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16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20"/>
                <w:szCs w:val="20"/>
                <w:color w:val="auto"/>
              </w:rPr>
              <w:t>35,295</w:t>
            </w:r>
          </w:p>
        </w:tc>
        <w:tc>
          <w:tcPr>
            <w:tcW w:w="2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11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20"/>
                <w:szCs w:val="20"/>
                <w:color w:val="auto"/>
              </w:rPr>
              <w:t>31,740</w:t>
            </w:r>
          </w:p>
        </w:tc>
        <w:tc>
          <w:tcPr>
            <w:tcW w:w="80" w:type="dxa"/>
            <w:vAlign w:val="bottom"/>
            <w:tcBorders>
              <w:bottom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490" w:type="dxa"/>
            <w:vAlign w:val="bottom"/>
            <w:shd w:val="clear" w:color="auto" w:fill="DDDDDD"/>
          </w:tcPr>
          <w:p>
            <w:pPr>
              <w:ind w:left="300"/>
              <w:spacing w:after="0" w:line="225" w:lineRule="exact"/>
              <w:rPr>
                <w:sz w:val="20"/>
                <w:szCs w:val="20"/>
                <w:color w:val="auto"/>
              </w:rPr>
            </w:pPr>
            <w:r>
              <w:rPr>
                <w:rFonts w:ascii="Times New Roman" w:cs="Times New Roman" w:eastAsia="Times New Roman" w:hAnsi="Times New Roman"/>
                <w:sz w:val="20"/>
                <w:szCs w:val="20"/>
                <w:color w:val="auto"/>
              </w:rPr>
              <w:t>Personnel related</w:t>
            </w:r>
          </w:p>
        </w:tc>
        <w:tc>
          <w:tcPr>
            <w:tcW w:w="89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13,668</w:t>
            </w:r>
          </w:p>
        </w:tc>
        <w:tc>
          <w:tcPr>
            <w:tcW w:w="2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680" w:type="dxa"/>
            <w:vAlign w:val="bottom"/>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13,662</w:t>
            </w:r>
          </w:p>
        </w:tc>
        <w:tc>
          <w:tcPr>
            <w:tcW w:w="2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13,320</w:t>
            </w:r>
          </w:p>
        </w:tc>
        <w:tc>
          <w:tcPr>
            <w:tcW w:w="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DDDDDD"/>
            </w:tcBorders>
            <w:gridSpan w:val="3"/>
          </w:tcPr>
          <w:p>
            <w:pPr>
              <w:ind w:left="3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2,607</w:t>
            </w:r>
          </w:p>
        </w:tc>
        <w:tc>
          <w:tcPr>
            <w:tcW w:w="2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3,656</w:t>
            </w:r>
          </w:p>
        </w:tc>
        <w:tc>
          <w:tcPr>
            <w:tcW w:w="2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5,518</w:t>
            </w:r>
          </w:p>
        </w:tc>
        <w:tc>
          <w:tcPr>
            <w:tcW w:w="80" w:type="dxa"/>
            <w:vAlign w:val="bottom"/>
            <w:tcBorders>
              <w:bottom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49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Total research and development</w:t>
            </w:r>
          </w:p>
        </w:tc>
        <w:tc>
          <w:tcPr>
            <w:tcW w:w="89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69,877</w:t>
            </w:r>
          </w:p>
        </w:tc>
        <w:tc>
          <w:tcPr>
            <w:tcW w:w="2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58,527</w:t>
            </w:r>
          </w:p>
        </w:tc>
        <w:tc>
          <w:tcPr>
            <w:tcW w:w="2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55,885</w:t>
            </w:r>
          </w:p>
        </w:tc>
        <w:tc>
          <w:tcPr>
            <w:tcW w:w="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20"/>
                <w:szCs w:val="20"/>
                <w:color w:val="auto"/>
              </w:rPr>
              <w:t>General and administration</w:t>
            </w:r>
          </w:p>
        </w:tc>
        <w:tc>
          <w:tcPr>
            <w:tcW w:w="100" w:type="dxa"/>
            <w:vAlign w:val="bottom"/>
            <w:tcBorders>
              <w:bottom w:val="single" w:sz="8" w:color="DDDDDD"/>
            </w:tcBorders>
          </w:tcPr>
          <w:p>
            <w:pPr>
              <w:spacing w:after="0"/>
              <w:rPr>
                <w:sz w:val="21"/>
                <w:szCs w:val="21"/>
                <w:color w:val="auto"/>
              </w:rPr>
            </w:pPr>
          </w:p>
        </w:tc>
        <w:tc>
          <w:tcPr>
            <w:tcW w:w="1260" w:type="dxa"/>
            <w:vAlign w:val="bottom"/>
            <w:tcBorders>
              <w:bottom w:val="single" w:sz="8" w:color="DDDDDD"/>
            </w:tcBorders>
          </w:tcPr>
          <w:p>
            <w:pPr>
              <w:spacing w:after="0"/>
              <w:rPr>
                <w:sz w:val="21"/>
                <w:szCs w:val="21"/>
                <w:color w:val="auto"/>
              </w:rPr>
            </w:pPr>
          </w:p>
        </w:tc>
        <w:tc>
          <w:tcPr>
            <w:tcW w:w="2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1680" w:type="dxa"/>
            <w:vAlign w:val="bottom"/>
            <w:tcBorders>
              <w:bottom w:val="single" w:sz="8" w:color="DDDDDD"/>
            </w:tcBorders>
          </w:tcPr>
          <w:p>
            <w:pPr>
              <w:spacing w:after="0"/>
              <w:rPr>
                <w:sz w:val="21"/>
                <w:szCs w:val="21"/>
                <w:color w:val="auto"/>
              </w:rPr>
            </w:pPr>
          </w:p>
        </w:tc>
        <w:tc>
          <w:tcPr>
            <w:tcW w:w="2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1120" w:type="dxa"/>
            <w:vAlign w:val="bottom"/>
            <w:tcBorders>
              <w:bottom w:val="single" w:sz="8" w:color="DDDDDD"/>
            </w:tcBorders>
          </w:tcPr>
          <w:p>
            <w:pPr>
              <w:spacing w:after="0"/>
              <w:rPr>
                <w:sz w:val="21"/>
                <w:szCs w:val="21"/>
                <w:color w:val="auto"/>
              </w:rPr>
            </w:pPr>
          </w:p>
        </w:tc>
        <w:tc>
          <w:tcPr>
            <w:tcW w:w="80" w:type="dxa"/>
            <w:vAlign w:val="bottom"/>
            <w:tcBorders>
              <w:bottom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90" w:type="dxa"/>
            <w:vAlign w:val="bottom"/>
            <w:shd w:val="clear" w:color="auto" w:fill="DDDDDD"/>
          </w:tcPr>
          <w:p>
            <w:pPr>
              <w:ind w:left="300"/>
              <w:spacing w:after="0" w:line="224" w:lineRule="exact"/>
              <w:rPr>
                <w:sz w:val="20"/>
                <w:szCs w:val="20"/>
                <w:color w:val="auto"/>
              </w:rPr>
            </w:pPr>
            <w:r>
              <w:rPr>
                <w:rFonts w:ascii="Times New Roman" w:cs="Times New Roman" w:eastAsia="Times New Roman" w:hAnsi="Times New Roman"/>
                <w:sz w:val="20"/>
                <w:szCs w:val="20"/>
                <w:color w:val="auto"/>
              </w:rPr>
              <w:t>Personnel related</w:t>
            </w:r>
          </w:p>
        </w:tc>
        <w:tc>
          <w:tcPr>
            <w:tcW w:w="89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26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rPr>
              <w:t>5,485</w:t>
            </w:r>
          </w:p>
        </w:tc>
        <w:tc>
          <w:tcPr>
            <w:tcW w:w="2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68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rPr>
              <w:t>5,849</w:t>
            </w:r>
          </w:p>
        </w:tc>
        <w:tc>
          <w:tcPr>
            <w:tcW w:w="2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highlight w:val="lightGray"/>
                <w:w w:val="79"/>
              </w:rPr>
              <w:t>$</w:t>
            </w:r>
          </w:p>
        </w:tc>
        <w:tc>
          <w:tcPr>
            <w:tcW w:w="1120" w:type="dxa"/>
            <w:vAlign w:val="bottom"/>
            <w:shd w:val="clear" w:color="auto" w:fill="DDDDDD"/>
          </w:tcPr>
          <w:p>
            <w:pPr>
              <w:jc w:val="right"/>
              <w:spacing w:after="0" w:line="224" w:lineRule="exact"/>
              <w:rPr>
                <w:sz w:val="20"/>
                <w:szCs w:val="20"/>
                <w:color w:val="auto"/>
              </w:rPr>
            </w:pPr>
            <w:r>
              <w:rPr>
                <w:rFonts w:ascii="Times New Roman" w:cs="Times New Roman" w:eastAsia="Times New Roman" w:hAnsi="Times New Roman"/>
                <w:sz w:val="20"/>
                <w:szCs w:val="20"/>
                <w:color w:val="auto"/>
              </w:rPr>
              <w:t>6,748</w:t>
            </w:r>
          </w:p>
        </w:tc>
        <w:tc>
          <w:tcPr>
            <w:tcW w:w="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DDDDDD"/>
            </w:tcBorders>
            <w:gridSpan w:val="3"/>
          </w:tcPr>
          <w:p>
            <w:pPr>
              <w:ind w:left="3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00" w:type="dxa"/>
            <w:vAlign w:val="bottom"/>
            <w:tcBorders>
              <w:bottom w:val="single" w:sz="8" w:color="DDDDDD"/>
            </w:tcBorders>
          </w:tcPr>
          <w:p>
            <w:pPr>
              <w:spacing w:after="0"/>
              <w:rPr>
                <w:sz w:val="21"/>
                <w:szCs w:val="21"/>
                <w:color w:val="auto"/>
              </w:rPr>
            </w:pPr>
          </w:p>
        </w:tc>
        <w:tc>
          <w:tcPr>
            <w:tcW w:w="12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20"/>
                <w:szCs w:val="20"/>
                <w:color w:val="auto"/>
              </w:rPr>
              <w:t>3,317</w:t>
            </w:r>
          </w:p>
        </w:tc>
        <w:tc>
          <w:tcPr>
            <w:tcW w:w="2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16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20"/>
                <w:szCs w:val="20"/>
                <w:color w:val="auto"/>
              </w:rPr>
              <w:t>5,216</w:t>
            </w:r>
          </w:p>
        </w:tc>
        <w:tc>
          <w:tcPr>
            <w:tcW w:w="2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11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20"/>
                <w:szCs w:val="20"/>
                <w:color w:val="auto"/>
              </w:rPr>
              <w:t>6,857</w:t>
            </w:r>
          </w:p>
        </w:tc>
        <w:tc>
          <w:tcPr>
            <w:tcW w:w="80" w:type="dxa"/>
            <w:vAlign w:val="bottom"/>
            <w:tcBorders>
              <w:bottom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490" w:type="dxa"/>
            <w:vAlign w:val="bottom"/>
            <w:tcBorders>
              <w:bottom w:val="single" w:sz="8" w:color="DDDDDD"/>
            </w:tcBorders>
            <w:shd w:val="clear" w:color="auto" w:fill="DDDDDD"/>
          </w:tcPr>
          <w:p>
            <w:pPr>
              <w:ind w:left="300"/>
              <w:spacing w:after="0" w:line="225" w:lineRule="exact"/>
              <w:rPr>
                <w:sz w:val="20"/>
                <w:szCs w:val="20"/>
                <w:color w:val="auto"/>
              </w:rPr>
            </w:pPr>
            <w:r>
              <w:rPr>
                <w:rFonts w:ascii="Times New Roman" w:cs="Times New Roman" w:eastAsia="Times New Roman" w:hAnsi="Times New Roman"/>
                <w:sz w:val="20"/>
                <w:szCs w:val="20"/>
                <w:color w:val="auto"/>
              </w:rPr>
              <w:t>External</w:t>
            </w:r>
          </w:p>
        </w:tc>
        <w:tc>
          <w:tcPr>
            <w:tcW w:w="89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00" w:type="dxa"/>
            <w:vAlign w:val="bottom"/>
            <w:tcBorders>
              <w:bottom w:val="single" w:sz="8" w:color="auto"/>
            </w:tcBorders>
            <w:shd w:val="clear" w:color="auto" w:fill="DDDDDD"/>
          </w:tcPr>
          <w:p>
            <w:pPr>
              <w:spacing w:after="0"/>
              <w:rPr>
                <w:sz w:val="21"/>
                <w:szCs w:val="21"/>
                <w:color w:val="auto"/>
              </w:rPr>
            </w:pPr>
          </w:p>
        </w:tc>
        <w:tc>
          <w:tcPr>
            <w:tcW w:w="1260" w:type="dxa"/>
            <w:vAlign w:val="bottom"/>
            <w:tcBorders>
              <w:bottom w:val="single" w:sz="8" w:color="auto"/>
            </w:tcBorders>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7,527</w:t>
            </w:r>
          </w:p>
        </w:tc>
        <w:tc>
          <w:tcPr>
            <w:tcW w:w="2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00" w:type="dxa"/>
            <w:vAlign w:val="bottom"/>
            <w:tcBorders>
              <w:bottom w:val="single" w:sz="8" w:color="auto"/>
            </w:tcBorders>
            <w:shd w:val="clear" w:color="auto" w:fill="DDDDDD"/>
          </w:tcPr>
          <w:p>
            <w:pPr>
              <w:spacing w:after="0"/>
              <w:rPr>
                <w:sz w:val="21"/>
                <w:szCs w:val="21"/>
                <w:color w:val="auto"/>
              </w:rPr>
            </w:pPr>
          </w:p>
        </w:tc>
        <w:tc>
          <w:tcPr>
            <w:tcW w:w="1680" w:type="dxa"/>
            <w:vAlign w:val="bottom"/>
            <w:tcBorders>
              <w:bottom w:val="single" w:sz="8" w:color="auto"/>
            </w:tcBorders>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15,856</w:t>
            </w:r>
          </w:p>
        </w:tc>
        <w:tc>
          <w:tcPr>
            <w:tcW w:w="2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00" w:type="dxa"/>
            <w:vAlign w:val="bottom"/>
            <w:tcBorders>
              <w:bottom w:val="single" w:sz="8" w:color="auto"/>
            </w:tcBorders>
            <w:shd w:val="clear" w:color="auto" w:fill="DDDDDD"/>
          </w:tcPr>
          <w:p>
            <w:pPr>
              <w:spacing w:after="0"/>
              <w:rPr>
                <w:sz w:val="21"/>
                <w:szCs w:val="21"/>
                <w:color w:val="auto"/>
              </w:rPr>
            </w:pPr>
          </w:p>
        </w:tc>
        <w:tc>
          <w:tcPr>
            <w:tcW w:w="1120" w:type="dxa"/>
            <w:vAlign w:val="bottom"/>
            <w:tcBorders>
              <w:bottom w:val="single" w:sz="8" w:color="auto"/>
            </w:tcBorders>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10,642</w:t>
            </w:r>
          </w:p>
        </w:tc>
        <w:tc>
          <w:tcPr>
            <w:tcW w:w="80" w:type="dxa"/>
            <w:vAlign w:val="bottom"/>
            <w:tcBorders>
              <w:bottom w:val="single" w:sz="8" w:color="DDDDDD"/>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400" w:type="dxa"/>
            <w:vAlign w:val="bottom"/>
            <w:tcBorders>
              <w:bottom w:val="single" w:sz="8" w:color="DDDDDD"/>
            </w:tcBorders>
            <w:gridSpan w:val="3"/>
          </w:tcPr>
          <w:p>
            <w:pPr>
              <w:spacing w:after="0" w:line="214" w:lineRule="exact"/>
              <w:rPr>
                <w:sz w:val="20"/>
                <w:szCs w:val="20"/>
                <w:color w:val="auto"/>
              </w:rPr>
            </w:pPr>
            <w:r>
              <w:rPr>
                <w:rFonts w:ascii="Times New Roman" w:cs="Times New Roman" w:eastAsia="Times New Roman" w:hAnsi="Times New Roman"/>
                <w:sz w:val="20"/>
                <w:szCs w:val="20"/>
                <w:color w:val="auto"/>
              </w:rPr>
              <w:t>Total general and administrative</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16,329</w:t>
            </w:r>
          </w:p>
        </w:tc>
        <w:tc>
          <w:tcPr>
            <w:tcW w:w="24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26,921</w:t>
            </w:r>
          </w:p>
        </w:tc>
        <w:tc>
          <w:tcPr>
            <w:tcW w:w="24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24,247</w:t>
            </w:r>
          </w:p>
        </w:tc>
        <w:tc>
          <w:tcPr>
            <w:tcW w:w="80" w:type="dxa"/>
            <w:vAlign w:val="bottom"/>
            <w:tcBorders>
              <w:bottom w:val="single" w:sz="8" w:color="DDDDDD"/>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9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890" w:type="dxa"/>
            <w:vAlign w:val="bottom"/>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86,206</w:t>
            </w:r>
          </w:p>
        </w:tc>
        <w:tc>
          <w:tcPr>
            <w:tcW w:w="240" w:type="dxa"/>
            <w:vAlign w:val="bottom"/>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85,448</w:t>
            </w:r>
          </w:p>
        </w:tc>
        <w:tc>
          <w:tcPr>
            <w:tcW w:w="240" w:type="dxa"/>
            <w:vAlign w:val="bottom"/>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c>
          <w:tcPr>
            <w:tcW w:w="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highlight w:val="lightGray"/>
                <w:w w:val="79"/>
              </w:rPr>
              <w:t>$</w:t>
            </w: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80,132</w:t>
            </w:r>
          </w:p>
        </w:tc>
        <w:tc>
          <w:tcPr>
            <w:tcW w:w="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90" w:type="dxa"/>
            <w:vAlign w:val="bottom"/>
          </w:tcPr>
          <w:p>
            <w:pPr>
              <w:spacing w:after="0" w:line="20" w:lineRule="exact"/>
              <w:rPr>
                <w:sz w:val="1"/>
                <w:szCs w:val="1"/>
                <w:color w:val="auto"/>
              </w:rPr>
            </w:pPr>
          </w:p>
        </w:tc>
        <w:tc>
          <w:tcPr>
            <w:tcW w:w="8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-656590</wp:posOffset>
                </wp:positionV>
                <wp:extent cx="594360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6999pt" to="468pt,-51.6999pt" o:allowincell="f" strokecolor="#FFFFFF" strokeweight="0.72pt"/>
            </w:pict>
          </mc:Fallback>
        </mc:AlternateConten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14. Subsequent Events</w:t>
      </w:r>
    </w:p>
    <w:p>
      <w:pPr>
        <w:spacing w:after="0" w:line="119" w:lineRule="exact"/>
        <w:rPr>
          <w:sz w:val="20"/>
          <w:szCs w:val="20"/>
          <w:color w:val="auto"/>
        </w:rPr>
      </w:pPr>
    </w:p>
    <w:p>
      <w:pPr>
        <w:ind w:right="380" w:firstLine="490"/>
        <w:spacing w:after="0" w:line="258" w:lineRule="auto"/>
        <w:rPr>
          <w:sz w:val="20"/>
          <w:szCs w:val="20"/>
          <w:color w:val="auto"/>
        </w:rPr>
      </w:pPr>
      <w:r>
        <w:rPr>
          <w:rFonts w:ascii="Times New Roman" w:cs="Times New Roman" w:eastAsia="Times New Roman" w:hAnsi="Times New Roman"/>
          <w:sz w:val="20"/>
          <w:szCs w:val="20"/>
          <w:color w:val="auto"/>
        </w:rPr>
        <w:t>The Company has evaluated subsequent events through March 6, 2026, the date these financial statements were issued. The Company determined that there were no subsequent events that required adjustment to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360"/>
          </w:cols>
          <w:pgMar w:left="1440" w:top="1420" w:right="1440" w:bottom="175" w:gutter="0" w:footer="0" w:header="0"/>
        </w:sectPr>
      </w:pPr>
    </w:p>
    <w:bookmarkStart w:id="130" w:name="page131"/>
    <w:bookmarkEnd w:id="130"/>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9.</w:t>
        <w:tab/>
        <w:t>Changes in and Disagreements with Accountants on Accounting and Financial Disclosure.</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None.</w:t>
      </w:r>
    </w:p>
    <w:p>
      <w:pPr>
        <w:spacing w:after="0" w:line="35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23"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20"/>
          <w:szCs w:val="20"/>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98"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auto"/>
        </w:rPr>
        <w:t>As of December 31, 2025, the Company conducted an evaluation, under the supervision and with the participation of our management, including our Chief Executive Officer and Chief Financial Officer, of the effectiveness of the design and operation of our disclosure controls and procedures, as such term is defined under Rules 13a-15(e) and 15(d)-15(e) promulgated under the Securities Exchange Act of 1934, as amended, or the Exchange Act. Based on this evaluation, our Chief Executive Officer and Chief Financial Officer concluded that our disclosure controls and procedures were effective at the reasonable assurance level as of the end of the period covered by this Annual Report on Form 10-K.</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25"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Rule 13a-15(f) promulgated under the Exchange Act. Under the supervision and with the participation of our management, including our Chief Executive Officer and Chief Financial Officer, our management assessed and conducted an evaluation of the effectiveness of our internal control over financial reporting based on the Internal Control—Integrated Framework (2013 framework) issued by the Committee of Sponsoring Organizations of the Treadway Commission. Based on this assessment, our management concluded that our internal control over financial reporting was effective as of December 31, 2025.</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24"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auto"/>
        </w:rPr>
        <w:t>An evaluation was also performed under the supervision and with the participation of our management, including our Chief Executive Officer and Chief Financial Officer, of any changes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during the fourth quarter of the year ended December 31, 2025 that has materially affected, or is reasonably likely to materially affect, our internal control over financial reporting.</w:t>
      </w:r>
    </w:p>
    <w:p>
      <w:pPr>
        <w:spacing w:after="0" w:line="3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Trading Plans of Directors and Executive Officers</w:t>
      </w:r>
    </w:p>
    <w:p>
      <w:pPr>
        <w:spacing w:after="0" w:line="121"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20"/>
          <w:szCs w:val="20"/>
          <w:color w:val="auto"/>
        </w:rPr>
        <w:t>During the three months ended December 31, 2025, no director or officer, as defined in Rule 16a-1(f) under the Securities Exchange Act of 1934, adopted or terminated a “Rule 10b5-1 trading arrangement” or a “non-Rule 10b5-1 trading arrangement,” each as defined in Regulation S-K Item 408.</w:t>
      </w:r>
    </w:p>
    <w:p>
      <w:pPr>
        <w:spacing w:after="0" w:line="3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360"/>
          </w:cols>
          <w:pgMar w:left="1440" w:top="1416" w:right="1440" w:bottom="175"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10.</w:t>
        <w:tab/>
        <w:t>Directors, Executive Officers and Corporate Governance.</w:t>
      </w:r>
    </w:p>
    <w:p>
      <w:pPr>
        <w:spacing w:after="0" w:line="124"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 “Directors and Corporate Governance” and “Executive Compensation” in our definitive proxy statement to be filed with the SEC on or before April 30, 2026, or the Proxy Statement, and is incorporated herein by reference.</w:t>
      </w:r>
    </w:p>
    <w:p>
      <w:pPr>
        <w:spacing w:after="0" w:line="3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125" w:lineRule="exact"/>
        <w:rPr>
          <w:sz w:val="20"/>
          <w:szCs w:val="20"/>
          <w:color w:val="auto"/>
        </w:rPr>
      </w:pPr>
    </w:p>
    <w:p>
      <w:pPr>
        <w:ind w:right="300" w:firstLine="619"/>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captions “Executive Compensation” and “Directors and Corporate Governance” in the Proxy Statement and is incorporated herein by reference.</w:t>
      </w:r>
    </w:p>
    <w:p>
      <w:pPr>
        <w:spacing w:after="0" w:line="285"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34"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captions “Beneficial Ownership of Shares of Common Stock” and “Executive Compensation—Equity Compensation Plan Information” in the Proxy Statement and is incorporated herein by reference.</w:t>
      </w:r>
    </w:p>
    <w:p>
      <w:pPr>
        <w:spacing w:after="0" w:line="3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125"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captions “Certain Relationships and Related Person Transactions” and “Directors and Corporate Governance” in the Proxy Statement and is incorporated herein by reference.</w:t>
      </w:r>
    </w:p>
    <w:p>
      <w:pPr>
        <w:spacing w:after="0" w:line="3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14.</w:t>
        <w:tab/>
        <w:t>Principal Accounting Fees and Services.</w:t>
      </w:r>
    </w:p>
    <w:p>
      <w:pPr>
        <w:spacing w:after="0" w:line="123" w:lineRule="exact"/>
        <w:rPr>
          <w:sz w:val="20"/>
          <w:szCs w:val="20"/>
          <w:color w:val="auto"/>
        </w:rPr>
      </w:pPr>
    </w:p>
    <w:p>
      <w:pPr>
        <w:jc w:val="both"/>
        <w:ind w:right="240" w:firstLine="619"/>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included under the captions “Ratification of Appointment of Independent Registered Public Accounting Firm”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360"/>
          </w:cols>
          <w:pgMar w:left="1440" w:top="1416" w:right="1440" w:bottom="175" w:gutter="0" w:footer="0" w:header="0"/>
        </w:sectPr>
      </w:pPr>
    </w:p>
    <w:bookmarkStart w:id="132" w:name="page133"/>
    <w:bookmarkEnd w:id="132"/>
    <w:p>
      <w:pPr>
        <w:ind w:left="428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15.</w:t>
        <w:tab/>
        <w:t>Exhibits and Financial Statement Schedules.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4"/>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7"/>
                <w:szCs w:val="17"/>
                <w:color w:val="auto"/>
              </w:rPr>
            </w:pPr>
          </w:p>
        </w:tc>
        <w:tc>
          <w:tcPr>
            <w:tcW w:w="45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20" w:type="dxa"/>
            <w:vAlign w:val="bottom"/>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80" w:type="dxa"/>
            <w:vAlign w:val="bottom"/>
          </w:tcPr>
          <w:p>
            <w:pPr>
              <w:spacing w:after="0"/>
              <w:rPr>
                <w:sz w:val="17"/>
                <w:szCs w:val="17"/>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r>
      <w:tr>
        <w:trPr>
          <w:trHeight w:val="337"/>
        </w:trPr>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Certificate of Incorporation of</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001-</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5"/>
              </w:rPr>
              <w:t>3.1</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September 29,</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the Registrant, as amended, as currently in effect.</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39539</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1"/>
        </w:trPr>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the Registrant, as</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001-</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3.3</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May 10, 2023</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currently in effect.</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39539</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2"/>
        </w:trPr>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Securities of the Registrant.</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001-</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March 3, 2021</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39539</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1"/>
        </w:trPr>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Specimen common stock certificate of the Registrant.</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5"/>
              </w:rPr>
              <w:t>4.2</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September 21,</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1"/>
        </w:trPr>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Form of Indenture.</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S-3</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4.5</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9"/>
              </w:rPr>
              <w:t>November 20,</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283349</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r>
      <w:tr>
        <w:trPr>
          <w:trHeight w:val="33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Form of Indemnification Agreement between the</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10.1</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September 4,</w:t>
            </w:r>
          </w:p>
        </w:tc>
      </w:tr>
      <w:tr>
        <w:trPr>
          <w:trHeight w:val="229"/>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Registrant and each of its directors and executive</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officers.</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2013 Equity Incentive Plan, as amended, and forms of</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10.2</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September 21,</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agreement thereunder.</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2020 Equity Incentive Plan and forms of agreements</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S-1/A</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10.3</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September 21,</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thereunder.</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2020 Employee Stock Purchase Plan and forms of</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001-</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May 9, 2024</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agreements thereunder.</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39539</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Employment Offer Letter, dated August 17, 2020, by</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10.5</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September 4,</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and between the Registrant and David H. Mack, Ph.D.</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Employment Offer Letter, dated February 22, 2021, by</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001-</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10.8</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March 1, 2022</w:t>
            </w:r>
          </w:p>
        </w:tc>
      </w:tr>
      <w:tr>
        <w:trPr>
          <w:trHeight w:val="229"/>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and between the Registrant and Deepika Jalota,</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39539</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Pharm.D.</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Employee Incentive Compensation Plan.</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10.9</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September 4,</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Change in Control and Severance Policy.</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1"/>
              </w:rPr>
              <w:t>10. 10</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September 4,</w:t>
            </w: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Change in Control and</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333-</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1"/>
              </w:rPr>
              <w:t>10. 11</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rPr>
              <w:t>September 4,</w:t>
            </w:r>
          </w:p>
        </w:tc>
      </w:tr>
      <w:tr>
        <w:trPr>
          <w:trHeight w:val="230"/>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Severance Policy Participation Agreement, dated</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248627</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r>
      <w:tr>
        <w:trPr>
          <w:trHeight w:val="230"/>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August 17, 2020, by and between the Registrant and</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David H. Mack, Ph.D.</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8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Change in Control and</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001-</w:t>
            </w:r>
          </w:p>
        </w:tc>
        <w:tc>
          <w:tcPr>
            <w:tcW w:w="8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1"/>
              </w:rPr>
              <w:t>10. 14</w:t>
            </w:r>
          </w:p>
        </w:tc>
        <w:tc>
          <w:tcPr>
            <w:tcW w:w="120" w:type="dxa"/>
            <w:vAlign w:val="bottom"/>
          </w:tcPr>
          <w:p>
            <w:pPr>
              <w:spacing w:after="0"/>
              <w:rPr>
                <w:sz w:val="24"/>
                <w:szCs w:val="24"/>
                <w:color w:val="auto"/>
              </w:rPr>
            </w:pPr>
          </w:p>
        </w:tc>
        <w:tc>
          <w:tcPr>
            <w:tcW w:w="12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May 10, 2022</w:t>
            </w:r>
          </w:p>
        </w:tc>
      </w:tr>
      <w:tr>
        <w:trPr>
          <w:trHeight w:val="230"/>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Severance Policy Participation Agreement, dated</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w w:val="99"/>
              </w:rPr>
              <w:t>39539</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March 23, 2022, by and between the Registrant and</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67"/>
        </w:trPr>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Deepika Jalota, Pharm.D.</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6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45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Amended Outside Director Compensation Policy.</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360"/>
          </w:cols>
          <w:pgMar w:left="1440" w:top="1416" w:right="1440" w:bottom="175"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Consulting Agreement, dated January 1, 2016, by and</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333-</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10.16</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September 4,</w:t>
            </w:r>
          </w:p>
        </w:tc>
      </w:tr>
      <w:tr>
        <w:trPr>
          <w:trHeight w:val="267"/>
        </w:trPr>
        <w:tc>
          <w:tcPr>
            <w:tcW w:w="80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between the Registrant and Arnold Levine, Ph.D.</w:t>
            </w:r>
          </w:p>
        </w:tc>
        <w:tc>
          <w:tcPr>
            <w:tcW w:w="7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248627</w:t>
            </w:r>
          </w:p>
        </w:tc>
        <w:tc>
          <w:tcPr>
            <w:tcW w:w="760" w:type="dxa"/>
            <w:vAlign w:val="bottom"/>
          </w:tcPr>
          <w:p>
            <w:pPr>
              <w:spacing w:after="0"/>
              <w:rPr>
                <w:sz w:val="23"/>
                <w:szCs w:val="23"/>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2020</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Consulting Agreement, dated May 21, 2021, by and</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1"/>
              </w:rPr>
              <w:t>10. 17</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March 1, 2022</w:t>
            </w:r>
          </w:p>
        </w:tc>
      </w:tr>
      <w:tr>
        <w:trPr>
          <w:trHeight w:val="229"/>
        </w:trPr>
        <w:tc>
          <w:tcPr>
            <w:tcW w:w="80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between the Registrant and Richard Heyman, Ph.D., as</w:t>
            </w:r>
          </w:p>
        </w:tc>
        <w:tc>
          <w:tcPr>
            <w:tcW w:w="7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39539</w:t>
            </w: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7"/>
        </w:trPr>
        <w:tc>
          <w:tcPr>
            <w:tcW w:w="80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amended on July 16, 2021.</w:t>
            </w: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Open Market Sale Agreement, dated as of October 4,</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78"/>
              </w:rPr>
              <w:t>S -</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333-</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1.2</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October 4,</w:t>
            </w:r>
          </w:p>
        </w:tc>
      </w:tr>
      <w:tr>
        <w:trPr>
          <w:trHeight w:val="267"/>
        </w:trPr>
        <w:tc>
          <w:tcPr>
            <w:tcW w:w="80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2021, between the Registrant and Jefferies LLC.</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3ASR</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260012</w:t>
            </w:r>
          </w:p>
        </w:tc>
        <w:tc>
          <w:tcPr>
            <w:tcW w:w="760" w:type="dxa"/>
            <w:vAlign w:val="bottom"/>
          </w:tcPr>
          <w:p>
            <w:pPr>
              <w:spacing w:after="0"/>
              <w:rPr>
                <w:sz w:val="23"/>
                <w:szCs w:val="23"/>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2021</w:t>
            </w: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Amended and Restated Employment Letter, dated</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10.22</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February 29,</w:t>
            </w:r>
          </w:p>
        </w:tc>
      </w:tr>
      <w:tr>
        <w:trPr>
          <w:trHeight w:val="229"/>
        </w:trPr>
        <w:tc>
          <w:tcPr>
            <w:tcW w:w="80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January 5, 2024, by and between the Registrant and</w:t>
            </w:r>
          </w:p>
        </w:tc>
        <w:tc>
          <w:tcPr>
            <w:tcW w:w="7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39539</w:t>
            </w:r>
          </w:p>
        </w:tc>
        <w:tc>
          <w:tcPr>
            <w:tcW w:w="760" w:type="dxa"/>
            <w:vAlign w:val="bottom"/>
          </w:tcPr>
          <w:p>
            <w:pPr>
              <w:spacing w:after="0"/>
              <w:rPr>
                <w:sz w:val="19"/>
                <w:szCs w:val="19"/>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2024</w:t>
            </w:r>
          </w:p>
        </w:tc>
      </w:tr>
      <w:tr>
        <w:trPr>
          <w:trHeight w:val="267"/>
        </w:trPr>
        <w:tc>
          <w:tcPr>
            <w:tcW w:w="80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Michael Carulli.</w:t>
            </w: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Amended and Restated Change in Control and</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10.24</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February 29,</w:t>
            </w:r>
          </w:p>
        </w:tc>
      </w:tr>
      <w:tr>
        <w:trPr>
          <w:trHeight w:val="229"/>
        </w:trPr>
        <w:tc>
          <w:tcPr>
            <w:tcW w:w="80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Severance Policy Participation Agreement, dated</w:t>
            </w:r>
          </w:p>
        </w:tc>
        <w:tc>
          <w:tcPr>
            <w:tcW w:w="7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39539</w:t>
            </w:r>
          </w:p>
        </w:tc>
        <w:tc>
          <w:tcPr>
            <w:tcW w:w="760" w:type="dxa"/>
            <w:vAlign w:val="bottom"/>
          </w:tcPr>
          <w:p>
            <w:pPr>
              <w:spacing w:after="0"/>
              <w:rPr>
                <w:sz w:val="19"/>
                <w:szCs w:val="19"/>
                <w:color w:val="auto"/>
              </w:rPr>
            </w:pPr>
          </w:p>
        </w:tc>
        <w:tc>
          <w:tcPr>
            <w:tcW w:w="130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2024</w:t>
            </w:r>
          </w:p>
        </w:tc>
      </w:tr>
      <w:tr>
        <w:trPr>
          <w:trHeight w:val="230"/>
        </w:trPr>
        <w:tc>
          <w:tcPr>
            <w:tcW w:w="800" w:type="dxa"/>
            <w:vAlign w:val="bottom"/>
          </w:tcPr>
          <w:p>
            <w:pPr>
              <w:spacing w:after="0"/>
              <w:rPr>
                <w:sz w:val="20"/>
                <w:szCs w:val="20"/>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January 5, 2024, by and between the Registrant and</w:t>
            </w: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Michael Carulli.</w:t>
            </w: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Amended and Restated Employment Offer Letter, dated</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May 9, 2025</w:t>
            </w:r>
          </w:p>
        </w:tc>
      </w:tr>
      <w:tr>
        <w:trPr>
          <w:trHeight w:val="230"/>
        </w:trPr>
        <w:tc>
          <w:tcPr>
            <w:tcW w:w="800" w:type="dxa"/>
            <w:vAlign w:val="bottom"/>
          </w:tcPr>
          <w:p>
            <w:pPr>
              <w:spacing w:after="0"/>
              <w:rPr>
                <w:sz w:val="20"/>
                <w:szCs w:val="20"/>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November 5, 2024, by and between the Registrant and</w:t>
            </w:r>
          </w:p>
        </w:tc>
        <w:tc>
          <w:tcPr>
            <w:tcW w:w="7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39539</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Robert Ticktin.</w:t>
            </w: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42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Amended and Restated Change in Control and</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May 9, 2025</w:t>
            </w:r>
          </w:p>
        </w:tc>
      </w:tr>
      <w:tr>
        <w:trPr>
          <w:trHeight w:val="230"/>
        </w:trPr>
        <w:tc>
          <w:tcPr>
            <w:tcW w:w="800" w:type="dxa"/>
            <w:vAlign w:val="bottom"/>
          </w:tcPr>
          <w:p>
            <w:pPr>
              <w:spacing w:after="0"/>
              <w:rPr>
                <w:sz w:val="20"/>
                <w:szCs w:val="20"/>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Severance Policy Participation Agreement, dated</w:t>
            </w:r>
          </w:p>
        </w:tc>
        <w:tc>
          <w:tcPr>
            <w:tcW w:w="7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39539</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9"/>
        </w:trPr>
        <w:tc>
          <w:tcPr>
            <w:tcW w:w="80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November 5, 2024, by and between the Registrant and</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7"/>
        </w:trPr>
        <w:tc>
          <w:tcPr>
            <w:tcW w:w="80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Robert Ticktin.</w:t>
            </w: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423"/>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Consulting Agreement, dated January 1, 2026, by and</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7"/>
        </w:trPr>
        <w:tc>
          <w:tcPr>
            <w:tcW w:w="80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between the Registrant and Charles Baum, MD., Ph.D.</w:t>
            </w: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Insider Trading Policy.</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19.1</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March 3, 2025</w:t>
            </w:r>
          </w:p>
        </w:tc>
      </w:tr>
      <w:tr>
        <w:trPr>
          <w:trHeight w:val="267"/>
        </w:trPr>
        <w:tc>
          <w:tcPr>
            <w:tcW w:w="80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39539</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List of Subsidiaries.</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001-</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21.1</w:t>
            </w:r>
          </w:p>
        </w:tc>
        <w:tc>
          <w:tcPr>
            <w:tcW w:w="130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March 1, 2022</w:t>
            </w:r>
          </w:p>
        </w:tc>
      </w:tr>
      <w:tr>
        <w:trPr>
          <w:trHeight w:val="267"/>
        </w:trPr>
        <w:tc>
          <w:tcPr>
            <w:tcW w:w="80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39539</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Consent of Independent Registered Public Accounting</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7"/>
        </w:trPr>
        <w:tc>
          <w:tcPr>
            <w:tcW w:w="80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Firm.</w:t>
            </w: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Power of Attorney (contained in the signature page to</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7"/>
        </w:trPr>
        <w:tc>
          <w:tcPr>
            <w:tcW w:w="80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this Annual Report on Form 10-K).</w:t>
            </w: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80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Rules 13a-14(a) and 15d-14(a) under the Securities</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Exchange Act of 1934, as Adopted Pursuant to Section</w:t>
            </w: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302 of the Sarbanes-Oxley Act of 2002.</w:t>
            </w: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Rules 13a-14(a) and 15d-14(a) under the Securities</w:t>
            </w: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0"/>
        </w:trPr>
        <w:tc>
          <w:tcPr>
            <w:tcW w:w="800" w:type="dxa"/>
            <w:vAlign w:val="bottom"/>
          </w:tcPr>
          <w:p>
            <w:pPr>
              <w:spacing w:after="0"/>
              <w:rPr>
                <w:sz w:val="20"/>
                <w:szCs w:val="20"/>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Exchange Act of 1934, as Adopted Pursuant to Section</w:t>
            </w: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302 of the Sarbanes-Oxley Act of 2002.</w:t>
            </w: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18 U.S.C. Section 1350, as Adopted Pursuant to</w:t>
            </w: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67"/>
        </w:trPr>
        <w:tc>
          <w:tcPr>
            <w:tcW w:w="80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80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18 U.S.C. Section 1350, as Adopted Pursuant to</w:t>
            </w: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7"/>
        </w:trPr>
        <w:tc>
          <w:tcPr>
            <w:tcW w:w="800" w:type="dxa"/>
            <w:vAlign w:val="bottom"/>
          </w:tcPr>
          <w:p>
            <w:pPr>
              <w:spacing w:after="0"/>
              <w:rPr>
                <w:sz w:val="23"/>
                <w:szCs w:val="23"/>
                <w:color w:val="auto"/>
              </w:rPr>
            </w:pP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9360"/>
          </w:cols>
          <w:pgMar w:left="1440" w:top="1419" w:right="1440" w:bottom="175"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Compensation Recovery Policy.</w:t>
            </w: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10-K</w:t>
            </w:r>
          </w:p>
        </w:tc>
        <w:tc>
          <w:tcPr>
            <w:tcW w:w="9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001-</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97.1</w:t>
            </w:r>
          </w:p>
        </w:tc>
        <w:tc>
          <w:tcPr>
            <w:tcW w:w="120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w w:val="99"/>
              </w:rPr>
              <w:t>February 29,</w:t>
            </w:r>
          </w:p>
        </w:tc>
      </w:tr>
      <w:tr>
        <w:trPr>
          <w:trHeight w:val="267"/>
        </w:trPr>
        <w:tc>
          <w:tcPr>
            <w:tcW w:w="84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39539</w:t>
            </w:r>
          </w:p>
        </w:tc>
        <w:tc>
          <w:tcPr>
            <w:tcW w:w="780" w:type="dxa"/>
            <w:vAlign w:val="bottom"/>
          </w:tcPr>
          <w:p>
            <w:pPr>
              <w:spacing w:after="0"/>
              <w:rPr>
                <w:sz w:val="23"/>
                <w:szCs w:val="23"/>
                <w:color w:val="auto"/>
              </w:rPr>
            </w:pPr>
          </w:p>
        </w:tc>
        <w:tc>
          <w:tcPr>
            <w:tcW w:w="12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2024</w:t>
            </w:r>
          </w:p>
        </w:tc>
      </w:tr>
      <w:tr>
        <w:trPr>
          <w:trHeight w:val="33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Instance Document-the Instance</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9"/>
        </w:trPr>
        <w:tc>
          <w:tcPr>
            <w:tcW w:w="840" w:type="dxa"/>
            <w:vAlign w:val="bottom"/>
          </w:tcPr>
          <w:p>
            <w:pPr>
              <w:spacing w:after="0"/>
              <w:rPr>
                <w:sz w:val="19"/>
                <w:szCs w:val="19"/>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Document does not appear in the Interactive Data File</w:t>
            </w: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4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because XBRL tags are embedded within the Inline</w:t>
            </w: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7"/>
        </w:trPr>
        <w:tc>
          <w:tcPr>
            <w:tcW w:w="840" w:type="dxa"/>
            <w:vAlign w:val="bottom"/>
          </w:tcPr>
          <w:p>
            <w:pPr>
              <w:spacing w:after="0"/>
              <w:rPr>
                <w:sz w:val="23"/>
                <w:szCs w:val="23"/>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XBRL document.</w:t>
            </w: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6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46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01" w:lineRule="exact"/>
        <w:rPr>
          <w:sz w:val="20"/>
          <w:szCs w:val="20"/>
          <w:color w:val="auto"/>
        </w:rPr>
      </w:pPr>
    </w:p>
    <w:p>
      <w:pPr>
        <w:ind w:left="920" w:right="3960" w:hanging="920"/>
        <w:spacing w:after="0" w:line="258" w:lineRule="auto"/>
        <w:tabs>
          <w:tab w:leader="none" w:pos="9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72390</wp:posOffset>
                </wp:positionV>
                <wp:extent cx="95250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5.7pt" to="73.5pt,5.7pt" o:allowincell="f" strokecolor="#000000" strokeweight="0.72pt"/>
            </w:pict>
          </mc:Fallback>
        </mc:AlternateConten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herewith.</w:t>
      </w:r>
    </w:p>
    <w:p>
      <w:pPr>
        <w:spacing w:after="0" w:line="148" w:lineRule="exact"/>
        <w:rPr>
          <w:sz w:val="20"/>
          <w:szCs w:val="20"/>
          <w:color w:val="auto"/>
        </w:rPr>
      </w:pPr>
    </w:p>
    <w:p>
      <w:pPr>
        <w:ind w:left="200" w:hanging="200"/>
        <w:spacing w:after="0"/>
        <w:tabs>
          <w:tab w:leader="none" w:pos="200" w:val="left"/>
        </w:tabs>
        <w:numPr>
          <w:ilvl w:val="0"/>
          <w:numId w:val="68"/>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Indicated management contract or compensatory plan.</w:t>
      </w:r>
    </w:p>
    <w:p>
      <w:pPr>
        <w:spacing w:after="0" w:line="92" w:lineRule="exact"/>
        <w:rPr>
          <w:sz w:val="20"/>
          <w:szCs w:val="20"/>
          <w:color w:val="auto"/>
        </w:rPr>
      </w:pPr>
    </w:p>
    <w:p>
      <w:pPr>
        <w:jc w:val="both"/>
        <w:ind w:right="300"/>
        <w:spacing w:after="0" w:line="249" w:lineRule="auto"/>
        <w:tabs>
          <w:tab w:leader="none" w:pos="15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attached as Exhibits 32.1 and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Company has elected not to include summary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360"/>
          </w:cols>
          <w:pgMar w:left="1440" w:top="1419" w:right="1440" w:bottom="175"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ind w:right="60" w:firstLine="619"/>
        <w:spacing w:after="0" w:line="25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Annual Report to be signed on its behalf by the undersigned, thereunto duly authorized.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160" w:type="dxa"/>
            <w:vAlign w:val="bottom"/>
          </w:tcPr>
          <w:p>
            <w:pPr>
              <w:spacing w:after="0"/>
              <w:rPr>
                <w:sz w:val="23"/>
                <w:szCs w:val="23"/>
                <w:color w:val="auto"/>
              </w:rPr>
            </w:pPr>
          </w:p>
        </w:tc>
        <w:tc>
          <w:tcPr>
            <w:tcW w:w="6200" w:type="dxa"/>
            <w:vAlign w:val="bottom"/>
            <w:gridSpan w:val="2"/>
          </w:tcPr>
          <w:p>
            <w:pPr>
              <w:ind w:left="1520"/>
              <w:spacing w:after="0"/>
              <w:rPr>
                <w:sz w:val="20"/>
                <w:szCs w:val="20"/>
                <w:color w:val="auto"/>
              </w:rPr>
            </w:pPr>
            <w:r>
              <w:rPr>
                <w:rFonts w:ascii="Times New Roman" w:cs="Times New Roman" w:eastAsia="Times New Roman" w:hAnsi="Times New Roman"/>
                <w:sz w:val="20"/>
                <w:szCs w:val="20"/>
                <w:b w:val="1"/>
                <w:bCs w:val="1"/>
                <w:color w:val="auto"/>
              </w:rPr>
              <w:t>PMV PHARMACEUTICALS, INC.</w:t>
            </w:r>
          </w:p>
        </w:tc>
        <w:tc>
          <w:tcPr>
            <w:tcW w:w="0" w:type="dxa"/>
            <w:vAlign w:val="bottom"/>
          </w:tcPr>
          <w:p>
            <w:pPr>
              <w:spacing w:after="0"/>
              <w:rPr>
                <w:sz w:val="1"/>
                <w:szCs w:val="1"/>
                <w:color w:val="auto"/>
              </w:rPr>
            </w:pPr>
          </w:p>
        </w:tc>
      </w:tr>
      <w:tr>
        <w:trPr>
          <w:trHeight w:val="458"/>
        </w:trPr>
        <w:tc>
          <w:tcPr>
            <w:tcW w:w="3160" w:type="dxa"/>
            <w:vAlign w:val="bottom"/>
          </w:tcPr>
          <w:p>
            <w:pPr>
              <w:spacing w:after="0"/>
              <w:rPr>
                <w:sz w:val="24"/>
                <w:szCs w:val="24"/>
                <w:color w:val="auto"/>
              </w:rPr>
            </w:pPr>
          </w:p>
        </w:tc>
        <w:tc>
          <w:tcPr>
            <w:tcW w:w="6200" w:type="dxa"/>
            <w:vAlign w:val="bottom"/>
            <w:gridSpan w:val="2"/>
          </w:tcPr>
          <w:p>
            <w:pPr>
              <w:ind w:left="1520"/>
              <w:spacing w:after="0"/>
              <w:rPr>
                <w:sz w:val="20"/>
                <w:szCs w:val="20"/>
                <w:color w:val="auto"/>
              </w:rPr>
            </w:pPr>
            <w:r>
              <w:rPr>
                <w:rFonts w:ascii="Times New Roman" w:cs="Times New Roman" w:eastAsia="Times New Roman" w:hAnsi="Times New Roman"/>
                <w:sz w:val="20"/>
                <w:szCs w:val="20"/>
                <w:color w:val="auto"/>
              </w:rPr>
              <w:t>By:  /s/ David H. Mack</w:t>
            </w:r>
          </w:p>
        </w:tc>
        <w:tc>
          <w:tcPr>
            <w:tcW w:w="0" w:type="dxa"/>
            <w:vAlign w:val="bottom"/>
          </w:tcPr>
          <w:p>
            <w:pPr>
              <w:spacing w:after="0"/>
              <w:rPr>
                <w:sz w:val="1"/>
                <w:szCs w:val="1"/>
                <w:color w:val="auto"/>
              </w:rPr>
            </w:pPr>
          </w:p>
        </w:tc>
      </w:tr>
      <w:tr>
        <w:trPr>
          <w:trHeight w:val="224"/>
        </w:trPr>
        <w:tc>
          <w:tcPr>
            <w:tcW w:w="31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Date: March 6, 2026</w:t>
            </w:r>
          </w:p>
        </w:tc>
        <w:tc>
          <w:tcPr>
            <w:tcW w:w="1980" w:type="dxa"/>
            <w:vAlign w:val="bottom"/>
          </w:tcPr>
          <w:p>
            <w:pPr>
              <w:spacing w:after="0"/>
              <w:rPr>
                <w:sz w:val="19"/>
                <w:szCs w:val="19"/>
                <w:color w:val="auto"/>
              </w:rPr>
            </w:pPr>
          </w:p>
        </w:tc>
        <w:tc>
          <w:tcPr>
            <w:tcW w:w="4220" w:type="dxa"/>
            <w:vAlign w:val="bottom"/>
            <w:tcBorders>
              <w:top w:val="single" w:sz="8" w:color="auto"/>
            </w:tcBorders>
          </w:tcPr>
          <w:p>
            <w:pPr>
              <w:spacing w:after="0" w:line="225" w:lineRule="exact"/>
              <w:rPr>
                <w:sz w:val="20"/>
                <w:szCs w:val="20"/>
                <w:color w:val="auto"/>
              </w:rPr>
            </w:pPr>
            <w:r>
              <w:rPr>
                <w:rFonts w:ascii="Times New Roman" w:cs="Times New Roman" w:eastAsia="Times New Roman" w:hAnsi="Times New Roman"/>
                <w:sz w:val="20"/>
                <w:szCs w:val="20"/>
                <w:color w:val="auto"/>
              </w:rPr>
              <w:t>David H. Mack, Ph.D.</w:t>
            </w:r>
          </w:p>
        </w:tc>
        <w:tc>
          <w:tcPr>
            <w:tcW w:w="0" w:type="dxa"/>
            <w:vAlign w:val="bottom"/>
          </w:tcPr>
          <w:p>
            <w:pPr>
              <w:spacing w:after="0"/>
              <w:rPr>
                <w:sz w:val="1"/>
                <w:szCs w:val="1"/>
                <w:color w:val="auto"/>
              </w:rPr>
            </w:pPr>
          </w:p>
        </w:tc>
      </w:tr>
      <w:tr>
        <w:trPr>
          <w:trHeight w:val="265"/>
        </w:trPr>
        <w:tc>
          <w:tcPr>
            <w:tcW w:w="3160" w:type="dxa"/>
            <w:vAlign w:val="bottom"/>
            <w:vMerge w:val="continue"/>
          </w:tcPr>
          <w:p>
            <w:pPr>
              <w:spacing w:after="0"/>
              <w:rPr>
                <w:sz w:val="23"/>
                <w:szCs w:val="23"/>
                <w:color w:val="auto"/>
              </w:rPr>
            </w:pPr>
          </w:p>
        </w:tc>
        <w:tc>
          <w:tcPr>
            <w:tcW w:w="1980" w:type="dxa"/>
            <w:vAlign w:val="bottom"/>
          </w:tcPr>
          <w:p>
            <w:pPr>
              <w:spacing w:after="0"/>
              <w:rPr>
                <w:sz w:val="23"/>
                <w:szCs w:val="2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President and Chief Executive Officer</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4" w:lineRule="exact"/>
        <w:rPr>
          <w:sz w:val="20"/>
          <w:szCs w:val="20"/>
          <w:color w:val="auto"/>
        </w:rPr>
      </w:pPr>
    </w:p>
    <w:p>
      <w:pPr>
        <w:ind w:right="20" w:firstLine="620"/>
        <w:spacing w:after="0" w:line="244"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David H. Mack, Ph.D. and Michael Carulli, jointly and each one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that all said attorneys-in-fact and agents, or his or her substitute or substitutes, may lawfully do or cause to be done by virtue hereof.</w:t>
      </w:r>
    </w:p>
    <w:p>
      <w:pPr>
        <w:spacing w:after="0" w:line="237" w:lineRule="exact"/>
        <w:rPr>
          <w:sz w:val="20"/>
          <w:szCs w:val="20"/>
          <w:color w:val="auto"/>
        </w:rPr>
      </w:pPr>
    </w:p>
    <w:p>
      <w:pPr>
        <w:ind w:right="120" w:firstLine="619"/>
        <w:spacing w:after="0" w:line="25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100" w:type="dxa"/>
            <w:vAlign w:val="bottom"/>
          </w:tcPr>
          <w:p>
            <w:pPr>
              <w:spacing w:after="0"/>
              <w:rPr>
                <w:sz w:val="17"/>
                <w:szCs w:val="17"/>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00" w:type="dxa"/>
            <w:vAlign w:val="bottom"/>
          </w:tcPr>
          <w:p>
            <w:pPr>
              <w:spacing w:after="0"/>
              <w:rPr>
                <w:sz w:val="17"/>
                <w:szCs w:val="17"/>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6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David H. Mack</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President, Chief Executive Officer and</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6, 2026</w:t>
            </w:r>
          </w:p>
        </w:tc>
      </w:tr>
      <w:tr>
        <w:trPr>
          <w:trHeight w:val="190"/>
        </w:trPr>
        <w:tc>
          <w:tcPr>
            <w:tcW w:w="272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auto"/>
              </w:rPr>
              <w:t>David H. Mack, Ph.D.</w:t>
            </w:r>
          </w:p>
        </w:tc>
        <w:tc>
          <w:tcPr>
            <w:tcW w:w="100" w:type="dxa"/>
            <w:vAlign w:val="bottom"/>
          </w:tcPr>
          <w:p>
            <w:pPr>
              <w:spacing w:after="0"/>
              <w:rPr>
                <w:sz w:val="16"/>
                <w:szCs w:val="16"/>
                <w:color w:val="auto"/>
              </w:rPr>
            </w:pPr>
          </w:p>
        </w:tc>
        <w:tc>
          <w:tcPr>
            <w:tcW w:w="3720" w:type="dxa"/>
            <w:vAlign w:val="bottom"/>
          </w:tcPr>
          <w:p>
            <w:pPr>
              <w:jc w:val="center"/>
              <w:spacing w:after="0" w:line="190" w:lineRule="exact"/>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267"/>
        </w:trPr>
        <w:tc>
          <w:tcPr>
            <w:tcW w:w="2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Executive Officer)</w:t>
            </w:r>
          </w:p>
        </w:tc>
        <w:tc>
          <w:tcPr>
            <w:tcW w:w="10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37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Michael Carulli</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Financial Officer</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6, 2026</w:t>
            </w:r>
          </w:p>
        </w:tc>
      </w:tr>
      <w:tr>
        <w:trPr>
          <w:trHeight w:val="261"/>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Michael Carulli</w:t>
            </w:r>
          </w:p>
        </w:tc>
        <w:tc>
          <w:tcPr>
            <w:tcW w:w="100" w:type="dxa"/>
            <w:vAlign w:val="bottom"/>
          </w:tcPr>
          <w:p>
            <w:pPr>
              <w:spacing w:after="0"/>
              <w:rPr>
                <w:sz w:val="22"/>
                <w:szCs w:val="22"/>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53"/>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Richard Heyman</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 and Chairman of the Board of</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6, 2026</w:t>
            </w:r>
          </w:p>
        </w:tc>
      </w:tr>
      <w:tr>
        <w:trPr>
          <w:trHeight w:val="261"/>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Richard Heyman, Ph.D.</w:t>
            </w:r>
          </w:p>
        </w:tc>
        <w:tc>
          <w:tcPr>
            <w:tcW w:w="100" w:type="dxa"/>
            <w:vAlign w:val="bottom"/>
          </w:tcPr>
          <w:p>
            <w:pPr>
              <w:spacing w:after="0"/>
              <w:rPr>
                <w:sz w:val="22"/>
                <w:szCs w:val="22"/>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Directors</w:t>
            </w: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5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Arnold Levine</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6, 2026</w:t>
            </w:r>
          </w:p>
        </w:tc>
      </w:tr>
      <w:tr>
        <w:trPr>
          <w:trHeight w:val="261"/>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Arnold Levine, Ph.D.</w:t>
            </w:r>
          </w:p>
        </w:tc>
        <w:tc>
          <w:tcPr>
            <w:tcW w:w="1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53"/>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Carol Gallagher</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6, 2026</w:t>
            </w:r>
          </w:p>
        </w:tc>
      </w:tr>
      <w:tr>
        <w:trPr>
          <w:trHeight w:val="261"/>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Carol Gallagher, Ph.D.</w:t>
            </w:r>
          </w:p>
        </w:tc>
        <w:tc>
          <w:tcPr>
            <w:tcW w:w="1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51"/>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Laurie Stelzer</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6, 2026</w:t>
            </w:r>
          </w:p>
        </w:tc>
      </w:tr>
      <w:tr>
        <w:trPr>
          <w:trHeight w:val="261"/>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Laurie Stelzer</w:t>
            </w:r>
          </w:p>
        </w:tc>
        <w:tc>
          <w:tcPr>
            <w:tcW w:w="1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353"/>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Charles M. Baum</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6, 2026</w:t>
            </w:r>
          </w:p>
        </w:tc>
      </w:tr>
      <w:tr>
        <w:trPr>
          <w:trHeight w:val="261"/>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Charles M. Baum, MD., Ph.D.</w:t>
            </w:r>
          </w:p>
        </w:tc>
        <w:tc>
          <w:tcPr>
            <w:tcW w:w="1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444"/>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Kirsten Flowers</w:t>
            </w:r>
          </w:p>
        </w:tc>
        <w:tc>
          <w:tcPr>
            <w:tcW w:w="1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6, 2026</w:t>
            </w:r>
          </w:p>
        </w:tc>
      </w:tr>
      <w:tr>
        <w:trPr>
          <w:trHeight w:val="261"/>
        </w:trPr>
        <w:tc>
          <w:tcPr>
            <w:tcW w:w="2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Kirsten Flowers</w:t>
            </w:r>
          </w:p>
        </w:tc>
        <w:tc>
          <w:tcPr>
            <w:tcW w:w="1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360"/>
          </w:cols>
          <w:pgMar w:left="1440" w:top="1416" w:right="1440" w:bottom="175"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38" w:name="page139"/>
    <w:bookmarkEnd w:id="138"/>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39" w:name="page140"/>
    <w:bookmarkEnd w:id="139"/>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ց"/>
      <w:numFmt w:val="bullet"/>
      <w:start w:val="1"/>
    </w:lvl>
  </w:abstractNum>
  <w:abstractNum w:abstractNumId="1">
    <w:nsid w:val="440BADFC"/>
    <w:multiLevelType w:val="hybridMultilevel"/>
    <w:lvl w:ilvl="0">
      <w:lvlJc w:val="left"/>
      <w:lvlText w:val="տ"/>
      <w:numFmt w:val="bullet"/>
      <w:start w:val="1"/>
    </w:lvl>
  </w:abstractNum>
  <w:abstractNum w:abstractNumId="2">
    <w:nsid w:val="5072367"/>
    <w:multiLevelType w:val="hybridMultilevel"/>
    <w:lvl w:ilvl="0">
      <w:lvlJc w:val="left"/>
      <w:lvlText w:val="x"/>
      <w:numFmt w:val="bullet"/>
      <w:start w:val="1"/>
    </w:lvl>
  </w:abstractNum>
  <w:abstractNum w:abstractNumId="3">
    <w:nsid w:val="3804823E"/>
    <w:multiLevelType w:val="hybridMultilevel"/>
    <w:lvl w:ilvl="0">
      <w:lvlJc w:val="left"/>
      <w:lvlText w:val="x"/>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x"/>
      <w:numFmt w:val="bullet"/>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x"/>
      <w:numFmt w:val="bullet"/>
      <w:start w:val="1"/>
    </w:lvl>
  </w:abstractNum>
  <w:abstractNum w:abstractNumId="8">
    <w:nsid w:val="5E884ADC"/>
    <w:multiLevelType w:val="hybridMultilevel"/>
    <w:lvl w:ilvl="0">
      <w:lvlJc w:val="left"/>
      <w:lvlText w:val="x"/>
      <w:numFmt w:val="bullet"/>
      <w:start w:val="1"/>
    </w:lvl>
  </w:abstractNum>
  <w:abstractNum w:abstractNumId="9">
    <w:nsid w:val="51EAD36B"/>
    <w:multiLevelType w:val="hybridMultilevel"/>
    <w:lvl w:ilvl="0">
      <w:lvlJc w:val="left"/>
      <w:lvlText w:val="x"/>
      <w:numFmt w:val="bullet"/>
      <w:start w:val="1"/>
    </w:lvl>
  </w:abstractNum>
  <w:abstractNum w:abstractNumId="10">
    <w:nsid w:val="2D517796"/>
    <w:multiLevelType w:val="hybridMultilevel"/>
    <w:lvl w:ilvl="0">
      <w:lvlJc w:val="left"/>
      <w:lvlText w:val="x"/>
      <w:numFmt w:val="bullet"/>
      <w:start w:val="1"/>
    </w:lvl>
  </w:abstractNum>
  <w:abstractNum w:abstractNumId="11">
    <w:nsid w:val="580BD78F"/>
    <w:multiLevelType w:val="hybridMultilevel"/>
    <w:lvl w:ilvl="0">
      <w:lvlJc w:val="left"/>
      <w:lvlText w:val="x"/>
      <w:numFmt w:val="bullet"/>
      <w:start w:val="1"/>
    </w:lvl>
  </w:abstractNum>
  <w:abstractNum w:abstractNumId="12">
    <w:nsid w:val="153EA438"/>
    <w:multiLevelType w:val="hybridMultilevel"/>
    <w:lvl w:ilvl="0">
      <w:lvlJc w:val="left"/>
      <w:lvlText w:val="x"/>
      <w:numFmt w:val="bullet"/>
      <w:start w:val="1"/>
    </w:lvl>
  </w:abstractNum>
  <w:abstractNum w:abstractNumId="13">
    <w:nsid w:val="3855585C"/>
    <w:multiLevelType w:val="hybridMultilevel"/>
    <w:lvl w:ilvl="0">
      <w:lvlJc w:val="left"/>
      <w:lvlText w:val="x"/>
      <w:numFmt w:val="bullet"/>
      <w:start w:val="1"/>
    </w:lvl>
  </w:abstractNum>
  <w:abstractNum w:abstractNumId="14">
    <w:nsid w:val="70A64E2A"/>
    <w:multiLevelType w:val="hybridMultilevel"/>
    <w:lvl w:ilvl="0">
      <w:lvlJc w:val="left"/>
      <w:lvlText w:val="x"/>
      <w:numFmt w:val="bullet"/>
      <w:start w:val="1"/>
    </w:lvl>
  </w:abstractNum>
  <w:abstractNum w:abstractNumId="15">
    <w:nsid w:val="6A2342EC"/>
    <w:multiLevelType w:val="hybridMultilevel"/>
    <w:lvl w:ilvl="0">
      <w:lvlJc w:val="left"/>
      <w:lvlText w:val="x"/>
      <w:numFmt w:val="bullet"/>
      <w:start w:val="1"/>
    </w:lvl>
  </w:abstractNum>
  <w:abstractNum w:abstractNumId="16">
    <w:nsid w:val="2A487CB0"/>
    <w:multiLevelType w:val="hybridMultilevel"/>
    <w:lvl w:ilvl="0">
      <w:lvlJc w:val="left"/>
      <w:lvlText w:val="x"/>
      <w:numFmt w:val="bullet"/>
      <w:start w:val="1"/>
    </w:lvl>
  </w:abstractNum>
  <w:abstractNum w:abstractNumId="17">
    <w:nsid w:val="1D4ED43B"/>
    <w:multiLevelType w:val="hybridMultilevel"/>
    <w:lvl w:ilvl="0">
      <w:lvlJc w:val="left"/>
      <w:lvlText w:val="x"/>
      <w:numFmt w:val="bullet"/>
      <w:start w:val="1"/>
    </w:lvl>
  </w:abstractNum>
  <w:abstractNum w:abstractNumId="18">
    <w:nsid w:val="725A06FB"/>
    <w:multiLevelType w:val="hybridMultilevel"/>
    <w:lvl w:ilvl="0">
      <w:lvlJc w:val="left"/>
      <w:lvlText w:val="x"/>
      <w:numFmt w:val="bullet"/>
      <w:start w:val="1"/>
    </w:lvl>
  </w:abstractNum>
  <w:abstractNum w:abstractNumId="19">
    <w:nsid w:val="2CD89A32"/>
    <w:multiLevelType w:val="hybridMultilevel"/>
    <w:lvl w:ilvl="0">
      <w:lvlJc w:val="left"/>
      <w:lvlText w:val="x"/>
      <w:numFmt w:val="bullet"/>
      <w:start w:val="1"/>
    </w:lvl>
  </w:abstractNum>
  <w:abstractNum w:abstractNumId="20">
    <w:nsid w:val="57E4CCAF"/>
    <w:multiLevelType w:val="hybridMultilevel"/>
    <w:lvl w:ilvl="0">
      <w:lvlJc w:val="left"/>
      <w:lvlText w:val="x"/>
      <w:numFmt w:val="bullet"/>
      <w:start w:val="1"/>
    </w:lvl>
  </w:abstractNum>
  <w:abstractNum w:abstractNumId="21">
    <w:nsid w:val="7A6D8D3C"/>
    <w:multiLevelType w:val="hybridMultilevel"/>
    <w:lvl w:ilvl="0">
      <w:lvlJc w:val="left"/>
      <w:lvlText w:val="x"/>
      <w:numFmt w:val="bullet"/>
      <w:start w:val="1"/>
    </w:lvl>
  </w:abstractNum>
  <w:abstractNum w:abstractNumId="22">
    <w:nsid w:val="4B588F54"/>
    <w:multiLevelType w:val="hybridMultilevel"/>
    <w:lvl w:ilvl="0">
      <w:lvlJc w:val="left"/>
      <w:lvlText w:val="x"/>
      <w:numFmt w:val="bullet"/>
      <w:start w:val="1"/>
    </w:lvl>
  </w:abstractNum>
  <w:abstractNum w:abstractNumId="23">
    <w:nsid w:val="542289EC"/>
    <w:multiLevelType w:val="hybridMultilevel"/>
    <w:lvl w:ilvl="0">
      <w:lvlJc w:val="left"/>
      <w:lvlText w:val="x"/>
      <w:numFmt w:val="bullet"/>
      <w:start w:val="1"/>
    </w:lvl>
  </w:abstractNum>
  <w:abstractNum w:abstractNumId="24">
    <w:nsid w:val="6DE91B18"/>
    <w:multiLevelType w:val="hybridMultilevel"/>
    <w:lvl w:ilvl="0">
      <w:lvlJc w:val="left"/>
      <w:lvlText w:val="x"/>
      <w:numFmt w:val="bullet"/>
      <w:start w:val="1"/>
    </w:lvl>
  </w:abstractNum>
  <w:abstractNum w:abstractNumId="25">
    <w:nsid w:val="38437FDB"/>
    <w:multiLevelType w:val="hybridMultilevel"/>
    <w:lvl w:ilvl="0">
      <w:lvlJc w:val="left"/>
      <w:lvlText w:val="x"/>
      <w:numFmt w:val="bullet"/>
      <w:start w:val="1"/>
    </w:lvl>
  </w:abstractNum>
  <w:abstractNum w:abstractNumId="26">
    <w:nsid w:val="7644A45C"/>
    <w:multiLevelType w:val="hybridMultilevel"/>
    <w:lvl w:ilvl="0">
      <w:lvlJc w:val="left"/>
      <w:lvlText w:val="x"/>
      <w:numFmt w:val="bullet"/>
      <w:start w:val="1"/>
    </w:lvl>
  </w:abstractNum>
  <w:abstractNum w:abstractNumId="27">
    <w:nsid w:val="32FFF902"/>
    <w:multiLevelType w:val="hybridMultilevel"/>
    <w:lvl w:ilvl="0">
      <w:lvlJc w:val="left"/>
      <w:lvlText w:val="x"/>
      <w:numFmt w:val="bullet"/>
      <w:start w:val="1"/>
    </w:lvl>
  </w:abstractNum>
  <w:abstractNum w:abstractNumId="28">
    <w:nsid w:val="684A481A"/>
    <w:multiLevelType w:val="hybridMultilevel"/>
    <w:lvl w:ilvl="0">
      <w:lvlJc w:val="left"/>
      <w:lvlText w:val="x"/>
      <w:numFmt w:val="bullet"/>
      <w:start w:val="1"/>
    </w:lvl>
  </w:abstractNum>
  <w:abstractNum w:abstractNumId="29">
    <w:nsid w:val="579478FE"/>
    <w:multiLevelType w:val="hybridMultilevel"/>
    <w:lvl w:ilvl="0">
      <w:lvlJc w:val="left"/>
      <w:lvlText w:val="x"/>
      <w:numFmt w:val="bullet"/>
      <w:start w:val="1"/>
    </w:lvl>
  </w:abstractNum>
  <w:abstractNum w:abstractNumId="30">
    <w:nsid w:val="749ABB43"/>
    <w:multiLevelType w:val="hybridMultilevel"/>
    <w:lvl w:ilvl="0">
      <w:lvlJc w:val="left"/>
      <w:lvlText w:val="x"/>
      <w:numFmt w:val="bullet"/>
      <w:start w:val="1"/>
    </w:lvl>
  </w:abstractNum>
  <w:abstractNum w:abstractNumId="31">
    <w:nsid w:val="3DC240FB"/>
    <w:multiLevelType w:val="hybridMultilevel"/>
    <w:lvl w:ilvl="0">
      <w:lvlJc w:val="left"/>
      <w:lvlText w:val="x"/>
      <w:numFmt w:val="bullet"/>
      <w:start w:val="1"/>
    </w:lvl>
  </w:abstractNum>
  <w:abstractNum w:abstractNumId="32">
    <w:nsid w:val="1BA026FA"/>
    <w:multiLevelType w:val="hybridMultilevel"/>
    <w:lvl w:ilvl="0">
      <w:lvlJc w:val="left"/>
      <w:lvlText w:val="x"/>
      <w:numFmt w:val="bullet"/>
      <w:start w:val="1"/>
    </w:lvl>
  </w:abstractNum>
  <w:abstractNum w:abstractNumId="33">
    <w:nsid w:val="79A1DEAA"/>
    <w:multiLevelType w:val="hybridMultilevel"/>
    <w:lvl w:ilvl="0">
      <w:lvlJc w:val="left"/>
      <w:lvlText w:val="x"/>
      <w:numFmt w:val="bullet"/>
      <w:start w:val="1"/>
    </w:lvl>
  </w:abstractNum>
  <w:abstractNum w:abstractNumId="34">
    <w:nsid w:val="75C6C33A"/>
    <w:multiLevelType w:val="hybridMultilevel"/>
    <w:lvl w:ilvl="0">
      <w:lvlJc w:val="left"/>
      <w:lvlText w:val="x"/>
      <w:numFmt w:val="bullet"/>
      <w:start w:val="1"/>
    </w:lvl>
  </w:abstractNum>
  <w:abstractNum w:abstractNumId="35">
    <w:nsid w:val="12E685FB"/>
    <w:multiLevelType w:val="hybridMultilevel"/>
    <w:lvl w:ilvl="0">
      <w:lvlJc w:val="left"/>
      <w:lvlText w:val="x"/>
      <w:numFmt w:val="bullet"/>
      <w:start w:val="1"/>
    </w:lvl>
  </w:abstractNum>
  <w:abstractNum w:abstractNumId="36">
    <w:nsid w:val="70C6A529"/>
    <w:multiLevelType w:val="hybridMultilevel"/>
    <w:lvl w:ilvl="0">
      <w:lvlJc w:val="left"/>
      <w:lvlText w:val="x"/>
      <w:numFmt w:val="bullet"/>
      <w:start w:val="1"/>
    </w:lvl>
  </w:abstractNum>
  <w:abstractNum w:abstractNumId="37">
    <w:nsid w:val="520EEDD1"/>
    <w:multiLevelType w:val="hybridMultilevel"/>
    <w:lvl w:ilvl="0">
      <w:lvlJc w:val="left"/>
      <w:lvlText w:val="x"/>
      <w:numFmt w:val="bullet"/>
      <w:start w:val="1"/>
    </w:lvl>
  </w:abstractNum>
  <w:abstractNum w:abstractNumId="38">
    <w:nsid w:val="374A3FE6"/>
    <w:multiLevelType w:val="hybridMultilevel"/>
    <w:lvl w:ilvl="0">
      <w:lvlJc w:val="left"/>
      <w:lvlText w:val="x"/>
      <w:numFmt w:val="bullet"/>
      <w:start w:val="1"/>
    </w:lvl>
  </w:abstractNum>
  <w:abstractNum w:abstractNumId="39">
    <w:nsid w:val="4F4EF005"/>
    <w:multiLevelType w:val="hybridMultilevel"/>
    <w:lvl w:ilvl="0">
      <w:lvlJc w:val="left"/>
      <w:lvlText w:val="x"/>
      <w:numFmt w:val="bullet"/>
      <w:start w:val="1"/>
    </w:lvl>
  </w:abstractNum>
  <w:abstractNum w:abstractNumId="40">
    <w:nsid w:val="23F9C13C"/>
    <w:multiLevelType w:val="hybridMultilevel"/>
    <w:lvl w:ilvl="0">
      <w:lvlJc w:val="left"/>
      <w:lvlText w:val="x"/>
      <w:numFmt w:val="bullet"/>
      <w:start w:val="1"/>
    </w:lvl>
  </w:abstractNum>
  <w:abstractNum w:abstractNumId="41">
    <w:nsid w:val="649BB77C"/>
    <w:multiLevelType w:val="hybridMultilevel"/>
    <w:lvl w:ilvl="0">
      <w:lvlJc w:val="left"/>
      <w:lvlText w:val="x"/>
      <w:numFmt w:val="bullet"/>
      <w:start w:val="1"/>
    </w:lvl>
  </w:abstractNum>
  <w:abstractNum w:abstractNumId="42">
    <w:nsid w:val="275AC794"/>
    <w:multiLevelType w:val="hybridMultilevel"/>
    <w:lvl w:ilvl="0">
      <w:lvlJc w:val="left"/>
      <w:lvlText w:val="x"/>
      <w:numFmt w:val="bullet"/>
      <w:start w:val="1"/>
    </w:lvl>
  </w:abstractNum>
  <w:abstractNum w:abstractNumId="43">
    <w:nsid w:val="39386575"/>
    <w:multiLevelType w:val="hybridMultilevel"/>
    <w:lvl w:ilvl="0">
      <w:lvlJc w:val="left"/>
      <w:lvlText w:val="x"/>
      <w:numFmt w:val="bullet"/>
      <w:start w:val="1"/>
    </w:lvl>
  </w:abstractNum>
  <w:abstractNum w:abstractNumId="44">
    <w:nsid w:val="1CF10FD8"/>
    <w:multiLevelType w:val="hybridMultilevel"/>
    <w:lvl w:ilvl="0">
      <w:lvlJc w:val="left"/>
      <w:lvlText w:val="x"/>
      <w:numFmt w:val="bullet"/>
      <w:start w:val="1"/>
    </w:lvl>
  </w:abstractNum>
  <w:abstractNum w:abstractNumId="45">
    <w:nsid w:val="180115BE"/>
    <w:multiLevelType w:val="hybridMultilevel"/>
    <w:lvl w:ilvl="0">
      <w:lvlJc w:val="left"/>
      <w:lvlText w:val="x"/>
      <w:numFmt w:val="bullet"/>
      <w:start w:val="1"/>
    </w:lvl>
  </w:abstractNum>
  <w:abstractNum w:abstractNumId="46">
    <w:nsid w:val="235BA861"/>
    <w:multiLevelType w:val="hybridMultilevel"/>
    <w:lvl w:ilvl="0">
      <w:lvlJc w:val="left"/>
      <w:lvlText w:val="x"/>
      <w:numFmt w:val="bullet"/>
      <w:start w:val="1"/>
    </w:lvl>
  </w:abstractNum>
  <w:abstractNum w:abstractNumId="47">
    <w:nsid w:val="47398C89"/>
    <w:multiLevelType w:val="hybridMultilevel"/>
    <w:lvl w:ilvl="0">
      <w:lvlJc w:val="left"/>
      <w:lvlText w:val="x"/>
      <w:numFmt w:val="bullet"/>
      <w:start w:val="1"/>
    </w:lvl>
  </w:abstractNum>
  <w:abstractNum w:abstractNumId="48">
    <w:nsid w:val="354FE9F9"/>
    <w:multiLevelType w:val="hybridMultilevel"/>
    <w:lvl w:ilvl="0">
      <w:lvlJc w:val="left"/>
      <w:lvlText w:val="x"/>
      <w:numFmt w:val="bullet"/>
      <w:start w:val="1"/>
    </w:lvl>
  </w:abstractNum>
  <w:abstractNum w:abstractNumId="49">
    <w:nsid w:val="15B5AF5C"/>
    <w:multiLevelType w:val="hybridMultilevel"/>
    <w:lvl w:ilvl="0">
      <w:lvlJc w:val="left"/>
      <w:lvlText w:val="x"/>
      <w:numFmt w:val="bullet"/>
      <w:start w:val="1"/>
    </w:lvl>
  </w:abstractNum>
  <w:abstractNum w:abstractNumId="50">
    <w:nsid w:val="741226BB"/>
    <w:multiLevelType w:val="hybridMultilevel"/>
    <w:lvl w:ilvl="0">
      <w:lvlJc w:val="left"/>
      <w:lvlText w:val="x"/>
      <w:numFmt w:val="bullet"/>
      <w:start w:val="1"/>
    </w:lvl>
  </w:abstractNum>
  <w:abstractNum w:abstractNumId="51">
    <w:nsid w:val="D34B6A8"/>
    <w:multiLevelType w:val="hybridMultilevel"/>
    <w:lvl w:ilvl="0">
      <w:lvlJc w:val="left"/>
      <w:lvlText w:val="x"/>
      <w:numFmt w:val="bullet"/>
      <w:start w:val="1"/>
    </w:lvl>
  </w:abstractNum>
  <w:abstractNum w:abstractNumId="52">
    <w:nsid w:val="10233C99"/>
    <w:multiLevelType w:val="hybridMultilevel"/>
    <w:lvl w:ilvl="0">
      <w:lvlJc w:val="left"/>
      <w:lvlText w:val="x"/>
      <w:numFmt w:val="bullet"/>
      <w:start w:val="1"/>
    </w:lvl>
  </w:abstractNum>
  <w:abstractNum w:abstractNumId="53">
    <w:nsid w:val="3F6AB60F"/>
    <w:multiLevelType w:val="hybridMultilevel"/>
    <w:lvl w:ilvl="0">
      <w:lvlJc w:val="left"/>
      <w:lvlText w:val="x"/>
      <w:numFmt w:val="bullet"/>
      <w:start w:val="1"/>
    </w:lvl>
  </w:abstractNum>
  <w:abstractNum w:abstractNumId="54">
    <w:nsid w:val="61574095"/>
    <w:multiLevelType w:val="hybridMultilevel"/>
    <w:lvl w:ilvl="0">
      <w:lvlJc w:val="left"/>
      <w:lvlText w:val="x"/>
      <w:numFmt w:val="bullet"/>
      <w:start w:val="1"/>
    </w:lvl>
  </w:abstractNum>
  <w:abstractNum w:abstractNumId="55">
    <w:nsid w:val="7E0C57B1"/>
    <w:multiLevelType w:val="hybridMultilevel"/>
    <w:lvl w:ilvl="0">
      <w:lvlJc w:val="left"/>
      <w:lvlText w:val="x"/>
      <w:numFmt w:val="bullet"/>
      <w:start w:val="1"/>
    </w:lvl>
  </w:abstractNum>
  <w:abstractNum w:abstractNumId="56">
    <w:nsid w:val="77AE35EB"/>
    <w:multiLevelType w:val="hybridMultilevel"/>
    <w:lvl w:ilvl="0">
      <w:lvlJc w:val="left"/>
      <w:lvlText w:val="x"/>
      <w:numFmt w:val="bullet"/>
      <w:start w:val="1"/>
    </w:lvl>
  </w:abstractNum>
  <w:abstractNum w:abstractNumId="57">
    <w:nsid w:val="579BE4F1"/>
    <w:multiLevelType w:val="hybridMultilevel"/>
    <w:lvl w:ilvl="0">
      <w:lvlJc w:val="left"/>
      <w:lvlText w:val="x"/>
      <w:numFmt w:val="bullet"/>
      <w:start w:val="1"/>
    </w:lvl>
  </w:abstractNum>
  <w:abstractNum w:abstractNumId="58">
    <w:nsid w:val="310C50B3"/>
    <w:multiLevelType w:val="hybridMultilevel"/>
    <w:lvl w:ilvl="0">
      <w:lvlJc w:val="left"/>
      <w:lvlText w:val="x"/>
      <w:numFmt w:val="bullet"/>
      <w:start w:val="1"/>
    </w:lvl>
  </w:abstractNum>
  <w:abstractNum w:abstractNumId="59">
    <w:nsid w:val="5FF87E05"/>
    <w:multiLevelType w:val="hybridMultilevel"/>
    <w:lvl w:ilvl="0">
      <w:lvlJc w:val="left"/>
      <w:lvlText w:val="x"/>
      <w:numFmt w:val="bullet"/>
      <w:start w:val="1"/>
    </w:lvl>
  </w:abstractNum>
  <w:abstractNum w:abstractNumId="60">
    <w:nsid w:val="2F305DEF"/>
    <w:multiLevelType w:val="hybridMultilevel"/>
    <w:lvl w:ilvl="0">
      <w:lvlJc w:val="left"/>
      <w:lvlText w:val="x"/>
      <w:numFmt w:val="bullet"/>
      <w:start w:val="1"/>
    </w:lvl>
  </w:abstractNum>
  <w:abstractNum w:abstractNumId="61">
    <w:nsid w:val="25A70BF7"/>
    <w:multiLevelType w:val="hybridMultilevel"/>
    <w:lvl w:ilvl="0">
      <w:lvlJc w:val="left"/>
      <w:lvlText w:val="(%1)"/>
      <w:numFmt w:val="lowerRoman"/>
      <w:start w:val="1"/>
    </w:lvl>
  </w:abstractNum>
  <w:abstractNum w:abstractNumId="62">
    <w:nsid w:val="1DBABF00"/>
    <w:multiLevelType w:val="hybridMultilevel"/>
    <w:lvl w:ilvl="0">
      <w:lvlJc w:val="left"/>
      <w:lvlText w:val="%1"/>
      <w:numFmt w:val="decimal"/>
      <w:start w:val="1"/>
    </w:lvl>
    <w:lvl w:ilvl="1">
      <w:lvlJc w:val="left"/>
      <w:lvlText w:val="%2)"/>
      <w:numFmt w:val="decimal"/>
      <w:start w:val="815"/>
    </w:lvl>
  </w:abstractNum>
  <w:abstractNum w:abstractNumId="63">
    <w:nsid w:val="4AD084E9"/>
    <w:multiLevelType w:val="hybridMultilevel"/>
    <w:lvl w:ilvl="0">
      <w:lvlJc w:val="left"/>
      <w:lvlText w:val="%1"/>
      <w:numFmt w:val="decimal"/>
      <w:start w:val="606"/>
    </w:lvl>
    <w:lvl w:ilvl="1">
      <w:lvlJc w:val="left"/>
      <w:lvlText w:val="%2"/>
      <w:numFmt w:val="decimal"/>
      <w:start w:val="1"/>
    </w:lvl>
  </w:abstractNum>
  <w:abstractNum w:abstractNumId="64">
    <w:nsid w:val="1F48EAA1"/>
    <w:multiLevelType w:val="hybridMultilevel"/>
    <w:lvl w:ilvl="0">
      <w:lvlJc w:val="left"/>
      <w:lvlText w:val="%1."/>
      <w:numFmt w:val="decimal"/>
      <w:start w:val="3"/>
    </w:lvl>
    <w:lvl w:ilvl="1">
      <w:lvlJc w:val="left"/>
      <w:lvlText w:val="%2"/>
      <w:numFmt w:val="decimal"/>
      <w:start w:val="1"/>
    </w:lvl>
  </w:abstractNum>
  <w:abstractNum w:abstractNumId="65">
    <w:nsid w:val="1381823A"/>
    <w:multiLevelType w:val="hybridMultilevel"/>
    <w:lvl w:ilvl="0">
      <w:lvlJc w:val="left"/>
      <w:lvlText w:val="(%1)"/>
      <w:numFmt w:val="lowerLetter"/>
      <w:start w:val="1"/>
    </w:lvl>
  </w:abstractNum>
  <w:abstractNum w:abstractNumId="66">
    <w:nsid w:val="5DB70AE5"/>
    <w:multiLevelType w:val="hybridMultilevel"/>
    <w:lvl w:ilvl="0">
      <w:lvlJc w:val="left"/>
      <w:lvlText w:val="%1"/>
      <w:numFmt w:val="decimal"/>
      <w:start w:val="104"/>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2026-04-22T07:09:56Z</dcterms:created>
  <dcterms:modified xsi:type="dcterms:W3CDTF">2026-04-22T07:09:56Z</dcterms:modified>
</cp:coreProperties>
</file>