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25400</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8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1)*</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4" w:lineRule="exact"/>
        <w:tabs>
          <w:tab w:leader="none" w:pos="1022"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7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61"/>
        <w:spacing w:after="0" w:line="242" w:lineRule="auto"/>
        <w:tabs>
          <w:tab w:leader="none" w:pos="80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53"/>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2"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RTW Investments,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3"/>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4,356,920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4,356,920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4,356,920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9.5%</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PN, IA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68"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Roderick Wong</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6"/>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4,356,920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4,356,920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4,356,920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9.5%</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68"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3"/>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The name of the issuer is PMV Pharmaceuticals,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8 Clarke Drive, Suite 3, Cranbury, NJ 08512.</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w:t>
            </w:r>
          </w:p>
        </w:tc>
        <w:tc>
          <w:tcPr>
            <w:tcW w:w="86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w w:val="98"/>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40" w:type="dxa"/>
            <w:vAlign w:val="bottom"/>
            <w:gridSpan w:val="12"/>
          </w:tcPr>
          <w:p>
            <w:pPr>
              <w:ind w:left="14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rPr>
              <w:t>by the RTW Funds; and</w:t>
            </w:r>
          </w:p>
        </w:tc>
      </w:tr>
      <w:tr>
        <w:trPr>
          <w:trHeight w:val="413"/>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(ii)</w:t>
            </w:r>
          </w:p>
        </w:tc>
        <w:tc>
          <w:tcPr>
            <w:tcW w:w="86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rPr>
              <w:t>Mr. Roderick Wong ("Mr.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rPr>
              <w:t>Investments, with respect to the Shares directly held by the RTW Funds.</w:t>
            </w:r>
          </w:p>
        </w:tc>
      </w:tr>
      <w:tr>
        <w:trPr>
          <w:trHeight w:val="413"/>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of the foregoing persons or any</w:t>
            </w:r>
          </w:p>
        </w:tc>
      </w:tr>
      <w:tr>
        <w:trPr>
          <w:trHeight w:val="258"/>
        </w:trPr>
        <w:tc>
          <w:tcPr>
            <w:tcW w:w="1260" w:type="dxa"/>
            <w:vAlign w:val="bottom"/>
          </w:tcPr>
          <w:p>
            <w:pPr>
              <w:spacing w:after="0"/>
              <w:rPr>
                <w:sz w:val="22"/>
                <w:szCs w:val="22"/>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Reporting Person is, for the purposes of Section 13 of the Act, the beneficial owner of the Shares reported herein.</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w w:val="98"/>
              </w:rPr>
              <w:t>The address of the business office of each of the Reporting Persons is 40 10</w:t>
            </w:r>
            <w:r>
              <w:rPr>
                <w:rFonts w:ascii="Times New Roman" w:cs="Times New Roman" w:eastAsia="Times New Roman" w:hAnsi="Times New Roman"/>
                <w:sz w:val="32"/>
                <w:szCs w:val="32"/>
                <w:color w:val="auto"/>
                <w:w w:val="98"/>
                <w:vertAlign w:val="superscript"/>
              </w:rPr>
              <w:t>th</w:t>
            </w:r>
            <w:r>
              <w:rPr>
                <w:rFonts w:ascii="Times New Roman" w:cs="Times New Roman" w:eastAsia="Times New Roman" w:hAnsi="Times New Roman"/>
                <w:sz w:val="20"/>
                <w:szCs w:val="20"/>
                <w:color w:val="auto"/>
                <w:w w:val="98"/>
              </w:rPr>
              <w:t xml:space="preserve"> Avenue, Floor 7, New York, New York</w:t>
            </w:r>
          </w:p>
        </w:tc>
      </w:tr>
      <w:tr>
        <w:trPr>
          <w:trHeight w:val="258"/>
        </w:trPr>
        <w:tc>
          <w:tcPr>
            <w:tcW w:w="126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10014.</w:t>
            </w:r>
          </w:p>
        </w:tc>
        <w:tc>
          <w:tcPr>
            <w:tcW w:w="1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RTW Investments is a Delaware limited partnership. Mr. Wong is a citizen of the United States.</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Common Stock, par value $0.00001 per share (the "Shares").</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468"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69353Y103</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pacing w:after="0" w:line="189" w:lineRule="exact"/>
        <w:rPr>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1"/>
        <w:spacing w:after="0" w:line="253" w:lineRule="exact"/>
        <w:tabs>
          <w:tab w:leader="none" w:pos="2565"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70"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89" w:lineRule="exact"/>
        <w:rPr>
          <w:sz w:val="20"/>
          <w:szCs w:val="20"/>
          <w:color w:val="auto"/>
        </w:rPr>
      </w:pPr>
    </w:p>
    <w:p>
      <w:pPr>
        <w:ind w:left="3080" w:right="3280" w:hanging="1281"/>
        <w:spacing w:after="0" w:line="253" w:lineRule="exact"/>
        <w:tabs>
          <w:tab w:leader="none" w:pos="2562"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70"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1"/>
        <w:spacing w:after="0" w:line="253" w:lineRule="exact"/>
        <w:tabs>
          <w:tab w:leader="none" w:pos="2565"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84"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47" w:lineRule="exact"/>
        <w:rPr>
          <w:sz w:val="20"/>
          <w:szCs w:val="20"/>
          <w:color w:val="auto"/>
        </w:rPr>
      </w:pPr>
    </w:p>
    <w:p>
      <w:pPr>
        <w:ind w:left="1800" w:right="2880"/>
        <w:spacing w:after="0" w:line="295" w:lineRule="auto"/>
        <w:rPr>
          <w:sz w:val="20"/>
          <w:szCs w:val="20"/>
          <w:color w:val="auto"/>
        </w:rPr>
      </w:pPr>
      <w:r>
        <w:rPr>
          <w:rFonts w:ascii="Times New Roman" w:cs="Times New Roman" w:eastAsia="Times New Roman" w:hAnsi="Times New Roman"/>
          <w:sz w:val="19"/>
          <w:szCs w:val="19"/>
          <w:color w:val="auto"/>
        </w:rPr>
        <w:t>If filing as a non-U.S. institution in accordance with Rule 13d-1(b)(1)(ii)(J), please specify the type of institution: _________________________________________</w:t>
      </w:r>
    </w:p>
    <w:p>
      <w:pPr>
        <w:spacing w:after="0" w:line="147"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40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73" w:lineRule="exact"/>
        <w:rPr>
          <w:sz w:val="20"/>
          <w:szCs w:val="20"/>
          <w:color w:val="auto"/>
        </w:rPr>
      </w:pPr>
    </w:p>
    <w:p>
      <w:pPr>
        <w:ind w:left="1800" w:right="16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45,665,428 Shares outstanding as of November 8, 2022 as reported in the Company's Quarterly Report on Form 10-Q for the quarterly period ended September 30, 2022, filed with the Securities and Exchange Commission on November 8, 2022.</w:t>
      </w:r>
    </w:p>
    <w:p>
      <w:pPr>
        <w:sectPr>
          <w:pgSz w:w="11900" w:h="16838" w:orient="portrait"/>
          <w:cols w:equalWidth="0" w:num="1">
            <w:col w:w="11240"/>
          </w:cols>
          <w:pgMar w:left="320" w:top="468"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right="300"/>
        <w:spacing w:after="0" w:line="274" w:lineRule="auto"/>
        <w:rPr>
          <w:sz w:val="20"/>
          <w:szCs w:val="20"/>
          <w:color w:val="auto"/>
        </w:rPr>
      </w:pPr>
      <w:r>
        <w:rPr>
          <w:rFonts w:ascii="Times New Roman" w:cs="Times New Roman" w:eastAsia="Times New Roman" w:hAnsi="Times New Roman"/>
          <w:sz w:val="19"/>
          <w:szCs w:val="19"/>
          <w:color w:val="auto"/>
        </w:rPr>
        <w:t>See Item 2. The RTW Funds have the right to receive or the power to direct the receipt of dividends from, or the proceeds from the sale of, the Shares reported herein. RTW Master Fund Ltd., a RTW Fund, has the right to receive or the power to direct the receipt of dividends or the proceeds from the sale of more than 5% of the Shares.</w:t>
      </w:r>
    </w:p>
    <w:p>
      <w:pPr>
        <w:spacing w:after="0" w:line="166"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SECURITY BEING REPORTED ON BY THE PARENT HOLDING COMPANY:</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00" w:right="14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68"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Roderick Wong</w:t>
      </w:r>
    </w:p>
    <w:p>
      <w:pPr>
        <w:spacing w:after="0" w:line="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-144780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Managing Partner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11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2023-02-14T09:09:51Z</dcterms:created>
  <dcterms:modified xsi:type="dcterms:W3CDTF">2023-02-14T09:09:51Z</dcterms:modified>
</cp:coreProperties>
</file>