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3,735,396.00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3,735,396.00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3,735,396.00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sectPr>
      </w:pPr>
    </w:p>
    <w:p>
      <w:pPr>
        <w:spacing w:after="0" w:line="7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of March 31, 2025, Sio Capital Management, LLC beneficially owned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3,735,396 shares of Common Stock with shared voting power and shared dispositive power. 2 Based on 51,933,604 shares of common stock outstanding as of March 3, 2025, as reported in the Issuer's Form 10-K filed with the SEC on March 3,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Third Avenue, 2nd Floor New York, New York 10016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Sio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38" w:orient="portrait"/>
          <w:cols w:equalWidth="0" w:num="1">
            <w:col w:w="10980"/>
          </w:cols>
          <w:pgMar w:left="320" w:top="111" w:right="599" w:bottom="0" w:gutter="0" w:footer="0" w:header="0"/>
          <w:type w:val="continuous"/>
        </w:sectPr>
      </w:pPr>
    </w:p>
    <w:bookmarkStart w:id="2" w:name="page3"/>
    <w:bookmarkEnd w:id="2"/>
    <w:p>
      <w:pPr>
        <w:spacing w:after="0" w:line="3"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3,735,396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1"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3,735,396 - Refer to footnote 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3,735,396 -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1" w:orient="portrait"/>
          <w:cols w:equalWidth="0" w:num="2">
            <w:col w:w="720" w:space="200"/>
            <w:col w:w="10180"/>
          </w:cols>
          <w:pgMar w:left="360" w:top="126" w:right="439" w:bottom="0" w:gutter="0" w:footer="0" w:header="0"/>
          <w:type w:val="continuous"/>
        </w:sectPr>
      </w:pPr>
    </w:p>
    <w:p>
      <w:pPr>
        <w:ind w:left="9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41" w:orient="portrait"/>
          <w:cols w:equalWidth="0" w:num="1">
            <w:col w:w="11100"/>
          </w:cols>
          <w:pgMar w:left="360" w:top="126" w:right="43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 W. Lee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2025-04-08T14:16:30Z</dcterms:created>
  <dcterms:modified xsi:type="dcterms:W3CDTF">2025-04-08T14:16:30Z</dcterms:modified>
</cp:coreProperties>
</file>