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840" w:type="dxa"/>
        <w:tblCellMar>
          <w:top w:w="0" w:type="dxa"/>
          <w:left w:w="0" w:type="dxa"/>
          <w:bottom w:w="0" w:type="dxa"/>
          <w:right w:w="0" w:type="dxa"/>
        </w:tblCellMar>
      </w:tblPr>
      <w:tr>
        <w:trPr>
          <w:trHeight w:val="222"/>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9"/>
        </w:trPr>
        <w:tc>
          <w:tcPr>
            <w:tcW w:w="3600" w:type="dxa"/>
            <w:vAlign w:val="bottom"/>
          </w:tcPr>
          <w:p>
            <w:pPr>
              <w:jc w:val="center"/>
              <w:ind w:right="7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00" w:type="dxa"/>
            <w:vAlign w:val="bottom"/>
          </w:tcPr>
          <w:p>
            <w:pPr>
              <w:ind w:left="80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80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8"/>
        </w:trPr>
        <w:tc>
          <w:tcPr>
            <w:tcW w:w="360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0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9, 2025, PMV Pharmaceuticals, Inc. issued a press release announcing its financial results for the first quarter ended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 and is incorporated herein by reference.</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4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May 9, 2025.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First Quarter 2025 Financial Results and Corporate Highlights</w:t>
      </w:r>
    </w:p>
    <w:p>
      <w:pPr>
        <w:spacing w:after="0" w:line="204" w:lineRule="exact"/>
        <w:rPr>
          <w:sz w:val="20"/>
          <w:szCs w:val="20"/>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Enrollment on track in Phase 2 pivotal portion of PYNNACLE clinical trial evaluating rezatapopt as monotherapy in patients with TP53 Y220C and KRAS wild-type advanced solid tumors</w:t>
      </w:r>
    </w:p>
    <w:p>
      <w:pPr>
        <w:spacing w:after="0" w:line="144"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Interim analysis from Phase 2 PYNNACLE trial expected mid-2025; PMV plans to provide interim analysis data for approximately 50 patients with at least 18 weeks of follow-up</w:t>
      </w:r>
    </w:p>
    <w:p>
      <w:pPr>
        <w:spacing w:after="0" w:line="144"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$165.8 million as of March 31, 2025, providing expected cash runway to end of 2026</w:t>
      </w:r>
    </w:p>
    <w:p>
      <w:pPr>
        <w:spacing w:after="0" w:line="15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May 9, 2025 (GLOBE NEWSWIRE) - PMV Pharmaceuticals, Inc. (“PMV Pharma” or the “Company”; Nasdaq: PMVP), a</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oncology company pioneering the discovery and development of small molecule, tumor-agnostic therapies targeting p53, today reported financial results for the first quarter ended March 31, 2025, and provided a corporate update.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plans to provide interim analysis data from the Phase 2 PYNNACLE trial in the middle of 2025. This interim analysis will include data for approximately 50 patients, of which approximately 40% are in the ovarian cancer cohort, who have been followed for at least 18 weeks.</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registrational PYNNACLE trial continues to progress well and enrollment remains on track,” said David Mack, Ph.D., President and Chief Executive Officer of PMV Pharma. “I am very appreciative of the efforts of our team and their continued execution. We look forward to providing data from the interim analysis in the middle of this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98" w:lineRule="exact"/>
        <w:rPr>
          <w:sz w:val="20"/>
          <w:szCs w:val="20"/>
          <w:color w:val="auto"/>
        </w:rPr>
      </w:pPr>
    </w:p>
    <w:p>
      <w:pPr>
        <w:ind w:left="380" w:right="2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Paper published in Cancer Discovery describing the discovery of rezatapopt. The paper entitled, “Restoration of the Tumor Suppressor Function of Y220C-Mutant p53 by Rezatapopt, a Small Molecule Reactivator,” can be accessed here.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2025 Financial Results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PMV Pharma ended the first quarter with $165.8 million in cash, cash equivalents, and marketable securities, compared to $ 183.3 million as of December 31, 2024. Net cash used in operations was $18.3 million for the three months ended March 31, 2025, compared to $16.2 million for the three months ended March 31, 2024.</w:t>
      </w:r>
    </w:p>
    <w:p>
      <w:pPr>
        <w:spacing w:after="0" w:line="155"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March 31, 2025, was $17.5 million compared to $15.3 million for the quarter ended March 31, 2024.</w:t>
      </w:r>
    </w:p>
    <w:p>
      <w:pPr>
        <w:spacing w:after="0" w:line="21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$17.4 million for the quarter ended March 31, 2025, compared to $13.2 million for the quarter ended March 31, 2024. The increase in R&amp;D expenses was primarily due to external expenses related to the advancement of product candidates, offset by decreased personnel related costs and stock-based compensation.</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$4.1 million for the quarter ended March 31, 2025, compared to $5.0 million for the quarter ended March 31, 2024. The decrease in G&amp;A expenses was primarily due to reduced headcount and spend for facility and operational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tumor-suppressor function. The U.S.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 w:name="page5"/>
    <w:bookmarkEnd w:id="4"/>
    <w:p>
      <w:pPr>
        <w:jc w:val="both"/>
        <w:spacing w:after="0" w:line="271" w:lineRule="auto"/>
        <w:rPr>
          <w:sz w:val="20"/>
          <w:szCs w:val="20"/>
          <w:color w:val="auto"/>
        </w:rPr>
      </w:pPr>
      <w:r>
        <w:rPr>
          <w:rFonts w:ascii="Arial" w:cs="Arial" w:eastAsia="Arial" w:hAnsi="Arial"/>
          <w:sz w:val="18"/>
          <w:szCs w:val="18"/>
          <w:color w:val="auto"/>
        </w:rPr>
        <w:t>and Drug Administration (FDA) granted Fast Track designation to rezatapopt for the treatment of patients with locally advanced or metastatic solid tumors with a p53 Y220C mutation.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ongoing Phase 1/2 PYNNACLE clinical trial is evaluating rezatapopt in patients with advanced solid tumors harboring a TP53 Y220C mutation. The primary objective of the Phase 1 portion of the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TP53 Y220C and KRAS wild-type advanced solid tumors. For more information about the Phase 1/2 PYNNACLE clinical trial, refer to www.clinicaltrials.gov (NCT trial identifier NCT04585750).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TP53 mutations are found in approximately half of all cancers. Our co-founder, Dr. Arnold Levine, established the field of p53 biology when he discovered the p53 protein in 1979. Bringing together leaders in the field to utilize over four decades of p53 biology, PMV Pharma combines unique biological understanding with a pharmaceutical development focus. PMV Pharma is headquartered in Princeton, New Jersey. For more information, please visit </w:t>
      </w:r>
      <w:r>
        <w:rPr>
          <w:rFonts w:ascii="Arial" w:cs="Arial" w:eastAsia="Arial" w:hAnsi="Arial"/>
          <w:sz w:val="18"/>
          <w:szCs w:val="18"/>
          <w:u w:val="single" w:color="auto"/>
          <w:color w:val="0057A8"/>
        </w:rPr>
        <w:t>www.pmvpharma.com</w:t>
      </w:r>
      <w:r>
        <w:rPr>
          <w:rFonts w:ascii="Arial" w:cs="Arial" w:eastAsia="Arial" w:hAnsi="Arial"/>
          <w:sz w:val="18"/>
          <w:szCs w:val="18"/>
          <w:color w:val="0057A8"/>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on a tumor-agnostic basis and as a monotherapy, expectations regarding timing, number of patients and treatment durations for our interim data readouts, expectations regarding timing and success of the Phase 2 portion of the current clinical trial for rezatapopt,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3, 2025, and the Company’s Quarterly Report on Form 10-Q for the three months ended March 31, 2025, filed with the SEC on May 9, 2025,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1519555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51,341</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2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0" w:type="dxa"/>
            <w:vAlign w:val="bottom"/>
          </w:tcPr>
          <w:p>
            <w:pPr>
              <w:spacing w:after="0"/>
              <w:rPr>
                <w:sz w:val="18"/>
                <w:szCs w:val="18"/>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175,658</w:t>
            </w:r>
          </w:p>
        </w:tc>
        <w:tc>
          <w:tcPr>
            <w:tcW w:w="2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2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r>
      <w:tr>
        <w:trPr>
          <w:trHeight w:val="24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170,608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20" w:type="dxa"/>
            <w:vAlign w:val="bottom"/>
          </w:tcPr>
          <w:p>
            <w:pPr>
              <w:spacing w:after="0"/>
              <w:rPr>
                <w:sz w:val="21"/>
                <w:szCs w:val="21"/>
                <w:color w:val="auto"/>
              </w:rPr>
            </w:pPr>
          </w:p>
        </w:tc>
      </w:tr>
      <w:tr>
        <w:trPr>
          <w:trHeight w:val="228"/>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5,802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9,759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14,370</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tcPr>
          <w:p>
            <w:pPr>
              <w:spacing w:after="0"/>
              <w:rPr>
                <w:sz w:val="18"/>
                <w:szCs w:val="18"/>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10,501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20" w:type="dxa"/>
            <w:vAlign w:val="bottom"/>
          </w:tcPr>
          <w:p>
            <w:pPr>
              <w:spacing w:after="0"/>
              <w:rPr>
                <w:sz w:val="18"/>
                <w:szCs w:val="18"/>
                <w:color w:val="auto"/>
              </w:rPr>
            </w:pPr>
          </w:p>
        </w:tc>
      </w:tr>
      <w:tr>
        <w:trPr>
          <w:trHeight w:val="223"/>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546,171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(386,148)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(368,712)</w:t>
            </w:r>
          </w:p>
        </w:tc>
        <w:tc>
          <w:tcPr>
            <w:tcW w:w="20" w:type="dxa"/>
            <w:vAlign w:val="bottom"/>
          </w:tcPr>
          <w:p>
            <w:pPr>
              <w:spacing w:after="0"/>
              <w:rPr>
                <w:sz w:val="18"/>
                <w:szCs w:val="18"/>
                <w:color w:val="auto"/>
              </w:rPr>
            </w:pPr>
          </w:p>
        </w:tc>
      </w:tr>
      <w:tr>
        <w:trPr>
          <w:trHeight w:val="216"/>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176,080</w:t>
            </w:r>
          </w:p>
        </w:tc>
        <w:tc>
          <w:tcPr>
            <w:tcW w:w="20" w:type="dxa"/>
            <w:vAlign w:val="bottom"/>
          </w:tcPr>
          <w:p>
            <w:pPr>
              <w:spacing w:after="0"/>
              <w:rPr>
                <w:sz w:val="18"/>
                <w:szCs w:val="18"/>
                <w:color w:val="auto"/>
              </w:rPr>
            </w:pPr>
          </w:p>
        </w:tc>
      </w:tr>
      <w:tr>
        <w:trPr>
          <w:trHeight w:val="23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c>
          <w:tcPr>
            <w:tcW w:w="20" w:type="dxa"/>
            <w:vAlign w:val="bottom"/>
          </w:tcPr>
          <w:p>
            <w:pPr>
              <w:spacing w:after="0"/>
              <w:rPr>
                <w:sz w:val="19"/>
                <w:szCs w:val="19"/>
                <w:color w:val="auto"/>
              </w:rPr>
            </w:pP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3064510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-2887980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-2048510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-2030730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-882015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w:t>
            </w:r>
          </w:p>
        </w:tc>
      </w:tr>
      <w:tr>
        <w:trPr>
          <w:trHeight w:val="210"/>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(18,221)</w:t>
            </w: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w:t>
            </w:r>
          </w:p>
        </w:tc>
      </w:tr>
      <w:tr>
        <w:trPr>
          <w:trHeight w:val="216"/>
        </w:trPr>
        <w:tc>
          <w:tcPr>
            <w:tcW w:w="20" w:type="dxa"/>
            <w:vAlign w:val="bottom"/>
          </w:tcPr>
          <w:p>
            <w:pPr>
              <w:spacing w:after="0"/>
              <w:rPr>
                <w:sz w:val="18"/>
                <w:szCs w:val="18"/>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w:t>
            </w:r>
          </w:p>
        </w:tc>
      </w:tr>
      <w:tr>
        <w:trPr>
          <w:trHeight w:val="216"/>
        </w:trPr>
        <w:tc>
          <w:tcPr>
            <w:tcW w:w="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9"/>
        </w:trPr>
        <w:tc>
          <w:tcPr>
            <w:tcW w:w="20" w:type="dxa"/>
            <w:vAlign w:val="bottom"/>
          </w:tcPr>
          <w:p>
            <w:pPr>
              <w:spacing w:after="0"/>
              <w:rPr>
                <w:sz w:val="21"/>
                <w:szCs w:val="21"/>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4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197"/>
        </w:trPr>
        <w:tc>
          <w:tcPr>
            <w:tcW w:w="20" w:type="dxa"/>
            <w:vAlign w:val="bottom"/>
          </w:tcPr>
          <w:p>
            <w:pPr>
              <w:spacing w:after="0"/>
              <w:rPr>
                <w:sz w:val="17"/>
                <w:szCs w:val="17"/>
                <w:color w:val="auto"/>
              </w:rPr>
            </w:pPr>
          </w:p>
        </w:tc>
        <w:tc>
          <w:tcPr>
            <w:tcW w:w="6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loss</w:t>
            </w:r>
          </w:p>
        </w:tc>
        <w:tc>
          <w:tcPr>
            <w:tcW w:w="18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(17,491)</w:t>
            </w:r>
          </w:p>
        </w:tc>
        <w:tc>
          <w:tcPr>
            <w:tcW w:w="5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(15,623)</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8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5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r>
      <w:tr>
        <w:trPr>
          <w:trHeight w:val="234"/>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51,952,062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51,445,862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-2171065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-1322705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-1039495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-473710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-456565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20"/>
        <w:spacing w:after="0" w:line="250" w:lineRule="auto"/>
        <w:rPr>
          <w:sz w:val="20"/>
          <w:szCs w:val="20"/>
          <w:color w:val="auto"/>
        </w:rPr>
      </w:pPr>
      <w:r>
        <w:rPr>
          <w:rFonts w:ascii="Arial" w:cs="Arial" w:eastAsia="Arial" w:hAnsi="Arial"/>
          <w:sz w:val="18"/>
          <w:szCs w:val="18"/>
          <w:color w:val="auto"/>
        </w:rPr>
        <w:t xml:space="preserve">Senior Vice President, Head of Corporate Development and Investor Relations </w:t>
      </w:r>
      <w:r>
        <w:rPr>
          <w:rFonts w:ascii="Arial" w:cs="Arial" w:eastAsia="Arial" w:hAnsi="Arial"/>
          <w:sz w:val="18"/>
          <w:szCs w:val="18"/>
          <w:u w:val="single" w:color="auto"/>
          <w:color w:val="0057A8"/>
        </w:rPr>
        <w:t>investors@pmvpharma.com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57A8"/>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2025-05-09T07:18:44Z</dcterms:created>
  <dcterms:modified xsi:type="dcterms:W3CDTF">2025-05-09T07:18:44Z</dcterms:modified>
</cp:coreProperties>
</file>