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167005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2"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81915</wp:posOffset>
            </wp:positionV>
            <wp:extent cx="1435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81"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101600</wp:posOffset>
            </wp:positionV>
            <wp:extent cx="1435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30" w:lineRule="exact"/>
        <w:rPr>
          <w:sz w:val="24"/>
          <w:szCs w:val="24"/>
          <w:color w:val="auto"/>
        </w:rPr>
      </w:pPr>
    </w:p>
    <w:p>
      <w:pPr>
        <w:ind w:left="2"/>
        <w:spacing w:after="0"/>
        <w:rPr>
          <w:sz w:val="20"/>
          <w:szCs w:val="20"/>
          <w:color w:val="auto"/>
        </w:rPr>
      </w:pPr>
      <w:r>
        <w:rPr>
          <w:rFonts w:ascii="Arial" w:cs="Arial" w:eastAsia="Arial" w:hAnsi="Arial"/>
          <w:sz w:val="13"/>
          <w:szCs w:val="13"/>
          <w:b w:val="1"/>
          <w:bCs w:val="1"/>
          <w:color w:val="auto"/>
        </w:rPr>
        <w:t>(Mark One)</w:t>
      </w:r>
    </w:p>
    <w:p>
      <w:pPr>
        <w:spacing w:after="0" w:line="4" w:lineRule="exact"/>
        <w:rPr>
          <w:sz w:val="24"/>
          <w:szCs w:val="24"/>
          <w:color w:val="auto"/>
        </w:rPr>
      </w:pPr>
    </w:p>
    <w:p>
      <w:pPr>
        <w:ind w:left="4022" w:right="3300" w:hanging="4022"/>
        <w:spacing w:after="0" w:line="450" w:lineRule="auto"/>
        <w:tabs>
          <w:tab w:leader="none" w:pos="46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-368300</wp:posOffset>
            </wp:positionV>
            <wp:extent cx="71120" cy="7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20" cy="72390"/>
                    </a:xfrm>
                    <a:prstGeom prst="rect">
                      <a:avLst/>
                    </a:prstGeom>
                    <a:noFill/>
                  </pic:spPr>
                </pic:pic>
              </a:graphicData>
            </a:graphic>
          </wp:anchor>
        </w:drawing>
      </w:r>
    </w:p>
    <w:p>
      <w:pPr>
        <w:spacing w:after="0" w:line="213" w:lineRule="exact"/>
        <w:rPr>
          <w:sz w:val="24"/>
          <w:szCs w:val="24"/>
          <w:color w:val="auto"/>
        </w:rPr>
      </w:pPr>
    </w:p>
    <w:p>
      <w:pPr>
        <w:ind w:left="462" w:hanging="462"/>
        <w:spacing w:after="0"/>
        <w:tabs>
          <w:tab w:leader="none" w:pos="462"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120" cy="72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 cy="72390"/>
                    </a:xfrm>
                    <a:prstGeom prst="rect">
                      <a:avLst/>
                    </a:prstGeom>
                    <a:noFill/>
                  </pic:spPr>
                </pic:pic>
              </a:graphicData>
            </a:graphic>
          </wp:anchor>
        </w:drawing>
      </w:r>
    </w:p>
    <w:p>
      <w:pPr>
        <w:spacing w:after="0" w:line="90" w:lineRule="exact"/>
        <w:rPr>
          <w:sz w:val="24"/>
          <w:szCs w:val="24"/>
          <w:color w:val="auto"/>
        </w:rPr>
      </w:pPr>
    </w:p>
    <w:p>
      <w:pPr>
        <w:ind w:left="4002"/>
        <w:spacing w:after="0"/>
        <w:tabs>
          <w:tab w:leader="none" w:pos="6521"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0"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93345</wp:posOffset>
            </wp:positionV>
            <wp:extent cx="1435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99" w:lineRule="exact"/>
        <w:rPr>
          <w:sz w:val="24"/>
          <w:szCs w:val="24"/>
          <w:color w:val="auto"/>
        </w:rPr>
      </w:pPr>
    </w:p>
    <w:p>
      <w:pPr>
        <w:jc w:val="center"/>
        <w:ind w:right="-1"/>
        <w:spacing w:after="0"/>
        <w:rPr>
          <w:sz w:val="20"/>
          <w:szCs w:val="20"/>
          <w:color w:val="auto"/>
        </w:rPr>
      </w:pPr>
      <w:r>
        <w:rPr>
          <w:rFonts w:ascii="Arial" w:cs="Arial" w:eastAsia="Arial" w:hAnsi="Arial"/>
          <w:sz w:val="39"/>
          <w:szCs w:val="39"/>
          <w:b w:val="1"/>
          <w:bCs w:val="1"/>
          <w:color w:val="auto"/>
        </w:rPr>
        <w:t>PMV PHARMACEUTICALS, INC.</w:t>
      </w:r>
    </w:p>
    <w:p>
      <w:pPr>
        <w:spacing w:after="0" w:line="46"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92710</wp:posOffset>
            </wp:positionV>
            <wp:extent cx="1435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37"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480" w:type="dxa"/>
            <w:vAlign w:val="bottom"/>
            <w:gridSpan w:val="2"/>
          </w:tcPr>
          <w:p>
            <w:pPr>
              <w:jc w:val="center"/>
              <w:ind w:left="1030"/>
              <w:spacing w:after="0"/>
              <w:rPr>
                <w:sz w:val="20"/>
                <w:szCs w:val="20"/>
                <w:color w:val="auto"/>
              </w:rPr>
            </w:pPr>
            <w:r>
              <w:rPr>
                <w:rFonts w:ascii="Arial" w:cs="Arial" w:eastAsia="Arial" w:hAnsi="Arial"/>
                <w:sz w:val="15"/>
                <w:szCs w:val="15"/>
                <w:b w:val="1"/>
                <w:bCs w:val="1"/>
                <w:color w:val="auto"/>
                <w:w w:val="87"/>
              </w:rPr>
              <w:t>Delaware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jc w:val="right"/>
              <w:ind w:right="1511"/>
              <w:spacing w:after="0"/>
              <w:rPr>
                <w:sz w:val="20"/>
                <w:szCs w:val="20"/>
                <w:color w:val="auto"/>
              </w:rPr>
            </w:pPr>
            <w:r>
              <w:rPr>
                <w:rFonts w:ascii="Arial" w:cs="Arial" w:eastAsia="Arial" w:hAnsi="Arial"/>
                <w:sz w:val="15"/>
                <w:szCs w:val="15"/>
                <w:b w:val="1"/>
                <w:bCs w:val="1"/>
                <w:color w:val="auto"/>
              </w:rPr>
              <w:t>46-3218129</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gridSpan w:val="2"/>
          </w:tcPr>
          <w:p>
            <w:pPr>
              <w:jc w:val="center"/>
              <w:ind w:left="1030"/>
              <w:spacing w:after="0" w:line="123" w:lineRule="exact"/>
              <w:rPr>
                <w:sz w:val="20"/>
                <w:szCs w:val="20"/>
                <w:color w:val="auto"/>
              </w:rPr>
            </w:pPr>
            <w:r>
              <w:rPr>
                <w:rFonts w:ascii="Arial" w:cs="Arial" w:eastAsia="Arial" w:hAnsi="Arial"/>
                <w:sz w:val="11"/>
                <w:szCs w:val="11"/>
                <w:b w:val="1"/>
                <w:bCs w:val="1"/>
                <w:color w:val="auto"/>
                <w:w w:val="94"/>
              </w:rPr>
              <w:t>(State or other jurisdiction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jc w:val="center"/>
              <w:ind w:right="1211"/>
              <w:spacing w:after="0" w:line="123" w:lineRule="exact"/>
              <w:rPr>
                <w:sz w:val="20"/>
                <w:szCs w:val="20"/>
                <w:color w:val="auto"/>
              </w:rPr>
            </w:pPr>
            <w:r>
              <w:rPr>
                <w:rFonts w:ascii="Arial" w:cs="Arial" w:eastAsia="Arial" w:hAnsi="Arial"/>
                <w:sz w:val="11"/>
                <w:szCs w:val="11"/>
                <w:b w:val="1"/>
                <w:bCs w:val="1"/>
                <w:color w:val="auto"/>
                <w:w w:val="99"/>
              </w:rPr>
              <w:t>(I.R.S. Employer</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jc w:val="center"/>
              <w:ind w:left="1030"/>
              <w:spacing w:after="0"/>
              <w:rPr>
                <w:sz w:val="20"/>
                <w:szCs w:val="20"/>
                <w:color w:val="auto"/>
              </w:rPr>
            </w:pPr>
            <w:r>
              <w:rPr>
                <w:rFonts w:ascii="Arial" w:cs="Arial" w:eastAsia="Arial" w:hAnsi="Arial"/>
                <w:sz w:val="11"/>
                <w:szCs w:val="11"/>
                <w:b w:val="1"/>
                <w:bCs w:val="1"/>
                <w:color w:val="auto"/>
                <w:w w:val="95"/>
              </w:rPr>
              <w:t>incorporation or organization)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0" w:type="dxa"/>
            <w:vAlign w:val="bottom"/>
          </w:tcPr>
          <w:p>
            <w:pPr>
              <w:jc w:val="center"/>
              <w:ind w:right="1231"/>
              <w:spacing w:after="0"/>
              <w:rPr>
                <w:sz w:val="20"/>
                <w:szCs w:val="20"/>
                <w:color w:val="auto"/>
              </w:rPr>
            </w:pPr>
            <w:r>
              <w:rPr>
                <w:rFonts w:ascii="Arial" w:cs="Arial" w:eastAsia="Arial" w:hAnsi="Arial"/>
                <w:sz w:val="11"/>
                <w:szCs w:val="11"/>
                <w:b w:val="1"/>
                <w:bCs w:val="1"/>
                <w:color w:val="auto"/>
                <w:w w:val="96"/>
              </w:rPr>
              <w:t>Identification No.)</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80" w:type="dxa"/>
            <w:vAlign w:val="bottom"/>
            <w:gridSpan w:val="2"/>
          </w:tcPr>
          <w:p>
            <w:pPr>
              <w:jc w:val="center"/>
              <w:ind w:left="1030"/>
              <w:spacing w:after="0"/>
              <w:rPr>
                <w:sz w:val="20"/>
                <w:szCs w:val="20"/>
                <w:color w:val="auto"/>
              </w:rPr>
            </w:pPr>
            <w:r>
              <w:rPr>
                <w:rFonts w:ascii="Arial" w:cs="Arial" w:eastAsia="Arial" w:hAnsi="Arial"/>
                <w:sz w:val="15"/>
                <w:szCs w:val="15"/>
                <w:b w:val="1"/>
                <w:bCs w:val="1"/>
                <w:color w:val="auto"/>
                <w:w w:val="90"/>
              </w:rPr>
              <w:t>8 Clarke Drive, Suite 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80" w:type="dxa"/>
            <w:vAlign w:val="bottom"/>
            <w:gridSpan w:val="2"/>
          </w:tcPr>
          <w:p>
            <w:pPr>
              <w:jc w:val="center"/>
              <w:ind w:left="1030"/>
              <w:spacing w:after="0"/>
              <w:rPr>
                <w:sz w:val="20"/>
                <w:szCs w:val="20"/>
                <w:color w:val="auto"/>
              </w:rPr>
            </w:pPr>
            <w:r>
              <w:rPr>
                <w:rFonts w:ascii="Arial" w:cs="Arial" w:eastAsia="Arial" w:hAnsi="Arial"/>
                <w:sz w:val="15"/>
                <w:szCs w:val="15"/>
                <w:b w:val="1"/>
                <w:bCs w:val="1"/>
                <w:color w:val="auto"/>
                <w:w w:val="91"/>
              </w:rPr>
              <w:t>Cranbury, NJ</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jc w:val="right"/>
              <w:ind w:right="1691"/>
              <w:spacing w:after="0"/>
              <w:rPr>
                <w:sz w:val="20"/>
                <w:szCs w:val="20"/>
                <w:color w:val="auto"/>
              </w:rPr>
            </w:pPr>
            <w:r>
              <w:rPr>
                <w:rFonts w:ascii="Arial" w:cs="Arial" w:eastAsia="Arial" w:hAnsi="Arial"/>
                <w:sz w:val="15"/>
                <w:szCs w:val="15"/>
                <w:b w:val="1"/>
                <w:bCs w:val="1"/>
                <w:color w:val="auto"/>
              </w:rPr>
              <w:t>08512</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jc w:val="center"/>
              <w:ind w:left="1030"/>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0" w:type="dxa"/>
            <w:vAlign w:val="bottom"/>
          </w:tcPr>
          <w:p>
            <w:pPr>
              <w:jc w:val="center"/>
              <w:ind w:right="1211"/>
              <w:spacing w:after="0"/>
              <w:rPr>
                <w:sz w:val="20"/>
                <w:szCs w:val="20"/>
                <w:color w:val="auto"/>
              </w:rPr>
            </w:pPr>
            <w:r>
              <w:rPr>
                <w:rFonts w:ascii="Arial" w:cs="Arial" w:eastAsia="Arial" w:hAnsi="Arial"/>
                <w:sz w:val="11"/>
                <w:szCs w:val="11"/>
                <w:b w:val="1"/>
                <w:bCs w:val="1"/>
                <w:color w:val="auto"/>
                <w:w w:val="95"/>
              </w:rPr>
              <w:t>(Zip Code)</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60" w:type="dxa"/>
            <w:vAlign w:val="bottom"/>
            <w:gridSpan w:val="6"/>
          </w:tcPr>
          <w:p>
            <w:pPr>
              <w:jc w:val="center"/>
              <w:ind w:left="466"/>
              <w:spacing w:after="0"/>
              <w:rPr>
                <w:sz w:val="20"/>
                <w:szCs w:val="20"/>
                <w:color w:val="auto"/>
              </w:rPr>
            </w:pPr>
            <w:r>
              <w:rPr>
                <w:rFonts w:ascii="Arial" w:cs="Arial" w:eastAsia="Arial" w:hAnsi="Arial"/>
                <w:sz w:val="15"/>
                <w:szCs w:val="15"/>
                <w:b w:val="1"/>
                <w:bCs w:val="1"/>
                <w:color w:val="auto"/>
                <w:w w:val="87"/>
              </w:rPr>
              <w:t>Registrant’s telephone number, including area code: (609) 642-6670</w:t>
            </w: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80" w:type="dxa"/>
            <w:vAlign w:val="bottom"/>
            <w:gridSpan w:val="2"/>
            <w:vMerge w:val="restart"/>
          </w:tcPr>
          <w:p>
            <w:pPr>
              <w:ind w:left="580"/>
              <w:spacing w:after="0"/>
              <w:rPr>
                <w:sz w:val="20"/>
                <w:szCs w:val="20"/>
                <w:color w:val="auto"/>
              </w:rPr>
            </w:pPr>
            <w:r>
              <w:rPr>
                <w:rFonts w:ascii="Arial" w:cs="Arial" w:eastAsia="Arial" w:hAnsi="Arial"/>
                <w:sz w:val="15"/>
                <w:szCs w:val="15"/>
                <w:color w:val="auto"/>
              </w:rPr>
              <w:t>Securities registered pursuant to Section 12(b) of the Act:</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8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w w:val="92"/>
              </w:rPr>
              <w:t>Trading</w:t>
            </w:r>
          </w:p>
        </w:tc>
        <w:tc>
          <w:tcPr>
            <w:tcW w:w="2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00" w:type="dxa"/>
            <w:vAlign w:val="bottom"/>
          </w:tcPr>
          <w:p>
            <w:pPr>
              <w:ind w:left="1740"/>
              <w:spacing w:after="0"/>
              <w:rPr>
                <w:sz w:val="20"/>
                <w:szCs w:val="20"/>
                <w:color w:val="auto"/>
              </w:rPr>
            </w:pPr>
            <w:r>
              <w:rPr>
                <w:rFonts w:ascii="Arial" w:cs="Arial" w:eastAsia="Arial" w:hAnsi="Arial"/>
                <w:sz w:val="13"/>
                <w:szCs w:val="13"/>
                <w:b w:val="1"/>
                <w:bCs w:val="1"/>
                <w:color w:val="auto"/>
              </w:rPr>
              <w:t>Title of each class</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w w:val="89"/>
              </w:rPr>
              <w:t>Symbol(s)</w:t>
            </w:r>
          </w:p>
        </w:tc>
        <w:tc>
          <w:tcPr>
            <w:tcW w:w="2600" w:type="dxa"/>
            <w:vAlign w:val="bottom"/>
          </w:tcPr>
          <w:p>
            <w:pPr>
              <w:spacing w:after="0"/>
              <w:rPr>
                <w:sz w:val="20"/>
                <w:szCs w:val="20"/>
                <w:color w:val="auto"/>
              </w:rPr>
            </w:pPr>
            <w:r>
              <w:rPr>
                <w:rFonts w:ascii="Arial" w:cs="Arial" w:eastAsia="Arial" w:hAnsi="Arial"/>
                <w:sz w:val="13"/>
                <w:szCs w:val="13"/>
                <w:b w:val="1"/>
                <w:bCs w:val="1"/>
                <w:color w:val="auto"/>
                <w:w w:val="93"/>
              </w:rPr>
              <w:t>Name of each exchange on which registered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tcBorders>
              <w:top w:val="single" w:sz="8" w:color="auto"/>
            </w:tcBorders>
            <w:gridSpan w:val="2"/>
          </w:tcPr>
          <w:p>
            <w:pPr>
              <w:ind w:left="1060"/>
              <w:spacing w:after="0"/>
              <w:rPr>
                <w:sz w:val="20"/>
                <w:szCs w:val="20"/>
                <w:color w:val="auto"/>
              </w:rPr>
            </w:pPr>
            <w:r>
              <w:rPr>
                <w:rFonts w:ascii="Arial" w:cs="Arial" w:eastAsia="Arial" w:hAnsi="Arial"/>
                <w:sz w:val="16"/>
                <w:szCs w:val="16"/>
                <w:color w:val="auto"/>
              </w:rPr>
              <w:t>Common stock, par value $0.00001</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PMVP</w:t>
            </w: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The Nasdaq Global Select Market</w:t>
            </w: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220" w:type="dxa"/>
            <w:vAlign w:val="bottom"/>
            <w:gridSpan w:val="9"/>
          </w:tcPr>
          <w:p>
            <w:pPr>
              <w:ind w:left="580"/>
              <w:spacing w:after="0"/>
              <w:rPr>
                <w:sz w:val="20"/>
                <w:szCs w:val="20"/>
                <w:color w:val="auto"/>
              </w:rPr>
            </w:pPr>
            <w:r>
              <w:rPr>
                <w:rFonts w:ascii="Arial" w:cs="Arial" w:eastAsia="Arial" w:hAnsi="Arial"/>
                <w:sz w:val="15"/>
                <w:szCs w:val="15"/>
                <w:color w:val="auto"/>
                <w:w w:val="91"/>
              </w:rPr>
              <w:t>Indicate by check mark whether the registrant (1) has filed all reports required to be filed by Section 13 or 15(d) of the Securities Exchange Act of 1934 during the preceding 12</w:t>
            </w:r>
          </w:p>
        </w:tc>
        <w:tc>
          <w:tcPr>
            <w:tcW w:w="0" w:type="dxa"/>
            <w:vAlign w:val="bottom"/>
          </w:tcPr>
          <w:p>
            <w:pPr>
              <w:spacing w:after="0"/>
              <w:rPr>
                <w:sz w:val="1"/>
                <w:szCs w:val="1"/>
                <w:color w:val="auto"/>
              </w:rPr>
            </w:pPr>
          </w:p>
        </w:tc>
      </w:tr>
      <w:tr>
        <w:trPr>
          <w:trHeight w:val="231"/>
        </w:trPr>
        <w:tc>
          <w:tcPr>
            <w:tcW w:w="10380" w:type="dxa"/>
            <w:vAlign w:val="bottom"/>
            <w:gridSpan w:val="9"/>
          </w:tcPr>
          <w:p>
            <w:pPr>
              <w:spacing w:after="0" w:line="173" w:lineRule="exact"/>
              <w:rPr>
                <w:sz w:val="20"/>
                <w:szCs w:val="20"/>
                <w:color w:val="auto"/>
              </w:rPr>
            </w:pPr>
            <w:r>
              <w:rPr>
                <w:rFonts w:ascii="Arial" w:cs="Arial" w:eastAsia="Arial" w:hAnsi="Arial"/>
                <w:sz w:val="15"/>
                <w:szCs w:val="15"/>
                <w:color w:val="auto"/>
                <w:w w:val="90"/>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0"/>
              </w:rPr>
              <w:t>☒</w:t>
            </w:r>
            <w:r>
              <w:rPr>
                <w:rFonts w:ascii="Arial" w:cs="Arial" w:eastAsia="Arial" w:hAnsi="Arial"/>
                <w:sz w:val="15"/>
                <w:szCs w:val="15"/>
                <w:color w:val="auto"/>
                <w:w w:val="90"/>
              </w:rPr>
              <w:t xml:space="preserve"> No</w:t>
            </w:r>
          </w:p>
        </w:tc>
        <w:tc>
          <w:tcPr>
            <w:tcW w:w="8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220" w:type="dxa"/>
            <w:vAlign w:val="bottom"/>
            <w:gridSpan w:val="9"/>
          </w:tcPr>
          <w:p>
            <w:pPr>
              <w:ind w:left="580"/>
              <w:spacing w:after="0"/>
              <w:rPr>
                <w:sz w:val="20"/>
                <w:szCs w:val="20"/>
                <w:color w:val="auto"/>
              </w:rPr>
            </w:pPr>
            <w:r>
              <w:rPr>
                <w:rFonts w:ascii="Arial" w:cs="Arial" w:eastAsia="Arial" w:hAnsi="Arial"/>
                <w:sz w:val="15"/>
                <w:szCs w:val="15"/>
                <w:color w:val="auto"/>
                <w:w w:val="89"/>
              </w:rPr>
              <w:t>Indicate by check mark whether the registrant has submitted electronically every Interactive Data File required to be submitted pursuant to Rule 405 of Regulation S-T (§232.405 of</w:t>
            </w:r>
          </w:p>
        </w:tc>
        <w:tc>
          <w:tcPr>
            <w:tcW w:w="0" w:type="dxa"/>
            <w:vAlign w:val="bottom"/>
          </w:tcPr>
          <w:p>
            <w:pPr>
              <w:spacing w:after="0"/>
              <w:rPr>
                <w:sz w:val="1"/>
                <w:szCs w:val="1"/>
                <w:color w:val="auto"/>
              </w:rPr>
            </w:pPr>
          </w:p>
        </w:tc>
      </w:tr>
      <w:tr>
        <w:trPr>
          <w:trHeight w:val="231"/>
        </w:trPr>
        <w:tc>
          <w:tcPr>
            <w:tcW w:w="7780" w:type="dxa"/>
            <w:vAlign w:val="bottom"/>
            <w:gridSpan w:val="8"/>
          </w:tcPr>
          <w:p>
            <w:pPr>
              <w:spacing w:after="0"/>
              <w:rPr>
                <w:sz w:val="20"/>
                <w:szCs w:val="20"/>
                <w:color w:val="auto"/>
              </w:rPr>
            </w:pPr>
            <w:r>
              <w:rPr>
                <w:rFonts w:ascii="Arial" w:cs="Arial" w:eastAsia="Arial" w:hAnsi="Arial"/>
                <w:sz w:val="15"/>
                <w:szCs w:val="15"/>
                <w:color w:val="auto"/>
                <w:w w:val="89"/>
              </w:rPr>
              <w:t>this chapter) during the preceding 12 months (or for such shorter period that the registrant was required to submit such files).   Yes</w:t>
            </w:r>
          </w:p>
        </w:tc>
        <w:tc>
          <w:tcPr>
            <w:tcW w:w="260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220" w:type="dxa"/>
            <w:vAlign w:val="bottom"/>
            <w:gridSpan w:val="9"/>
          </w:tcPr>
          <w:p>
            <w:pPr>
              <w:ind w:left="580"/>
              <w:spacing w:after="0"/>
              <w:rPr>
                <w:sz w:val="20"/>
                <w:szCs w:val="20"/>
                <w:color w:val="auto"/>
              </w:rPr>
            </w:pPr>
            <w:r>
              <w:rPr>
                <w:rFonts w:ascii="Arial" w:cs="Arial" w:eastAsia="Arial" w:hAnsi="Arial"/>
                <w:sz w:val="15"/>
                <w:szCs w:val="15"/>
                <w:color w:val="auto"/>
                <w:w w:val="89"/>
              </w:rPr>
              <w:t>Indicate by check mark whether the registrant is a large accelerated filer, an accelerated filer, a non-accelerated filer, smaller reporting company, or an emerging growth company.</w:t>
            </w:r>
          </w:p>
        </w:tc>
        <w:tc>
          <w:tcPr>
            <w:tcW w:w="0" w:type="dxa"/>
            <w:vAlign w:val="bottom"/>
          </w:tcPr>
          <w:p>
            <w:pPr>
              <w:spacing w:after="0"/>
              <w:rPr>
                <w:sz w:val="1"/>
                <w:szCs w:val="1"/>
                <w:color w:val="auto"/>
              </w:rPr>
            </w:pPr>
          </w:p>
        </w:tc>
      </w:tr>
      <w:tr>
        <w:trPr>
          <w:trHeight w:val="187"/>
        </w:trPr>
        <w:tc>
          <w:tcPr>
            <w:tcW w:w="10380" w:type="dxa"/>
            <w:vAlign w:val="bottom"/>
            <w:gridSpan w:val="9"/>
          </w:tcPr>
          <w:p>
            <w:pPr>
              <w:spacing w:after="0"/>
              <w:rPr>
                <w:sz w:val="20"/>
                <w:szCs w:val="20"/>
                <w:color w:val="auto"/>
              </w:rPr>
            </w:pPr>
            <w:r>
              <w:rPr>
                <w:rFonts w:ascii="Arial" w:cs="Arial" w:eastAsia="Arial" w:hAnsi="Arial"/>
                <w:sz w:val="15"/>
                <w:szCs w:val="15"/>
                <w:color w:val="auto"/>
                <w:w w:val="96"/>
              </w:rPr>
              <w:t>See the definitions of “large accelerated filer,” “accelerated filer,” “smaller reporting company,” and “emerging growth company” in Rule 12b-2 of the Exchange Act.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920" w:type="dxa"/>
            <w:vAlign w:val="bottom"/>
            <w:gridSpan w:val="2"/>
          </w:tcPr>
          <w:p>
            <w:pPr>
              <w:spacing w:after="0"/>
              <w:rPr>
                <w:sz w:val="20"/>
                <w:szCs w:val="20"/>
                <w:color w:val="auto"/>
              </w:rPr>
            </w:pPr>
            <w:r>
              <w:rPr>
                <w:rFonts w:ascii="Arial" w:cs="Arial" w:eastAsia="Arial" w:hAnsi="Arial"/>
                <w:sz w:val="15"/>
                <w:szCs w:val="15"/>
                <w:color w:val="auto"/>
              </w:rPr>
              <w:t>Large accelerated filer</w:t>
            </w:r>
          </w:p>
        </w:tc>
        <w:tc>
          <w:tcPr>
            <w:tcW w:w="1580" w:type="dxa"/>
            <w:vAlign w:val="bottom"/>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15"/>
                <w:szCs w:val="15"/>
                <w:color w:val="auto"/>
              </w:rPr>
              <w:t>Accelerated filer</w:t>
            </w:r>
          </w:p>
        </w:tc>
        <w:tc>
          <w:tcPr>
            <w:tcW w:w="86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36"/>
        </w:trPr>
        <w:tc>
          <w:tcPr>
            <w:tcW w:w="2920" w:type="dxa"/>
            <w:vAlign w:val="bottom"/>
            <w:gridSpan w:val="2"/>
          </w:tcPr>
          <w:p>
            <w:pPr>
              <w:spacing w:after="0"/>
              <w:rPr>
                <w:sz w:val="20"/>
                <w:szCs w:val="20"/>
                <w:color w:val="auto"/>
              </w:rPr>
            </w:pPr>
            <w:r>
              <w:rPr>
                <w:rFonts w:ascii="Arial" w:cs="Arial" w:eastAsia="Arial" w:hAnsi="Arial"/>
                <w:sz w:val="15"/>
                <w:szCs w:val="15"/>
                <w:color w:val="auto"/>
              </w:rPr>
              <w:t>Non-accelerated filer</w:t>
            </w:r>
          </w:p>
        </w:tc>
        <w:tc>
          <w:tcPr>
            <w:tcW w:w="1580" w:type="dxa"/>
            <w:vAlign w:val="bottom"/>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5"/>
                <w:szCs w:val="15"/>
                <w:color w:val="auto"/>
              </w:rPr>
              <w:t>Smaller reporting company</w:t>
            </w:r>
          </w:p>
        </w:tc>
        <w:tc>
          <w:tcPr>
            <w:tcW w:w="86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0" w:type="dxa"/>
            <w:vAlign w:val="bottom"/>
          </w:tcPr>
          <w:p>
            <w:pPr>
              <w:ind w:left="100"/>
              <w:spacing w:after="0"/>
              <w:rPr>
                <w:sz w:val="20"/>
                <w:szCs w:val="20"/>
                <w:color w:val="auto"/>
              </w:rPr>
            </w:pPr>
            <w:r>
              <w:rPr>
                <w:rFonts w:ascii="Arial" w:cs="Arial" w:eastAsia="Arial" w:hAnsi="Arial"/>
                <w:sz w:val="15"/>
                <w:szCs w:val="15"/>
                <w:color w:val="auto"/>
              </w:rPr>
              <w:t>Emerging growth company</w:t>
            </w:r>
          </w:p>
        </w:tc>
        <w:tc>
          <w:tcPr>
            <w:tcW w:w="86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2" w:right="400" w:firstLine="600"/>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3" w:lineRule="exact"/>
        <w:rPr>
          <w:sz w:val="24"/>
          <w:szCs w:val="24"/>
          <w:color w:val="auto"/>
        </w:rPr>
      </w:pPr>
    </w:p>
    <w:p>
      <w:pPr>
        <w:ind w:left="602"/>
        <w:spacing w:after="0" w:line="173" w:lineRule="exact"/>
        <w:tabs>
          <w:tab w:leader="none" w:pos="7461" w:val="left"/>
          <w:tab w:leader="none" w:pos="8021"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7" w:lineRule="exact"/>
        <w:rPr>
          <w:sz w:val="24"/>
          <w:szCs w:val="24"/>
          <w:color w:val="auto"/>
        </w:rPr>
      </w:pPr>
    </w:p>
    <w:p>
      <w:pPr>
        <w:ind w:left="2" w:firstLine="600"/>
        <w:spacing w:after="0" w:line="194"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0" w:lineRule="exact"/>
        <w:rPr>
          <w:sz w:val="24"/>
          <w:szCs w:val="24"/>
          <w:color w:val="auto"/>
        </w:rPr>
      </w:pPr>
    </w:p>
    <w:p>
      <w:pPr>
        <w:ind w:left="602"/>
        <w:spacing w:after="0"/>
        <w:rPr>
          <w:sz w:val="20"/>
          <w:szCs w:val="20"/>
          <w:color w:val="auto"/>
        </w:rPr>
      </w:pPr>
      <w:r>
        <w:rPr>
          <w:rFonts w:ascii="Arial" w:cs="Arial" w:eastAsia="Arial" w:hAnsi="Arial"/>
          <w:sz w:val="15"/>
          <w:szCs w:val="15"/>
          <w:color w:val="auto"/>
        </w:rPr>
        <w:t>As of November 1, 2020, the registrant had 44,773,748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44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71443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363855</wp:posOffset>
            </wp:positionV>
            <wp:extent cx="716026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2"/>
          </w:cols>
          <w:pgMar w:left="318" w:top="3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920" w:type="dxa"/>
            <w:vAlign w:val="bottom"/>
          </w:tcPr>
          <w:p>
            <w:pPr>
              <w:spacing w:after="0"/>
              <w:rPr>
                <w:sz w:val="18"/>
                <w:szCs w:val="18"/>
                <w:color w:val="auto"/>
              </w:rPr>
            </w:pPr>
          </w:p>
        </w:tc>
        <w:tc>
          <w:tcPr>
            <w:tcW w:w="9540" w:type="dxa"/>
            <w:vAlign w:val="bottom"/>
          </w:tcPr>
          <w:p>
            <w:pPr>
              <w:ind w:left="408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8"/>
                <w:szCs w:val="18"/>
                <w:color w:val="auto"/>
              </w:rPr>
            </w:pPr>
          </w:p>
        </w:tc>
      </w:tr>
      <w:tr>
        <w:trPr>
          <w:trHeight w:val="405"/>
        </w:trPr>
        <w:tc>
          <w:tcPr>
            <w:tcW w:w="92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Page</w:t>
            </w:r>
          </w:p>
        </w:tc>
      </w:tr>
      <w:tr>
        <w:trPr>
          <w:trHeight w:val="201"/>
        </w:trPr>
        <w:tc>
          <w:tcPr>
            <w:tcW w:w="92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9540" w:type="dxa"/>
            <w:vAlign w:val="bottom"/>
          </w:tcPr>
          <w:p>
            <w:pPr>
              <w:ind w:left="2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9540" w:type="dxa"/>
            <w:vAlign w:val="bottom"/>
          </w:tcPr>
          <w:p>
            <w:pPr>
              <w:ind w:left="2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Financial Statements (Unaudited)</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920" w:type="dxa"/>
            <w:vAlign w:val="bottom"/>
          </w:tcPr>
          <w:p>
            <w:pPr>
              <w:spacing w:after="0"/>
              <w:rPr>
                <w:sz w:val="18"/>
                <w:szCs w:val="18"/>
                <w:color w:val="auto"/>
              </w:rPr>
            </w:pPr>
          </w:p>
        </w:tc>
        <w:tc>
          <w:tcPr>
            <w:tcW w:w="9540" w:type="dxa"/>
            <w:vAlign w:val="bottom"/>
          </w:tcPr>
          <w:p>
            <w:pPr>
              <w:ind w:left="2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Balance Sheets (Unaudited)</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920" w:type="dxa"/>
            <w:vAlign w:val="bottom"/>
          </w:tcPr>
          <w:p>
            <w:pPr>
              <w:spacing w:after="0"/>
              <w:rPr>
                <w:sz w:val="18"/>
                <w:szCs w:val="18"/>
                <w:color w:val="auto"/>
              </w:rPr>
            </w:pPr>
          </w:p>
        </w:tc>
        <w:tc>
          <w:tcPr>
            <w:tcW w:w="9540" w:type="dxa"/>
            <w:vAlign w:val="bottom"/>
          </w:tcPr>
          <w:p>
            <w:pPr>
              <w:ind w:left="2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Statements of Operations and Comprehensive Loss (Unaudited)</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920" w:type="dxa"/>
            <w:vAlign w:val="bottom"/>
          </w:tcPr>
          <w:p>
            <w:pPr>
              <w:spacing w:after="0"/>
              <w:rPr>
                <w:sz w:val="18"/>
                <w:szCs w:val="18"/>
                <w:color w:val="auto"/>
              </w:rPr>
            </w:pPr>
          </w:p>
        </w:tc>
        <w:tc>
          <w:tcPr>
            <w:tcW w:w="9540" w:type="dxa"/>
            <w:vAlign w:val="bottom"/>
          </w:tcPr>
          <w:p>
            <w:pPr>
              <w:ind w:left="2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Statements of Convertible Preferred Stock and Stockholders’ (Deficit) Equity (Unaudited)</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920" w:type="dxa"/>
            <w:vAlign w:val="bottom"/>
          </w:tcPr>
          <w:p>
            <w:pPr>
              <w:spacing w:after="0"/>
              <w:rPr>
                <w:sz w:val="18"/>
                <w:szCs w:val="18"/>
                <w:color w:val="auto"/>
              </w:rPr>
            </w:pPr>
          </w:p>
        </w:tc>
        <w:tc>
          <w:tcPr>
            <w:tcW w:w="9540" w:type="dxa"/>
            <w:vAlign w:val="bottom"/>
          </w:tcPr>
          <w:p>
            <w:pPr>
              <w:ind w:left="22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Condensed Statements of Cash Flows (Unaudited)</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920" w:type="dxa"/>
            <w:vAlign w:val="bottom"/>
          </w:tcPr>
          <w:p>
            <w:pPr>
              <w:spacing w:after="0"/>
              <w:rPr>
                <w:sz w:val="18"/>
                <w:szCs w:val="18"/>
                <w:color w:val="auto"/>
              </w:rPr>
            </w:pPr>
          </w:p>
        </w:tc>
        <w:tc>
          <w:tcPr>
            <w:tcW w:w="9540" w:type="dxa"/>
            <w:vAlign w:val="bottom"/>
          </w:tcPr>
          <w:p>
            <w:pPr>
              <w:ind w:left="22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Unaudited Condensed Financial Statements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9540" w:type="dxa"/>
            <w:vAlign w:val="bottom"/>
          </w:tcPr>
          <w:p>
            <w:pPr>
              <w:ind w:left="220"/>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9540" w:type="dxa"/>
            <w:vAlign w:val="bottom"/>
          </w:tcPr>
          <w:p>
            <w:pPr>
              <w:ind w:left="22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6"/>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9540" w:type="dxa"/>
            <w:vAlign w:val="bottom"/>
          </w:tcPr>
          <w:p>
            <w:pPr>
              <w:ind w:left="22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92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9540" w:type="dxa"/>
            <w:vAlign w:val="bottom"/>
          </w:tcPr>
          <w:p>
            <w:pPr>
              <w:ind w:left="2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9540" w:type="dxa"/>
            <w:vAlign w:val="bottom"/>
          </w:tcPr>
          <w:p>
            <w:pPr>
              <w:ind w:left="2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9540" w:type="dxa"/>
            <w:vAlign w:val="bottom"/>
          </w:tcPr>
          <w:p>
            <w:pPr>
              <w:ind w:left="2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9540" w:type="dxa"/>
            <w:vAlign w:val="bottom"/>
          </w:tcPr>
          <w:p>
            <w:pPr>
              <w:ind w:left="22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9540" w:type="dxa"/>
            <w:vAlign w:val="bottom"/>
          </w:tcPr>
          <w:p>
            <w:pPr>
              <w:ind w:left="22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9540" w:type="dxa"/>
            <w:vAlign w:val="bottom"/>
          </w:tcPr>
          <w:p>
            <w:pPr>
              <w:ind w:left="22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9540" w:type="dxa"/>
            <w:vAlign w:val="bottom"/>
          </w:tcPr>
          <w:p>
            <w:pPr>
              <w:ind w:left="22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9540" w:type="dxa"/>
            <w:vAlign w:val="bottom"/>
          </w:tcPr>
          <w:p>
            <w:pPr>
              <w:ind w:left="22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9"/>
        </w:trPr>
        <w:tc>
          <w:tcPr>
            <w:tcW w:w="920" w:type="dxa"/>
            <w:vAlign w:val="bottom"/>
          </w:tcPr>
          <w:p>
            <w:pPr>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Signatures</w:t>
              </w:r>
            </w:hyperlink>
          </w:p>
        </w:tc>
        <w:tc>
          <w:tcPr>
            <w:tcW w:w="9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15" w:lineRule="exact"/>
        <w:rPr>
          <w:sz w:val="20"/>
          <w:szCs w:val="20"/>
          <w:color w:val="auto"/>
        </w:rPr>
      </w:pPr>
    </w:p>
    <w:p>
      <w:pPr>
        <w:ind w:right="100" w:firstLine="850"/>
        <w:spacing w:after="0" w:line="261"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270" w:lineRule="exact"/>
        <w:rPr>
          <w:sz w:val="20"/>
          <w:szCs w:val="20"/>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23" w:lineRule="exact"/>
        <w:rPr>
          <w:rFonts w:ascii="Arial" w:cs="Arial" w:eastAsia="Arial" w:hAnsi="Arial"/>
          <w:sz w:val="16"/>
          <w:szCs w:val="16"/>
          <w:color w:val="auto"/>
        </w:rPr>
      </w:pPr>
    </w:p>
    <w:p>
      <w:pPr>
        <w:ind w:left="740" w:right="560" w:hanging="373"/>
        <w:spacing w:after="0" w:line="256"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sufficiency of our existing cash, cash equivalents and short-term marketable securities to fund our future operating expenses and capital expenditure requirements;</w:t>
      </w: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need to raise additional funding before we can expect to generate any revenues from product sales;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use of our existing cash, cash equivalents and short-term marketable securities and the proceeds from this offering;</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strategic plans for our business and product candidates;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of the market opportunity for our product candidates and our ability to maximize those opportunities;</w:t>
      </w:r>
    </w:p>
    <w:p>
      <w:pPr>
        <w:spacing w:after="0" w:line="12" w:lineRule="exact"/>
        <w:rPr>
          <w:rFonts w:ascii="Arial" w:cs="Arial" w:eastAsia="Arial" w:hAnsi="Arial"/>
          <w:sz w:val="16"/>
          <w:szCs w:val="16"/>
          <w:color w:val="auto"/>
        </w:rPr>
      </w:pPr>
    </w:p>
    <w:p>
      <w:pPr>
        <w:ind w:left="740" w:right="480" w:hanging="373"/>
        <w:spacing w:after="0" w:line="256"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research and development programs, preclinical studies, any clinical trials and, investigational new drug application (“IND”) and other regulatory submissions;</w:t>
      </w: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beneficial characteristics, safety, efficacy and therapeutic effects of our product candidates;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the number of patients expected to have certain p53 mutants and the number of patients that will enroll in our clinical trials;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clinical trials to demonstrate safety and efficacy of our product candidates, and other favorable results;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the clinical development of our product candidates, including the disease areas to be evaluated;</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focus of our clinical trials, and the reporting of data from those trials;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of our product candidates;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w:t>
      </w:r>
    </w:p>
    <w:p>
      <w:pPr>
        <w:spacing w:after="0" w:line="12" w:lineRule="exact"/>
        <w:rPr>
          <w:rFonts w:ascii="Arial" w:cs="Arial" w:eastAsia="Arial" w:hAnsi="Arial"/>
          <w:sz w:val="16"/>
          <w:szCs w:val="16"/>
          <w:color w:val="auto"/>
        </w:rPr>
      </w:pPr>
    </w:p>
    <w:p>
      <w:pPr>
        <w:ind w:left="740" w:right="420" w:hanging="373"/>
        <w:spacing w:after="0" w:line="256"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benefits of potential future strategic collaborations with third parties and our ability to attract collaborators with development, regulatory and commercialization expertise;</w:t>
      </w: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competing therapies that are or may become available;</w:t>
      </w:r>
    </w:p>
    <w:p>
      <w:pPr>
        <w:spacing w:after="0" w:line="12" w:lineRule="exact"/>
        <w:rPr>
          <w:rFonts w:ascii="Arial" w:cs="Arial" w:eastAsia="Arial" w:hAnsi="Arial"/>
          <w:sz w:val="16"/>
          <w:szCs w:val="16"/>
          <w:color w:val="auto"/>
        </w:rPr>
      </w:pPr>
    </w:p>
    <w:p>
      <w:pPr>
        <w:ind w:left="740" w:right="320" w:hanging="373"/>
        <w:spacing w:after="0" w:line="256"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 including our expectation to seek special designations, such as orphan drug designation, for our product candidates;</w:t>
      </w: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the further development and manufacturing of our product candidates, including for additional indications that we may pursue;</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existing regulations and regulatory developments in the United States and other jurisdictions;</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and ability to obtain or protect intellectual property rights, including extensions of existing patent terms where available;</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 to rely on third parties to conduct and support preclinical and clinical development;</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retain the continued service of our key personnel and to identify, hire and then retain additional qualified personnel;</w:t>
      </w:r>
    </w:p>
    <w:p>
      <w:pPr>
        <w:spacing w:after="0" w:line="12" w:lineRule="exact"/>
        <w:rPr>
          <w:rFonts w:ascii="Arial" w:cs="Arial" w:eastAsia="Arial" w:hAnsi="Arial"/>
          <w:sz w:val="16"/>
          <w:szCs w:val="16"/>
          <w:color w:val="auto"/>
        </w:rPr>
      </w:pPr>
    </w:p>
    <w:p>
      <w:pPr>
        <w:ind w:left="740" w:hanging="373"/>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ongoing COVID-19 pandemic or other related disruptions on our business; and</w:t>
      </w:r>
    </w:p>
    <w:p>
      <w:pPr>
        <w:spacing w:after="0" w:line="12" w:lineRule="exact"/>
        <w:rPr>
          <w:rFonts w:ascii="Arial" w:cs="Arial" w:eastAsia="Arial" w:hAnsi="Arial"/>
          <w:sz w:val="16"/>
          <w:szCs w:val="16"/>
          <w:color w:val="auto"/>
        </w:rPr>
      </w:pPr>
    </w:p>
    <w:p>
      <w:pPr>
        <w:ind w:left="740" w:right="80" w:hanging="373"/>
        <w:spacing w:after="0" w:line="27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will qualify as an emerging growth company under the Jumpstart Our Business Startups Act of 2012, as amended.</w:t>
      </w:r>
    </w:p>
    <w:p>
      <w:pPr>
        <w:spacing w:after="0" w:line="161" w:lineRule="exact"/>
        <w:rPr>
          <w:sz w:val="20"/>
          <w:szCs w:val="20"/>
          <w:color w:val="auto"/>
        </w:rPr>
      </w:pPr>
    </w:p>
    <w:p>
      <w:pPr>
        <w:ind w:firstLine="750"/>
        <w:spacing w:after="0" w:line="280" w:lineRule="auto"/>
        <w:rPr>
          <w:sz w:val="20"/>
          <w:szCs w:val="20"/>
          <w:color w:val="auto"/>
        </w:rPr>
      </w:pPr>
      <w:r>
        <w:rPr>
          <w:rFonts w:ascii="Arial" w:cs="Arial" w:eastAsia="Arial" w:hAnsi="Arial"/>
          <w:sz w:val="15"/>
          <w:szCs w:val="15"/>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59" w:lineRule="exact"/>
        <w:rPr>
          <w:sz w:val="20"/>
          <w:szCs w:val="20"/>
          <w:color w:val="auto"/>
        </w:rPr>
      </w:pPr>
    </w:p>
    <w:p>
      <w:pPr>
        <w:ind w:right="500" w:firstLine="750"/>
        <w:spacing w:after="0" w:line="28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jc w:val="both"/>
        <w:spacing w:after="0" w:line="271" w:lineRule="auto"/>
        <w:rPr>
          <w:sz w:val="20"/>
          <w:szCs w:val="20"/>
          <w:color w:val="auto"/>
        </w:rPr>
      </w:pPr>
      <w:r>
        <w:rPr>
          <w:rFonts w:ascii="Arial" w:cs="Arial" w:eastAsia="Arial" w:hAnsi="Arial"/>
          <w:sz w:val="16"/>
          <w:szCs w:val="16"/>
          <w:color w:val="auto"/>
        </w:rPr>
        <w:t>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 (Unaudited).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9"/>
              </w:rPr>
              <w:t>September 30,</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(unaudited)</w:t>
            </w:r>
          </w:p>
        </w:tc>
        <w:tc>
          <w:tcPr>
            <w:tcW w:w="240" w:type="dxa"/>
            <w:vAlign w:val="bottom"/>
          </w:tcPr>
          <w:p>
            <w:pPr>
              <w:spacing w:after="0"/>
              <w:rPr>
                <w:sz w:val="13"/>
                <w:szCs w:val="13"/>
                <w:color w:val="auto"/>
              </w:rPr>
            </w:pPr>
          </w:p>
        </w:tc>
        <w:tc>
          <w:tcPr>
            <w:tcW w:w="1320" w:type="dxa"/>
            <w:vAlign w:val="bottom"/>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373,150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40" w:type="dxa"/>
            <w:vAlign w:val="bottom"/>
          </w:tcPr>
          <w:p>
            <w:pPr>
              <w:ind w:left="220"/>
              <w:spacing w:after="0"/>
              <w:rPr>
                <w:sz w:val="20"/>
                <w:szCs w:val="20"/>
                <w:color w:val="auto"/>
              </w:rPr>
            </w:pPr>
            <w:r>
              <w:rPr>
                <w:rFonts w:ascii="Arial" w:cs="Arial" w:eastAsia="Arial" w:hAnsi="Arial"/>
                <w:sz w:val="16"/>
                <w:szCs w:val="16"/>
                <w:color w:val="auto"/>
              </w:rPr>
              <w:t>Short-term marketable securities</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373,672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102,093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374,446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103,033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548</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4,928</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5,476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5,476</w:t>
            </w:r>
          </w:p>
        </w:tc>
        <w:tc>
          <w:tcPr>
            <w:tcW w:w="2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 accumulated liquidation value of $0 and $169,385 at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September 30, 2020 (unaudited) and December 31, 2019, respectively</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Preferred stock, $0.00001 par value, 5,000,000 and no shares authorized at September</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30, 2020 (unaudited) and December 31, 2019, respectively, no shares issued or</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outstanding at September 30, 2020 (unaudited) and December 31, 2019, respectively.</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40" w:type="dxa"/>
            <w:vAlign w:val="bottom"/>
          </w:tcPr>
          <w:p>
            <w:pPr>
              <w:ind w:left="220"/>
              <w:spacing w:after="0"/>
              <w:rPr>
                <w:sz w:val="20"/>
                <w:szCs w:val="20"/>
                <w:color w:val="auto"/>
              </w:rPr>
            </w:pPr>
            <w:r>
              <w:rPr>
                <w:rFonts w:ascii="Arial" w:cs="Arial" w:eastAsia="Arial" w:hAnsi="Arial"/>
                <w:sz w:val="16"/>
                <w:szCs w:val="16"/>
                <w:color w:val="auto"/>
              </w:rPr>
              <w:t>Common stock, $0.00001 par value, 1,000,000,000 and 33,250,829</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40" w:type="dxa"/>
            <w:vAlign w:val="bottom"/>
          </w:tcPr>
          <w:p>
            <w:pPr>
              <w:ind w:left="340"/>
              <w:spacing w:after="0"/>
              <w:rPr>
                <w:sz w:val="20"/>
                <w:szCs w:val="20"/>
                <w:color w:val="auto"/>
              </w:rPr>
            </w:pPr>
            <w:r>
              <w:rPr>
                <w:rFonts w:ascii="Arial" w:cs="Arial" w:eastAsia="Arial" w:hAnsi="Arial"/>
                <w:sz w:val="16"/>
                <w:szCs w:val="16"/>
                <w:color w:val="auto"/>
              </w:rPr>
              <w:t>shares authorized; 44,773,748 and 3,046,200 shares issued and outstanding</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40" w:type="dxa"/>
            <w:vAlign w:val="bottom"/>
          </w:tcPr>
          <w:p>
            <w:pPr>
              <w:ind w:left="340"/>
              <w:spacing w:after="0"/>
              <w:rPr>
                <w:sz w:val="20"/>
                <w:szCs w:val="20"/>
                <w:color w:val="auto"/>
              </w:rPr>
            </w:pPr>
            <w:r>
              <w:rPr>
                <w:rFonts w:ascii="Arial" w:cs="Arial" w:eastAsia="Arial" w:hAnsi="Arial"/>
                <w:sz w:val="16"/>
                <w:szCs w:val="16"/>
                <w:color w:val="auto"/>
              </w:rPr>
              <w:t>at September 30, 2020 (unaudited) and December 31, 2019, respectively</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468,396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4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(99,426)</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(75,440)</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368,970</w:t>
            </w:r>
          </w:p>
        </w:tc>
        <w:tc>
          <w:tcPr>
            <w:tcW w:w="2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(70,474)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374,446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103,033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w w:val="94"/>
              </w:rPr>
              <w:t>Three Months Ended September 30,</w:t>
            </w:r>
          </w:p>
        </w:tc>
        <w:tc>
          <w:tcPr>
            <w:tcW w:w="180" w:type="dxa"/>
            <w:vAlign w:val="bottom"/>
          </w:tcPr>
          <w:p>
            <w:pPr>
              <w:spacing w:after="0"/>
              <w:rPr>
                <w:sz w:val="13"/>
                <w:szCs w:val="13"/>
                <w:color w:val="auto"/>
              </w:rPr>
            </w:pPr>
          </w:p>
        </w:tc>
        <w:tc>
          <w:tcPr>
            <w:tcW w:w="2460" w:type="dxa"/>
            <w:vAlign w:val="bottom"/>
            <w:gridSpan w:val="5"/>
          </w:tcPr>
          <w:p>
            <w:pPr>
              <w:ind w:left="10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40"/>
        </w:trPr>
        <w:tc>
          <w:tcPr>
            <w:tcW w:w="582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60"/>
              <w:spacing w:after="0" w:line="140"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9"/>
              <w:spacing w:after="0" w:line="140"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0"/>
              <w:spacing w:after="0" w:line="140"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9"/>
              <w:spacing w:after="0" w:line="140"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5,992</w:t>
            </w:r>
          </w:p>
        </w:tc>
        <w:tc>
          <w:tcPr>
            <w:tcW w:w="24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4,895</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17,752</w:t>
            </w:r>
          </w:p>
        </w:tc>
        <w:tc>
          <w:tcPr>
            <w:tcW w:w="2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2,709</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6,689</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8,701</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6,440</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24,441</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Other (expense) income: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22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(143)</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82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other (expense) income</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20" w:type="dxa"/>
            <w:vAlign w:val="bottom"/>
          </w:tcPr>
          <w:p>
            <w:pPr>
              <w:ind w:left="220"/>
              <w:spacing w:after="0"/>
              <w:rPr>
                <w:sz w:val="20"/>
                <w:szCs w:val="20"/>
                <w:color w:val="auto"/>
              </w:rPr>
            </w:pPr>
            <w:r>
              <w:rPr>
                <w:rFonts w:ascii="Arial" w:cs="Arial" w:eastAsia="Arial" w:hAnsi="Arial"/>
                <w:sz w:val="16"/>
                <w:szCs w:val="16"/>
                <w:color w:val="auto"/>
              </w:rPr>
              <w:t>Loss before provision for income taxes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(23,981)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(8,764)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(23,986)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Unrealized (loss) gains on marketable securities, net of tax</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Comprehensive loss</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(8,769)</w:t>
            </w:r>
          </w:p>
        </w:tc>
        <w:tc>
          <w:tcPr>
            <w:tcW w:w="2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(6,177)</w:t>
            </w:r>
          </w:p>
        </w:tc>
        <w:tc>
          <w:tcPr>
            <w:tcW w:w="24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(23,983)</w:t>
            </w:r>
          </w:p>
        </w:tc>
        <w:tc>
          <w:tcPr>
            <w:tcW w:w="2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(18,291)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loss per share -- basic and diluted</w:t>
            </w: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22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6,022,457</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3,046,200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4,045,527</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3,031,416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Condensed Statements of Convertible Preferred Stock and Stockholders’ (Deficit) Equity</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share amounts)</w:t>
      </w:r>
    </w:p>
    <w:p>
      <w:pPr>
        <w:sectPr>
          <w:pgSz w:w="11900" w:h="16838" w:orient="portrait"/>
          <w:cols w:equalWidth="0" w:num="1">
            <w:col w:w="11200"/>
          </w:cols>
          <w:pgMar w:left="320" w:top="123" w:right="379" w:bottom="1440" w:gutter="0" w:footer="0" w:header="0"/>
        </w:sectPr>
      </w:pPr>
    </w:p>
    <w:p>
      <w:pPr>
        <w:spacing w:after="0" w:line="325" w:lineRule="exact"/>
        <w:rPr>
          <w:sz w:val="20"/>
          <w:szCs w:val="20"/>
          <w:color w:val="auto"/>
        </w:rPr>
      </w:pPr>
    </w:p>
    <w:p>
      <w:pPr>
        <w:jc w:val="center"/>
        <w:ind w:left="3460"/>
        <w:spacing w:after="0"/>
        <w:rPr>
          <w:sz w:val="20"/>
          <w:szCs w:val="20"/>
          <w:color w:val="auto"/>
        </w:rPr>
      </w:pPr>
      <w:r>
        <w:rPr>
          <w:rFonts w:ascii="Arial" w:cs="Arial" w:eastAsia="Arial" w:hAnsi="Arial"/>
          <w:sz w:val="13"/>
          <w:szCs w:val="13"/>
          <w:b w:val="1"/>
          <w:bCs w:val="1"/>
          <w:color w:val="auto"/>
        </w:rPr>
        <w:t>Convertible</w:t>
      </w:r>
    </w:p>
    <w:p>
      <w:pPr>
        <w:jc w:val="center"/>
        <w:ind w:left="3460"/>
        <w:spacing w:after="0" w:line="226" w:lineRule="auto"/>
        <w:rPr>
          <w:sz w:val="20"/>
          <w:szCs w:val="20"/>
          <w:color w:val="auto"/>
        </w:rPr>
      </w:pPr>
      <w:r>
        <w:rPr>
          <w:rFonts w:ascii="Arial" w:cs="Arial" w:eastAsia="Arial" w:hAnsi="Arial"/>
          <w:sz w:val="13"/>
          <w:szCs w:val="13"/>
          <w:b w:val="1"/>
          <w:bCs w:val="1"/>
          <w:color w:val="auto"/>
        </w:rPr>
        <w:t>Preferred Stock</w:t>
      </w:r>
    </w:p>
    <w:tbl>
      <w:tblPr>
        <w:tblLayout w:type="fixed"/>
        <w:tblInd w:w="0" w:type="dxa"/>
        <w:tblCellMar>
          <w:top w:w="0" w:type="dxa"/>
          <w:left w:w="0" w:type="dxa"/>
          <w:bottom w:w="0" w:type="dxa"/>
          <w:right w:w="0" w:type="dxa"/>
        </w:tblCellMar>
      </w:tblPr>
      <w:tr>
        <w:trPr>
          <w:trHeight w:val="140"/>
        </w:trPr>
        <w:tc>
          <w:tcPr>
            <w:tcW w:w="3480" w:type="dxa"/>
            <w:vAlign w:val="bottom"/>
            <w:vMerge w:val="restart"/>
          </w:tcPr>
          <w:p>
            <w:pPr>
              <w:spacing w:after="0"/>
              <w:rPr>
                <w:sz w:val="20"/>
                <w:szCs w:val="20"/>
                <w:color w:val="auto"/>
              </w:rPr>
            </w:pPr>
            <w:r>
              <w:rPr>
                <w:rFonts w:ascii="Arial" w:cs="Arial" w:eastAsia="Arial" w:hAnsi="Arial"/>
                <w:sz w:val="13"/>
                <w:szCs w:val="13"/>
                <w:color w:val="auto"/>
              </w:rPr>
              <w:t>Balance at December 31, 2018</w:t>
            </w:r>
          </w:p>
        </w:tc>
        <w:tc>
          <w:tcPr>
            <w:tcW w:w="980" w:type="dxa"/>
            <w:vAlign w:val="bottom"/>
            <w:tcBorders>
              <w:top w:val="single" w:sz="8" w:color="auto"/>
            </w:tcBorders>
            <w:gridSpan w:val="2"/>
          </w:tcPr>
          <w:p>
            <w:pPr>
              <w:ind w:left="200"/>
              <w:spacing w:after="0" w:line="140"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17,396,640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107,228</w:t>
            </w:r>
          </w:p>
        </w:tc>
        <w:tc>
          <w:tcPr>
            <w:tcW w:w="0" w:type="dxa"/>
            <w:vAlign w:val="bottom"/>
          </w:tcPr>
          <w:p>
            <w:pPr>
              <w:spacing w:after="0"/>
              <w:rPr>
                <w:sz w:val="1"/>
                <w:szCs w:val="1"/>
                <w:color w:val="auto"/>
              </w:rPr>
            </w:pP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3"/>
                <w:szCs w:val="13"/>
                <w:color w:val="auto"/>
              </w:rPr>
              <w:t>Stock-based compensation expense</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rPr>
              <w:t>Unrealized gain on available for sale investments</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3"/>
                <w:szCs w:val="13"/>
                <w:color w:val="auto"/>
              </w:rPr>
              <w:t>Balance at March 31, 2019</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17,396,640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107,228</w:t>
            </w:r>
          </w:p>
        </w:tc>
        <w:tc>
          <w:tcPr>
            <w:tcW w:w="0" w:type="dxa"/>
            <w:vAlign w:val="bottom"/>
          </w:tcPr>
          <w:p>
            <w:pPr>
              <w:spacing w:after="0"/>
              <w:rPr>
                <w:sz w:val="1"/>
                <w:szCs w:val="1"/>
                <w:color w:val="auto"/>
              </w:rPr>
            </w:pP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3"/>
                <w:szCs w:val="13"/>
                <w:color w:val="auto"/>
              </w:rPr>
              <w:t>Exercise of stock options</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Stock-based compensation expense</w:t>
            </w: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3"/>
                <w:szCs w:val="13"/>
                <w:color w:val="auto"/>
              </w:rPr>
              <w:t>Balance at June 30, 2019</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17,396,640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107,228</w:t>
            </w:r>
          </w:p>
        </w:tc>
        <w:tc>
          <w:tcPr>
            <w:tcW w:w="0" w:type="dxa"/>
            <w:vAlign w:val="bottom"/>
          </w:tcPr>
          <w:p>
            <w:pPr>
              <w:spacing w:after="0"/>
              <w:rPr>
                <w:sz w:val="1"/>
                <w:szCs w:val="1"/>
                <w:color w:val="auto"/>
              </w:rPr>
            </w:pP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3"/>
                <w:szCs w:val="13"/>
                <w:color w:val="auto"/>
              </w:rPr>
              <w:t>Stock-based compensation expense</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investments</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3"/>
                <w:szCs w:val="13"/>
                <w:color w:val="auto"/>
              </w:rPr>
              <w:t>Balance at September 30, 2019</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17,396,640</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107,228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40"/>
        </w:trPr>
        <w:tc>
          <w:tcPr>
            <w:tcW w:w="3480" w:type="dxa"/>
            <w:vAlign w:val="bottom"/>
            <w:vMerge w:val="restart"/>
          </w:tcPr>
          <w:p>
            <w:pPr>
              <w:spacing w:after="0"/>
              <w:rPr>
                <w:sz w:val="20"/>
                <w:szCs w:val="20"/>
                <w:color w:val="auto"/>
              </w:rPr>
            </w:pPr>
            <w:r>
              <w:rPr>
                <w:rFonts w:ascii="Arial" w:cs="Arial" w:eastAsia="Arial" w:hAnsi="Arial"/>
                <w:sz w:val="13"/>
                <w:szCs w:val="13"/>
                <w:color w:val="auto"/>
              </w:rPr>
              <w:t>Balance at December 31, 2019</w:t>
            </w:r>
          </w:p>
        </w:tc>
        <w:tc>
          <w:tcPr>
            <w:tcW w:w="960" w:type="dxa"/>
            <w:vAlign w:val="bottom"/>
            <w:tcBorders>
              <w:top w:val="single" w:sz="8" w:color="auto"/>
            </w:tcBorders>
            <w:gridSpan w:val="2"/>
          </w:tcPr>
          <w:p>
            <w:pPr>
              <w:jc w:val="right"/>
              <w:ind w:right="400"/>
              <w:spacing w:after="0" w:line="140"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5"/>
              <w:spacing w:after="0" w:line="140" w:lineRule="exact"/>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22,866,246</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168,933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3"/>
                <w:szCs w:val="13"/>
                <w:color w:val="auto"/>
              </w:rPr>
              <w:t>Stock-based compensation expense</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investments</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3"/>
                <w:szCs w:val="13"/>
                <w:color w:val="auto"/>
              </w:rPr>
              <w:t>Balance at March 31, 2020</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22,866,246</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168,933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line="136" w:lineRule="exact"/>
              <w:rPr>
                <w:sz w:val="20"/>
                <w:szCs w:val="20"/>
                <w:color w:val="auto"/>
              </w:rPr>
            </w:pPr>
            <w:r>
              <w:rPr>
                <w:rFonts w:ascii="Arial" w:cs="Arial" w:eastAsia="Arial" w:hAnsi="Arial"/>
                <w:sz w:val="13"/>
                <w:szCs w:val="13"/>
                <w:color w:val="auto"/>
              </w:rPr>
              <w:t>Stock-based compensation expense</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rPr>
              <w:t>Unrealized gain on available for sale investments</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3"/>
                <w:szCs w:val="13"/>
                <w:color w:val="auto"/>
              </w:rPr>
              <w:t>Balance at June 30, 2020</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22,866,246</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168,933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80" w:type="dxa"/>
            <w:vAlign w:val="bottom"/>
          </w:tcPr>
          <w:p>
            <w:pPr>
              <w:spacing w:after="0" w:line="124" w:lineRule="exact"/>
              <w:rPr>
                <w:sz w:val="20"/>
                <w:szCs w:val="20"/>
                <w:color w:val="auto"/>
              </w:rPr>
            </w:pPr>
            <w:r>
              <w:rPr>
                <w:rFonts w:ascii="Arial" w:cs="Arial" w:eastAsia="Arial" w:hAnsi="Arial"/>
                <w:sz w:val="13"/>
                <w:szCs w:val="13"/>
                <w:color w:val="auto"/>
              </w:rPr>
              <w:t>Issuance of Series D convertible preferred stock,</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480" w:type="dxa"/>
            <w:vAlign w:val="bottom"/>
          </w:tcPr>
          <w:p>
            <w:pPr>
              <w:ind w:left="100"/>
              <w:spacing w:after="0" w:line="148" w:lineRule="exact"/>
              <w:rPr>
                <w:sz w:val="20"/>
                <w:szCs w:val="20"/>
                <w:color w:val="auto"/>
              </w:rPr>
            </w:pPr>
            <w:r>
              <w:rPr>
                <w:rFonts w:ascii="Arial" w:cs="Arial" w:eastAsia="Arial" w:hAnsi="Arial"/>
                <w:sz w:val="13"/>
                <w:szCs w:val="13"/>
                <w:color w:val="auto"/>
              </w:rPr>
              <w:t>net of issuance costs of $210</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5,321,864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69,790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Conversion of convertible preferred stock to common stock</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(28,188,110)</w:t>
            </w:r>
          </w:p>
        </w:tc>
        <w:tc>
          <w:tcPr>
            <w:tcW w:w="10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(238,723)</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Exercise of warrants</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w w:val="99"/>
              </w:rPr>
              <w:t>Issuance of common stock, net of issuance costs of $20,374</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48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investments</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3"/>
                <w:szCs w:val="13"/>
                <w:color w:val="auto"/>
              </w:rPr>
              <w:t>Balance at September 30, 2020</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1"/>
        </w:trPr>
        <w:tc>
          <w:tcPr>
            <w:tcW w:w="10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Total</w:t>
            </w:r>
          </w:p>
        </w:tc>
      </w:tr>
      <w:tr>
        <w:trPr>
          <w:trHeight w:val="135"/>
        </w:trPr>
        <w:tc>
          <w:tcPr>
            <w:tcW w:w="10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w w:val="91"/>
              </w:rPr>
              <w:t>Stockholders'</w:t>
            </w:r>
          </w:p>
        </w:tc>
      </w:tr>
      <w:tr>
        <w:trPr>
          <w:trHeight w:val="155"/>
        </w:trPr>
        <w:tc>
          <w:tcPr>
            <w:tcW w:w="100" w:type="dxa"/>
            <w:vAlign w:val="bottom"/>
            <w:tcBorders>
              <w:left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20" w:type="dxa"/>
            <w:vAlign w:val="bottom"/>
            <w:gridSpan w:val="5"/>
          </w:tcPr>
          <w:p>
            <w:pPr>
              <w:ind w:left="80"/>
              <w:spacing w:after="0"/>
              <w:rPr>
                <w:sz w:val="20"/>
                <w:szCs w:val="20"/>
                <w:color w:val="auto"/>
              </w:rPr>
            </w:pPr>
            <w:r>
              <w:rPr>
                <w:rFonts w:ascii="Arial" w:cs="Arial" w:eastAsia="Arial" w:hAnsi="Arial"/>
                <w:sz w:val="13"/>
                <w:szCs w:val="13"/>
                <w:b w:val="1"/>
                <w:bCs w:val="1"/>
                <w:color w:val="auto"/>
                <w:w w:val="94"/>
              </w:rPr>
              <w:t>Comprehensive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b w:val="1"/>
                <w:bCs w:val="1"/>
                <w:color w:val="auto"/>
              </w:rPr>
              <w:t>(Deficit)</w:t>
            </w:r>
          </w:p>
        </w:tc>
      </w:tr>
      <w:tr>
        <w:trPr>
          <w:trHeight w:val="140"/>
        </w:trPr>
        <w:tc>
          <w:tcPr>
            <w:tcW w:w="1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0"/>
              <w:spacing w:after="0" w:line="140"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160"/>
              <w:spacing w:after="0" w:line="140"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0"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00"/>
              <w:spacing w:after="0" w:line="140" w:lineRule="exact"/>
              <w:rPr>
                <w:sz w:val="20"/>
                <w:szCs w:val="20"/>
                <w:color w:val="auto"/>
              </w:rPr>
            </w:pPr>
            <w:r>
              <w:rPr>
                <w:rFonts w:ascii="Arial" w:cs="Arial" w:eastAsia="Arial" w:hAnsi="Arial"/>
                <w:sz w:val="13"/>
                <w:szCs w:val="13"/>
                <w:b w:val="1"/>
                <w:bCs w:val="1"/>
                <w:color w:val="auto"/>
                <w:w w:val="85"/>
              </w:rPr>
              <w:t>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320"/>
              <w:spacing w:after="0" w:line="140" w:lineRule="exact"/>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line="140" w:lineRule="exact"/>
              <w:rPr>
                <w:sz w:val="20"/>
                <w:szCs w:val="20"/>
                <w:color w:val="auto"/>
              </w:rPr>
            </w:pPr>
            <w:r>
              <w:rPr>
                <w:rFonts w:ascii="Arial" w:cs="Arial" w:eastAsia="Arial" w:hAnsi="Arial"/>
                <w:sz w:val="13"/>
                <w:szCs w:val="13"/>
                <w:b w:val="1"/>
                <w:bCs w:val="1"/>
                <w:color w:val="auto"/>
              </w:rPr>
              <w:t>Equity</w:t>
            </w:r>
          </w:p>
        </w:tc>
      </w:tr>
      <w:tr>
        <w:trPr>
          <w:trHeight w:val="140"/>
        </w:trPr>
        <w:tc>
          <w:tcPr>
            <w:tcW w:w="100" w:type="dxa"/>
            <w:vAlign w:val="bottom"/>
            <w:tcBorders>
              <w:left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3,012,284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tcPr>
          <w:p>
            <w:pPr>
              <w:ind w:left="140"/>
              <w:spacing w:after="0" w:line="140"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3,961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(50,088)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(46,140)</w:t>
            </w:r>
          </w:p>
        </w:tc>
        <w:tc>
          <w:tcPr>
            <w:tcW w:w="40" w:type="dxa"/>
            <w:vAlign w:val="bottom"/>
          </w:tcPr>
          <w:p>
            <w:pPr>
              <w:spacing w:after="0"/>
              <w:rPr>
                <w:sz w:val="12"/>
                <w:szCs w:val="12"/>
                <w:color w:val="auto"/>
              </w:rPr>
            </w:pPr>
          </w:p>
        </w:tc>
      </w:tr>
      <w:tr>
        <w:trPr>
          <w:trHeight w:val="136"/>
        </w:trPr>
        <w:tc>
          <w:tcPr>
            <w:tcW w:w="100" w:type="dxa"/>
            <w:vAlign w:val="bottom"/>
            <w:tcBorders>
              <w:left w:val="single" w:sz="8" w:color="auto"/>
            </w:tcBorders>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207</w:t>
            </w:r>
          </w:p>
        </w:tc>
        <w:tc>
          <w:tcPr>
            <w:tcW w:w="40" w:type="dxa"/>
            <w:vAlign w:val="bottom"/>
          </w:tcPr>
          <w:p>
            <w:pPr>
              <w:spacing w:after="0"/>
              <w:rPr>
                <w:sz w:val="11"/>
                <w:szCs w:val="11"/>
                <w:color w:val="auto"/>
              </w:rPr>
            </w:pPr>
          </w:p>
        </w:tc>
      </w:tr>
      <w:tr>
        <w:trPr>
          <w:trHeight w:val="147"/>
        </w:trPr>
        <w:tc>
          <w:tcPr>
            <w:tcW w:w="1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(6,003)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(6,003)</w:t>
            </w:r>
          </w:p>
        </w:tc>
      </w:tr>
      <w:tr>
        <w:trPr>
          <w:trHeight w:val="151"/>
        </w:trPr>
        <w:tc>
          <w:tcPr>
            <w:tcW w:w="10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3"/>
                <w:szCs w:val="13"/>
                <w:color w:val="auto"/>
              </w:rPr>
            </w:pPr>
          </w:p>
        </w:tc>
      </w:tr>
      <w:tr>
        <w:trPr>
          <w:trHeight w:val="140"/>
        </w:trPr>
        <w:tc>
          <w:tcPr>
            <w:tcW w:w="100" w:type="dxa"/>
            <w:vAlign w:val="bottom"/>
            <w:tcBorders>
              <w:left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3,012,284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tcPr>
          <w:p>
            <w:pPr>
              <w:ind w:left="140"/>
              <w:spacing w:after="0" w:line="140"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4,168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(56,091)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(51,920)</w:t>
            </w:r>
          </w:p>
        </w:tc>
        <w:tc>
          <w:tcPr>
            <w:tcW w:w="40" w:type="dxa"/>
            <w:vAlign w:val="bottom"/>
          </w:tcPr>
          <w:p>
            <w:pPr>
              <w:spacing w:after="0"/>
              <w:rPr>
                <w:sz w:val="12"/>
                <w:szCs w:val="12"/>
                <w:color w:val="auto"/>
              </w:rPr>
            </w:pPr>
          </w:p>
        </w:tc>
      </w:tr>
      <w:tr>
        <w:trPr>
          <w:trHeight w:val="136"/>
        </w:trPr>
        <w:tc>
          <w:tcPr>
            <w:tcW w:w="100" w:type="dxa"/>
            <w:vAlign w:val="bottom"/>
            <w:tcBorders>
              <w:left w:val="single" w:sz="8" w:color="auto"/>
            </w:tcBorders>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33,916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r>
      <w:tr>
        <w:trPr>
          <w:trHeight w:val="147"/>
        </w:trPr>
        <w:tc>
          <w:tcPr>
            <w:tcW w:w="1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91"/>
              </w:rPr>
              <w:t>—</w:t>
            </w:r>
          </w:p>
        </w:tc>
        <w:tc>
          <w:tcPr>
            <w:tcW w:w="9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223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223</w:t>
            </w:r>
          </w:p>
        </w:tc>
        <w:tc>
          <w:tcPr>
            <w:tcW w:w="40" w:type="dxa"/>
            <w:vAlign w:val="bottom"/>
          </w:tcPr>
          <w:p>
            <w:pPr>
              <w:spacing w:after="0"/>
              <w:rPr>
                <w:sz w:val="12"/>
                <w:szCs w:val="12"/>
                <w:color w:val="auto"/>
              </w:rPr>
            </w:pPr>
          </w:p>
        </w:tc>
      </w:tr>
      <w:tr>
        <w:trPr>
          <w:trHeight w:val="151"/>
        </w:trPr>
        <w:tc>
          <w:tcPr>
            <w:tcW w:w="10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(6,127)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(6,127)</w:t>
            </w:r>
          </w:p>
        </w:tc>
      </w:tr>
      <w:tr>
        <w:trPr>
          <w:trHeight w:val="140"/>
        </w:trPr>
        <w:tc>
          <w:tcPr>
            <w:tcW w:w="100" w:type="dxa"/>
            <w:vAlign w:val="bottom"/>
            <w:tcBorders>
              <w:left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3,046,200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tcPr>
          <w:p>
            <w:pPr>
              <w:ind w:left="140"/>
              <w:spacing w:after="0" w:line="140"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4,491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(62,218)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(57,724)</w:t>
            </w:r>
          </w:p>
        </w:tc>
        <w:tc>
          <w:tcPr>
            <w:tcW w:w="40" w:type="dxa"/>
            <w:vAlign w:val="bottom"/>
          </w:tcPr>
          <w:p>
            <w:pPr>
              <w:spacing w:after="0"/>
              <w:rPr>
                <w:sz w:val="12"/>
                <w:szCs w:val="12"/>
                <w:color w:val="auto"/>
              </w:rPr>
            </w:pPr>
          </w:p>
        </w:tc>
      </w:tr>
      <w:tr>
        <w:trPr>
          <w:trHeight w:val="136"/>
        </w:trPr>
        <w:tc>
          <w:tcPr>
            <w:tcW w:w="100" w:type="dxa"/>
            <w:vAlign w:val="bottom"/>
            <w:tcBorders>
              <w:left w:val="single" w:sz="8" w:color="auto"/>
            </w:tcBorders>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239</w:t>
            </w:r>
          </w:p>
        </w:tc>
        <w:tc>
          <w:tcPr>
            <w:tcW w:w="40" w:type="dxa"/>
            <w:vAlign w:val="bottom"/>
          </w:tcPr>
          <w:p>
            <w:pPr>
              <w:spacing w:after="0"/>
              <w:rPr>
                <w:sz w:val="11"/>
                <w:szCs w:val="11"/>
                <w:color w:val="auto"/>
              </w:rPr>
            </w:pPr>
          </w:p>
        </w:tc>
      </w:tr>
      <w:tr>
        <w:trPr>
          <w:trHeight w:val="147"/>
        </w:trPr>
        <w:tc>
          <w:tcPr>
            <w:tcW w:w="10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(6,175)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(6,175)</w:t>
            </w:r>
          </w:p>
        </w:tc>
      </w:tr>
      <w:tr>
        <w:trPr>
          <w:trHeight w:val="151"/>
        </w:trPr>
        <w:tc>
          <w:tcPr>
            <w:tcW w:w="100" w:type="dxa"/>
            <w:vAlign w:val="bottom"/>
            <w:tcBorders>
              <w:left w:val="single" w:sz="8" w:color="auto"/>
            </w:tcBorders>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(2)</w:t>
            </w:r>
          </w:p>
        </w:tc>
      </w:tr>
      <w:tr>
        <w:trPr>
          <w:trHeight w:val="140"/>
        </w:trPr>
        <w:tc>
          <w:tcPr>
            <w:tcW w:w="100" w:type="dxa"/>
            <w:vAlign w:val="bottom"/>
            <w:tcBorders>
              <w:left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3,046,200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tcPr>
          <w:p>
            <w:pPr>
              <w:ind w:left="140"/>
              <w:spacing w:after="0" w:line="140"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4,730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tcPr>
          <w:p>
            <w:pPr>
              <w:jc w:val="right"/>
              <w:ind w:right="20"/>
              <w:spacing w:after="0" w:line="140"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(68,393)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(63,662)</w:t>
            </w:r>
          </w:p>
        </w:tc>
        <w:tc>
          <w:tcPr>
            <w:tcW w:w="40" w:type="dxa"/>
            <w:vAlign w:val="bottom"/>
          </w:tcPr>
          <w:p>
            <w:pPr>
              <w:spacing w:after="0"/>
              <w:rPr>
                <w:sz w:val="12"/>
                <w:szCs w:val="12"/>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5"/>
          </w:tcPr>
          <w:p>
            <w:pPr>
              <w:ind w:left="6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35"/>
        </w:trPr>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right"/>
              <w:ind w:right="420"/>
              <w:spacing w:after="0" w:line="135"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w w:val="98"/>
              </w:rPr>
              <w:t>Stockholders'</w:t>
            </w:r>
          </w:p>
        </w:tc>
      </w:tr>
      <w:tr>
        <w:trPr>
          <w:trHeight w:val="155"/>
        </w:trPr>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Paid-in</w:t>
            </w:r>
          </w:p>
        </w:tc>
        <w:tc>
          <w:tcPr>
            <w:tcW w:w="1120" w:type="dxa"/>
            <w:vAlign w:val="bottom"/>
            <w:gridSpan w:val="6"/>
          </w:tcPr>
          <w:p>
            <w:pPr>
              <w:ind w:left="100"/>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3"/>
                <w:szCs w:val="13"/>
                <w:color w:val="auto"/>
              </w:rPr>
            </w:pPr>
          </w:p>
        </w:tc>
        <w:tc>
          <w:tcPr>
            <w:tcW w:w="96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4"/>
              </w:rPr>
              <w:t>(Deficit)</w:t>
            </w:r>
          </w:p>
        </w:tc>
      </w:tr>
      <w:tr>
        <w:trPr>
          <w:trHeight w:val="140"/>
        </w:trPr>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0"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5"/>
              <w:spacing w:after="0" w:line="140" w:lineRule="exact"/>
              <w:rPr>
                <w:sz w:val="20"/>
                <w:szCs w:val="20"/>
                <w:color w:val="auto"/>
              </w:rPr>
            </w:pPr>
            <w:r>
              <w:rPr>
                <w:rFonts w:ascii="Arial" w:cs="Arial" w:eastAsia="Arial" w:hAnsi="Arial"/>
                <w:sz w:val="13"/>
                <w:szCs w:val="13"/>
                <w:b w:val="1"/>
                <w:bCs w:val="1"/>
                <w:color w:val="auto"/>
              </w:rPr>
              <w:t>Loss</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0" w:lineRule="exact"/>
              <w:rPr>
                <w:sz w:val="20"/>
                <w:szCs w:val="20"/>
                <w:color w:val="auto"/>
              </w:rPr>
            </w:pPr>
            <w:r>
              <w:rPr>
                <w:rFonts w:ascii="Arial" w:cs="Arial" w:eastAsia="Arial" w:hAnsi="Arial"/>
                <w:sz w:val="13"/>
                <w:szCs w:val="13"/>
                <w:b w:val="1"/>
                <w:bCs w:val="1"/>
                <w:color w:val="auto"/>
                <w:w w:val="95"/>
              </w:rPr>
              <w:t>Deficit</w:t>
            </w:r>
          </w:p>
        </w:tc>
        <w:tc>
          <w:tcPr>
            <w:tcW w:w="20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0" w:lineRule="exact"/>
              <w:rPr>
                <w:sz w:val="20"/>
                <w:szCs w:val="20"/>
                <w:color w:val="auto"/>
              </w:rPr>
            </w:pPr>
            <w:r>
              <w:rPr>
                <w:rFonts w:ascii="Arial" w:cs="Arial" w:eastAsia="Arial" w:hAnsi="Arial"/>
                <w:sz w:val="13"/>
                <w:szCs w:val="13"/>
                <w:b w:val="1"/>
                <w:bCs w:val="1"/>
                <w:color w:val="auto"/>
              </w:rPr>
              <w:t>Equity</w:t>
            </w:r>
          </w:p>
        </w:tc>
        <w:tc>
          <w:tcPr>
            <w:tcW w:w="80" w:type="dxa"/>
            <w:vAlign w:val="bottom"/>
            <w:gridSpan w:val="2"/>
          </w:tcPr>
          <w:p>
            <w:pPr>
              <w:spacing w:after="0"/>
              <w:rPr>
                <w:sz w:val="12"/>
                <w:szCs w:val="12"/>
                <w:color w:val="auto"/>
              </w:rPr>
            </w:pPr>
          </w:p>
        </w:tc>
      </w:tr>
      <w:tr>
        <w:trPr>
          <w:trHeight w:val="140"/>
        </w:trPr>
        <w:tc>
          <w:tcPr>
            <w:tcW w:w="10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3"/>
                <w:szCs w:val="13"/>
                <w:color w:val="auto"/>
              </w:rPr>
              <w:t>3,046,200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2"/>
                <w:szCs w:val="12"/>
                <w:color w:val="auto"/>
              </w:rPr>
            </w:pPr>
          </w:p>
        </w:tc>
        <w:tc>
          <w:tcPr>
            <w:tcW w:w="16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4,969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3"/>
                <w:szCs w:val="13"/>
                <w:color w:val="auto"/>
              </w:rPr>
              <w:t>(75,440)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line="140"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0" w:lineRule="exact"/>
              <w:rPr>
                <w:sz w:val="20"/>
                <w:szCs w:val="20"/>
                <w:color w:val="auto"/>
              </w:rPr>
            </w:pPr>
            <w:r>
              <w:rPr>
                <w:rFonts w:ascii="Arial" w:cs="Arial" w:eastAsia="Arial" w:hAnsi="Arial"/>
                <w:sz w:val="13"/>
                <w:szCs w:val="13"/>
                <w:color w:val="auto"/>
              </w:rPr>
              <w:t>(70,474)</w:t>
            </w:r>
          </w:p>
        </w:tc>
        <w:tc>
          <w:tcPr>
            <w:tcW w:w="80" w:type="dxa"/>
            <w:vAlign w:val="bottom"/>
            <w:gridSpan w:val="2"/>
          </w:tcPr>
          <w:p>
            <w:pPr>
              <w:spacing w:after="0"/>
              <w:rPr>
                <w:sz w:val="12"/>
                <w:szCs w:val="12"/>
                <w:color w:val="auto"/>
              </w:rPr>
            </w:pPr>
          </w:p>
        </w:tc>
      </w:tr>
      <w:tr>
        <w:trPr>
          <w:trHeight w:val="136"/>
        </w:trPr>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rPr>
              <w:t>296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296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10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(7,255)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0"/>
              <w:spacing w:after="0" w:line="148" w:lineRule="exact"/>
              <w:rPr>
                <w:sz w:val="20"/>
                <w:szCs w:val="20"/>
                <w:color w:val="auto"/>
              </w:rPr>
            </w:pPr>
            <w:r>
              <w:rPr>
                <w:rFonts w:ascii="Arial" w:cs="Arial" w:eastAsia="Arial" w:hAnsi="Arial"/>
                <w:sz w:val="13"/>
                <w:szCs w:val="13"/>
                <w:color w:val="auto"/>
              </w:rPr>
              <w:t>(7,255)</w:t>
            </w:r>
          </w:p>
        </w:tc>
      </w:tr>
      <w:tr>
        <w:trPr>
          <w:trHeight w:val="151"/>
        </w:trPr>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(80)</w:t>
            </w:r>
          </w:p>
        </w:tc>
      </w:tr>
      <w:tr>
        <w:trPr>
          <w:trHeight w:val="140"/>
        </w:trPr>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3,046,200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5,265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(82,695)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0"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(77,513)</w:t>
            </w:r>
          </w:p>
        </w:tc>
        <w:tc>
          <w:tcPr>
            <w:tcW w:w="80" w:type="dxa"/>
            <w:vAlign w:val="bottom"/>
            <w:gridSpan w:val="2"/>
          </w:tcPr>
          <w:p>
            <w:pPr>
              <w:spacing w:after="0"/>
              <w:rPr>
                <w:sz w:val="12"/>
                <w:szCs w:val="12"/>
                <w:color w:val="auto"/>
              </w:rPr>
            </w:pPr>
          </w:p>
        </w:tc>
      </w:tr>
      <w:tr>
        <w:trPr>
          <w:trHeight w:val="136"/>
        </w:trPr>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383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10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(7,967)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0"/>
              <w:spacing w:after="0" w:line="148" w:lineRule="exact"/>
              <w:rPr>
                <w:sz w:val="20"/>
                <w:szCs w:val="20"/>
                <w:color w:val="auto"/>
              </w:rPr>
            </w:pPr>
            <w:r>
              <w:rPr>
                <w:rFonts w:ascii="Arial" w:cs="Arial" w:eastAsia="Arial" w:hAnsi="Arial"/>
                <w:sz w:val="13"/>
                <w:szCs w:val="13"/>
                <w:color w:val="auto"/>
              </w:rPr>
              <w:t>(7,967)</w:t>
            </w:r>
          </w:p>
        </w:tc>
      </w:tr>
      <w:tr>
        <w:trPr>
          <w:trHeight w:val="151"/>
        </w:trPr>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0"/>
        </w:trPr>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3,046,200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5,648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(90,662)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0"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(85,009)</w:t>
            </w:r>
          </w:p>
        </w:tc>
        <w:tc>
          <w:tcPr>
            <w:tcW w:w="80" w:type="dxa"/>
            <w:vAlign w:val="bottom"/>
            <w:gridSpan w:val="2"/>
          </w:tcPr>
          <w:p>
            <w:pPr>
              <w:spacing w:after="0"/>
              <w:rPr>
                <w:sz w:val="12"/>
                <w:szCs w:val="12"/>
                <w:color w:val="auto"/>
              </w:rPr>
            </w:pPr>
          </w:p>
        </w:tc>
      </w:tr>
      <w:tr>
        <w:trPr>
          <w:trHeight w:val="271"/>
        </w:trPr>
        <w:tc>
          <w:tcPr>
            <w:tcW w:w="10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r>
      <w:tr>
        <w:trPr>
          <w:trHeight w:val="147"/>
        </w:trPr>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w w:val="98"/>
              </w:rPr>
              <w:t>28,188,110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238,723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238,723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9,688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w w:val="98"/>
              </w:rPr>
              <w:t>13,529,750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223,161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223,161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670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tcPr>
          <w:p>
            <w:pPr>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(8,764)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0"/>
              <w:spacing w:after="0" w:line="148" w:lineRule="exact"/>
              <w:rPr>
                <w:sz w:val="20"/>
                <w:szCs w:val="20"/>
                <w:color w:val="auto"/>
              </w:rPr>
            </w:pPr>
            <w:r>
              <w:rPr>
                <w:rFonts w:ascii="Arial" w:cs="Arial" w:eastAsia="Arial" w:hAnsi="Arial"/>
                <w:sz w:val="13"/>
                <w:szCs w:val="13"/>
                <w:color w:val="auto"/>
              </w:rPr>
              <w:t>(8,764)</w:t>
            </w:r>
          </w:p>
        </w:tc>
      </w:tr>
      <w:tr>
        <w:trPr>
          <w:trHeight w:val="151"/>
        </w:trPr>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r>
      <w:tr>
        <w:trPr>
          <w:trHeight w:val="140"/>
        </w:trPr>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w w:val="98"/>
              </w:rPr>
              <w:t>44,773,748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468,396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(99,426)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0"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368,970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-3532505</wp:posOffset>
            </wp:positionV>
            <wp:extent cx="7144385" cy="101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0160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-3329940</wp:posOffset>
            </wp:positionV>
            <wp:extent cx="7144385" cy="93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933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-3142615</wp:posOffset>
            </wp:positionV>
            <wp:extent cx="7144385" cy="10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0160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-2940050</wp:posOffset>
            </wp:positionV>
            <wp:extent cx="7144385" cy="93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933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-2752725</wp:posOffset>
            </wp:positionV>
            <wp:extent cx="7144385" cy="101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10160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-2550160</wp:posOffset>
            </wp:positionV>
            <wp:extent cx="7144385" cy="93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933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-2362835</wp:posOffset>
            </wp:positionV>
            <wp:extent cx="7144385" cy="2363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236347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240" w:space="220"/>
            <w:col w:w="5740"/>
          </w:cols>
          <w:pgMar w:left="320" w:top="123" w:right="379" w:bottom="1440" w:gutter="0" w:footer="0" w:header="0"/>
          <w:type w:val="continuous"/>
        </w:sectPr>
      </w:pPr>
    </w:p>
    <w:p>
      <w:pPr>
        <w:jc w:val="center"/>
        <w:ind w:right="-39"/>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3"/>
                <w:szCs w:val="13"/>
                <w:b w:val="1"/>
                <w:bCs w:val="1"/>
                <w:color w:val="auto"/>
              </w:rPr>
              <w:t>Nine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ind w:right="5"/>
              <w:spacing w:after="0" w:line="140"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2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440" w:type="dxa"/>
            <w:vAlign w:val="bottom"/>
            <w:gridSpan w:val="2"/>
            <w:shd w:val="clear" w:color="auto" w:fill="CFF0FC"/>
          </w:tcPr>
          <w:p>
            <w:pPr>
              <w:jc w:val="right"/>
              <w:ind w:right="78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(23,986)</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(18,305)</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based compensation</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Amortization of premiums on marketable securities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Pr>
          <w:p>
            <w:pPr>
              <w:ind w:left="22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Accounts payable</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(2,825)</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8"/>
        </w:trPr>
        <w:tc>
          <w:tcPr>
            <w:tcW w:w="626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Accrued expenses</w:t>
            </w:r>
          </w:p>
        </w:tc>
        <w:tc>
          <w:tcPr>
            <w:tcW w:w="14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ind w:left="680"/>
              <w:spacing w:after="0"/>
              <w:rPr>
                <w:sz w:val="20"/>
                <w:szCs w:val="20"/>
                <w:color w:val="auto"/>
              </w:rPr>
            </w:pPr>
            <w:r>
              <w:rPr>
                <w:rFonts w:ascii="Arial" w:cs="Arial" w:eastAsia="Arial" w:hAnsi="Arial"/>
                <w:sz w:val="16"/>
                <w:szCs w:val="16"/>
                <w:color w:val="auto"/>
              </w:rPr>
              <w:t>Net cash used in operating activities</w:t>
            </w:r>
          </w:p>
        </w:tc>
        <w:tc>
          <w:tcPr>
            <w:tcW w:w="148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(22,427)</w:t>
            </w:r>
          </w:p>
        </w:tc>
        <w:tc>
          <w:tcPr>
            <w:tcW w:w="28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(16,938)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(91)</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6"/>
                <w:szCs w:val="16"/>
                <w:color w:val="auto"/>
              </w:rPr>
              <w:t>Purchase of marketable securities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(14,512)</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(18,330)</w:t>
            </w: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14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42,571</w:t>
            </w:r>
          </w:p>
        </w:tc>
        <w:tc>
          <w:tcPr>
            <w:tcW w:w="2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CFF0FC"/>
            </w:tcBorders>
          </w:tcPr>
          <w:p>
            <w:pPr>
              <w:ind w:left="680"/>
              <w:spacing w:after="0"/>
              <w:rPr>
                <w:sz w:val="20"/>
                <w:szCs w:val="20"/>
                <w:color w:val="auto"/>
              </w:rPr>
            </w:pPr>
            <w:r>
              <w:rPr>
                <w:rFonts w:ascii="Arial" w:cs="Arial" w:eastAsia="Arial" w:hAnsi="Arial"/>
                <w:sz w:val="16"/>
                <w:szCs w:val="16"/>
                <w:color w:val="auto"/>
              </w:rPr>
              <w:t>Net cash provided by investing activities</w:t>
            </w:r>
          </w:p>
        </w:tc>
        <w:tc>
          <w:tcPr>
            <w:tcW w:w="148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27,968</w:t>
            </w:r>
          </w:p>
        </w:tc>
        <w:tc>
          <w:tcPr>
            <w:tcW w:w="2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6"/>
                <w:szCs w:val="16"/>
                <w:color w:val="auto"/>
              </w:rPr>
              <w:t>Proceeds from issuance of convertible preferred stock, net</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69,790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the issuance of common stock, net</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224,541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6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14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294,331</w:t>
            </w: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tcPr>
          <w:p>
            <w:pPr>
              <w:ind w:left="680"/>
              <w:spacing w:after="0"/>
              <w:rPr>
                <w:sz w:val="20"/>
                <w:szCs w:val="20"/>
                <w:color w:val="auto"/>
              </w:rPr>
            </w:pPr>
            <w:r>
              <w:rPr>
                <w:rFonts w:ascii="Arial" w:cs="Arial" w:eastAsia="Arial" w:hAnsi="Arial"/>
                <w:sz w:val="16"/>
                <w:szCs w:val="16"/>
                <w:color w:val="auto"/>
              </w:rPr>
              <w:t>Net increase in cash and cash equivalents</w:t>
            </w: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299,872</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 beginning of period</w:t>
            </w:r>
          </w:p>
        </w:tc>
        <w:tc>
          <w:tcPr>
            <w:tcW w:w="14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73,278</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 end of period</w:t>
            </w:r>
          </w:p>
        </w:tc>
        <w:tc>
          <w:tcPr>
            <w:tcW w:w="14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8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373,150</w:t>
            </w:r>
          </w:p>
        </w:tc>
        <w:tc>
          <w:tcPr>
            <w:tcW w:w="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noncash financing activities</w:t>
            </w: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 preferred stock to common stock</w:t>
            </w:r>
          </w:p>
        </w:tc>
        <w:tc>
          <w:tcPr>
            <w:tcW w:w="2440" w:type="dxa"/>
            <w:vAlign w:val="bottom"/>
            <w:gridSpan w:val="2"/>
            <w:shd w:val="clear" w:color="auto" w:fill="CFF0FC"/>
          </w:tcPr>
          <w:p>
            <w:pPr>
              <w:jc w:val="right"/>
              <w:ind w:right="78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238,723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6"/>
                <w:szCs w:val="16"/>
                <w:color w:val="auto"/>
              </w:rPr>
              <w:t>Conversion of warrant liability to common stock</w:t>
            </w:r>
          </w:p>
        </w:tc>
        <w:tc>
          <w:tcPr>
            <w:tcW w:w="2440" w:type="dxa"/>
            <w:vAlign w:val="bottom"/>
            <w:gridSpan w:val="2"/>
          </w:tcPr>
          <w:p>
            <w:pPr>
              <w:jc w:val="right"/>
              <w:ind w:right="78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18"/>
                <w:szCs w:val="18"/>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6"/>
                <w:szCs w:val="16"/>
                <w:color w:val="auto"/>
              </w:rPr>
              <w:t>Unpaid offering costs</w:t>
            </w:r>
          </w:p>
        </w:tc>
        <w:tc>
          <w:tcPr>
            <w:tcW w:w="2440" w:type="dxa"/>
            <w:vAlign w:val="bottom"/>
            <w:gridSpan w:val="2"/>
            <w:shd w:val="clear" w:color="auto" w:fill="CFF0FC"/>
          </w:tcPr>
          <w:p>
            <w:pPr>
              <w:jc w:val="right"/>
              <w:ind w:right="78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paid for income tax</w:t>
            </w:r>
          </w:p>
        </w:tc>
        <w:tc>
          <w:tcPr>
            <w:tcW w:w="2440" w:type="dxa"/>
            <w:vAlign w:val="bottom"/>
            <w:gridSpan w:val="2"/>
            <w:shd w:val="clear" w:color="auto" w:fill="CFF0FC"/>
          </w:tcPr>
          <w:p>
            <w:pPr>
              <w:jc w:val="right"/>
              <w:ind w:right="78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 Formation and Business of the Company</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Organization</w:t>
      </w:r>
    </w:p>
    <w:p>
      <w:pPr>
        <w:spacing w:after="0" w:line="111" w:lineRule="exact"/>
        <w:rPr>
          <w:sz w:val="20"/>
          <w:szCs w:val="20"/>
          <w:color w:val="auto"/>
        </w:rPr>
      </w:pPr>
    </w:p>
    <w:p>
      <w:pPr>
        <w:ind w:right="60" w:firstLine="674"/>
        <w:spacing w:after="0" w:line="327" w:lineRule="auto"/>
        <w:rPr>
          <w:sz w:val="20"/>
          <w:szCs w:val="20"/>
          <w:color w:val="auto"/>
        </w:rPr>
      </w:pPr>
      <w:r>
        <w:rPr>
          <w:rFonts w:ascii="Arial" w:cs="Arial" w:eastAsia="Arial" w:hAnsi="Arial"/>
          <w:sz w:val="14"/>
          <w:szCs w:val="14"/>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30" w:lineRule="exact"/>
        <w:rPr>
          <w:sz w:val="20"/>
          <w:szCs w:val="20"/>
          <w:color w:val="auto"/>
        </w:rPr>
      </w:pPr>
    </w:p>
    <w:p>
      <w:pPr>
        <w:ind w:firstLine="681"/>
        <w:spacing w:after="0" w:line="283" w:lineRule="auto"/>
        <w:rPr>
          <w:sz w:val="20"/>
          <w:szCs w:val="20"/>
          <w:color w:val="auto"/>
        </w:rPr>
      </w:pPr>
      <w:r>
        <w:rPr>
          <w:rFonts w:ascii="Arial" w:cs="Arial" w:eastAsia="Arial" w:hAnsi="Arial"/>
          <w:sz w:val="15"/>
          <w:szCs w:val="15"/>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57" w:lineRule="exact"/>
        <w:rPr>
          <w:sz w:val="20"/>
          <w:szCs w:val="20"/>
          <w:color w:val="auto"/>
        </w:rPr>
      </w:pPr>
    </w:p>
    <w:p>
      <w:pPr>
        <w:ind w:right="120" w:firstLine="674"/>
        <w:spacing w:after="0" w:line="304" w:lineRule="auto"/>
        <w:rPr>
          <w:sz w:val="20"/>
          <w:szCs w:val="20"/>
          <w:color w:val="auto"/>
        </w:rPr>
      </w:pPr>
      <w:r>
        <w:rPr>
          <w:rFonts w:ascii="Arial" w:cs="Arial" w:eastAsia="Arial" w:hAnsi="Arial"/>
          <w:sz w:val="14"/>
          <w:szCs w:val="14"/>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$223,161 in net proceeds after deducting underwriting discounts and commissions and other offering expenses payable by the Company. In connection with the closing of the IPO, all of the Company’s outstanding shares of convertible preferred stock outstanding at the time of the IPO automatically converted into 28,188,110 shares of common stock. On September 18, 2020, the Company amended its certificate of incorporation to effect a 5.2651-for-1 reverse stock split of its issued and outstanding common and convertible preferred stock. The accompanying condensed financial statements and related notes give retroactive effect to the reverse stock split for all periods presented.</w:t>
      </w:r>
    </w:p>
    <w:p>
      <w:pPr>
        <w:spacing w:after="0" w:line="47" w:lineRule="exact"/>
        <w:rPr>
          <w:sz w:val="20"/>
          <w:szCs w:val="20"/>
          <w:color w:val="auto"/>
        </w:rPr>
      </w:pPr>
    </w:p>
    <w:p>
      <w:pPr>
        <w:ind w:right="20" w:firstLine="674"/>
        <w:spacing w:after="0" w:line="262" w:lineRule="auto"/>
        <w:rPr>
          <w:sz w:val="20"/>
          <w:szCs w:val="20"/>
          <w:color w:val="auto"/>
        </w:rPr>
      </w:pPr>
      <w:r>
        <w:rPr>
          <w:rFonts w:ascii="Arial" w:cs="Arial" w:eastAsia="Arial" w:hAnsi="Arial"/>
          <w:sz w:val="16"/>
          <w:szCs w:val="16"/>
          <w:color w:val="auto"/>
        </w:rPr>
        <w:t>The Company has incurred net losses and negative cash flows from operations since its inception. During the nine months ended September 30, 2020, the Company incurred a net loss of $23,986 and used $22,427 of cash for operations. At September 30, 2020, the Company had an accumulated deficit of $99,426. Cash and cash equivalents at September 30, 2020 were $373,150.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cash equivalents to operate for at least the next twelve months from the date of issuance of these unaudited condensed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 Summary of Significant Accounting Policies</w:t>
      </w:r>
    </w:p>
    <w:p>
      <w:pPr>
        <w:spacing w:after="0" w:line="111" w:lineRule="exact"/>
        <w:rPr>
          <w:sz w:val="20"/>
          <w:szCs w:val="20"/>
          <w:color w:val="auto"/>
        </w:rPr>
      </w:pPr>
    </w:p>
    <w:p>
      <w:pPr>
        <w:ind w:right="220" w:firstLine="674"/>
        <w:spacing w:after="0" w:line="266" w:lineRule="auto"/>
        <w:rPr>
          <w:sz w:val="20"/>
          <w:szCs w:val="20"/>
          <w:color w:val="auto"/>
        </w:rPr>
      </w:pPr>
      <w:r>
        <w:rPr>
          <w:rFonts w:ascii="Arial" w:cs="Arial" w:eastAsia="Arial" w:hAnsi="Arial"/>
          <w:sz w:val="16"/>
          <w:szCs w:val="16"/>
          <w:color w:val="auto"/>
        </w:rPr>
        <w:t>The Company’s significant accounting policies are disclosed in the audited financial statements for the year ended December 31, 2019, included in the Company’s final prospectus that forms part of the Company’s Registration Statement on Form S-1 (Reg. No. 333-248627), dated September 24, 2020 and filed with the SEC pursuant to Rule 424(b)(4) on September 25, 2020. Since the date of those financial statements, there have been no changes to its significant accounting policies except as noted below.</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1" w:lineRule="exact"/>
        <w:rPr>
          <w:sz w:val="20"/>
          <w:szCs w:val="20"/>
          <w:color w:val="auto"/>
        </w:rPr>
      </w:pPr>
    </w:p>
    <w:p>
      <w:pPr>
        <w:ind w:right="240" w:firstLine="674"/>
        <w:spacing w:after="0" w:line="306" w:lineRule="auto"/>
        <w:rPr>
          <w:sz w:val="20"/>
          <w:szCs w:val="20"/>
          <w:color w:val="auto"/>
        </w:rPr>
      </w:pPr>
      <w:r>
        <w:rPr>
          <w:rFonts w:ascii="Arial" w:cs="Arial" w:eastAsia="Arial" w:hAnsi="Arial"/>
          <w:sz w:val="14"/>
          <w:szCs w:val="14"/>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September 30, 2020, the condensed statements of operations and comprehensive loss, and condensed statements of convertible preferred stock and stockholders’ (deficit) equity for the three and nine months ended September 30, 2020 and 2019, and the condensed statements of cash flows for the nine months ended September 30, 2020 and 2019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96" w:lineRule="exact"/>
        <w:rPr>
          <w:sz w:val="20"/>
          <w:szCs w:val="20"/>
          <w:color w:val="auto"/>
        </w:rPr>
      </w:pPr>
    </w:p>
    <w:p>
      <w:pPr>
        <w:ind w:right="640"/>
        <w:spacing w:after="0" w:line="287" w:lineRule="auto"/>
        <w:rPr>
          <w:sz w:val="20"/>
          <w:szCs w:val="20"/>
          <w:color w:val="auto"/>
        </w:rPr>
      </w:pPr>
      <w:r>
        <w:rPr>
          <w:rFonts w:ascii="Arial" w:cs="Arial" w:eastAsia="Arial" w:hAnsi="Arial"/>
          <w:sz w:val="16"/>
          <w:szCs w:val="16"/>
          <w:color w:val="auto"/>
        </w:rPr>
        <w:t>period are not necessarily indicative of results for the year ending December 31, 2020 or for any other subsequent interim period. The condensed balance sheet at December 31, 2019 has been derived from our audited financial statements.</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1" w:lineRule="exact"/>
        <w:rPr>
          <w:sz w:val="20"/>
          <w:szCs w:val="20"/>
          <w:color w:val="auto"/>
        </w:rPr>
      </w:pPr>
    </w:p>
    <w:p>
      <w:pPr>
        <w:ind w:firstLine="674"/>
        <w:spacing w:after="0" w:line="285"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111" w:lineRule="exact"/>
        <w:rPr>
          <w:sz w:val="20"/>
          <w:szCs w:val="20"/>
          <w:color w:val="auto"/>
        </w:rPr>
      </w:pPr>
    </w:p>
    <w:p>
      <w:pPr>
        <w:ind w:right="20" w:firstLine="681"/>
        <w:spacing w:after="0" w:line="264" w:lineRule="auto"/>
        <w:rPr>
          <w:sz w:val="20"/>
          <w:szCs w:val="20"/>
          <w:color w:val="auto"/>
        </w:rPr>
      </w:pPr>
      <w:r>
        <w:rPr>
          <w:rFonts w:ascii="Arial" w:cs="Arial" w:eastAsia="Arial" w:hAnsi="Arial"/>
          <w:sz w:val="16"/>
          <w:szCs w:val="16"/>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condensed financial statements have been retroactively adjusted for all periods presented to give effect to the reverse stock split.</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Cash, Cash Equivalents and Marketable Securities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Management considers all highly liquid investments with original maturities of three months or less to be cash equivalents.</w:t>
      </w:r>
    </w:p>
    <w:p>
      <w:pPr>
        <w:spacing w:after="0" w:line="111" w:lineRule="exact"/>
        <w:rPr>
          <w:sz w:val="20"/>
          <w:szCs w:val="20"/>
          <w:color w:val="auto"/>
        </w:rPr>
      </w:pPr>
    </w:p>
    <w:p>
      <w:pPr>
        <w:ind w:right="60" w:firstLine="681"/>
        <w:spacing w:after="0" w:line="261" w:lineRule="auto"/>
        <w:rPr>
          <w:sz w:val="20"/>
          <w:szCs w:val="20"/>
          <w:color w:val="auto"/>
        </w:rPr>
      </w:pPr>
      <w:r>
        <w:rPr>
          <w:rFonts w:ascii="Arial" w:cs="Arial" w:eastAsia="Arial" w:hAnsi="Arial"/>
          <w:sz w:val="16"/>
          <w:szCs w:val="16"/>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three months ended September 30, 2020 and 2019, the Company recorded $6 and $13 of amortization, respectively. For the nine months ended September 30, 2020 and 2019, the Company recorded $152 and $22 of amortization, respectively.</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11" w:lineRule="exact"/>
        <w:rPr>
          <w:sz w:val="20"/>
          <w:szCs w:val="20"/>
          <w:color w:val="auto"/>
        </w:rPr>
      </w:pPr>
    </w:p>
    <w:p>
      <w:pPr>
        <w:ind w:right="400" w:firstLine="681"/>
        <w:spacing w:after="0" w:line="287" w:lineRule="auto"/>
        <w:rPr>
          <w:sz w:val="20"/>
          <w:szCs w:val="20"/>
          <w:color w:val="auto"/>
        </w:rPr>
      </w:pPr>
      <w:r>
        <w:rPr>
          <w:rFonts w:ascii="Arial" w:cs="Arial" w:eastAsia="Arial" w:hAnsi="Arial"/>
          <w:sz w:val="16"/>
          <w:szCs w:val="16"/>
          <w:color w:val="auto"/>
        </w:rPr>
        <w:t>The Company presents comprehensive loss in a single statement within its financial statements. Other comprehensive loss consists of unrealized gains and losses on marketable securities, net of tax.</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Recently Issued and Adopted Accounting Pronouncements</w:t>
      </w:r>
    </w:p>
    <w:p>
      <w:pPr>
        <w:spacing w:after="0" w:line="111" w:lineRule="exact"/>
        <w:rPr>
          <w:sz w:val="20"/>
          <w:szCs w:val="20"/>
          <w:color w:val="auto"/>
        </w:rPr>
      </w:pPr>
    </w:p>
    <w:p>
      <w:pPr>
        <w:ind w:right="80" w:firstLine="681"/>
        <w:spacing w:after="0" w:line="262" w:lineRule="auto"/>
        <w:rPr>
          <w:sz w:val="20"/>
          <w:szCs w:val="20"/>
          <w:color w:val="auto"/>
        </w:rPr>
      </w:pPr>
      <w:r>
        <w:rPr>
          <w:rFonts w:ascii="Arial" w:cs="Arial" w:eastAsia="Arial" w:hAnsi="Arial"/>
          <w:sz w:val="16"/>
          <w:szCs w:val="16"/>
          <w:color w:val="auto"/>
        </w:rPr>
        <w:t xml:space="preserve">In June 2018, the Financial Accounting Standards Board (“FASB”) issued ASU 2018-07, </w:t>
      </w:r>
      <w:r>
        <w:rPr>
          <w:rFonts w:ascii="Arial" w:cs="Arial" w:eastAsia="Arial" w:hAnsi="Arial"/>
          <w:sz w:val="16"/>
          <w:szCs w:val="16"/>
          <w:i w:val="1"/>
          <w:iCs w:val="1"/>
          <w:color w:val="auto"/>
        </w:rPr>
        <w:t>Compensation – Stock Compensation: Improvements to 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Accounting </w:t>
      </w:r>
      <w:r>
        <w:rPr>
          <w:rFonts w:ascii="Arial" w:cs="Arial" w:eastAsia="Arial" w:hAnsi="Arial"/>
          <w:sz w:val="16"/>
          <w:szCs w:val="16"/>
          <w:color w:val="auto"/>
        </w:rPr>
        <w:t>(which currently only includes share-based payments to employees) to include share-based payments issued to nonemployees for goods</w:t>
      </w:r>
      <w:r>
        <w:rPr>
          <w:rFonts w:ascii="Arial" w:cs="Arial" w:eastAsia="Arial" w:hAnsi="Arial"/>
          <w:sz w:val="16"/>
          <w:szCs w:val="16"/>
          <w:i w:val="1"/>
          <w:iCs w:val="1"/>
          <w:color w:val="auto"/>
        </w:rPr>
        <w:t xml:space="preserve"> </w:t>
      </w:r>
      <w:r>
        <w:rPr>
          <w:rFonts w:ascii="Arial" w:cs="Arial" w:eastAsia="Arial" w:hAnsi="Arial"/>
          <w:sz w:val="16"/>
          <w:szCs w:val="16"/>
          <w:color w:val="auto"/>
        </w:rPr>
        <w:t>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on January 1, 2020. The adoption of this standard did not have a material impact on the Company’s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Recently Issued Accounting Standards Not Yet Adopted</w:t>
      </w:r>
    </w:p>
    <w:p>
      <w:pPr>
        <w:spacing w:after="0" w:line="111" w:lineRule="exact"/>
        <w:rPr>
          <w:sz w:val="20"/>
          <w:szCs w:val="20"/>
          <w:color w:val="auto"/>
        </w:rPr>
      </w:pPr>
    </w:p>
    <w:p>
      <w:pPr>
        <w:ind w:right="60" w:firstLine="681"/>
        <w:spacing w:after="0" w:line="26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 uncertainty of cash flows arising from leases.</w:t>
      </w:r>
    </w:p>
    <w:p>
      <w:pPr>
        <w:spacing w:after="0" w:line="69" w:lineRule="exact"/>
        <w:rPr>
          <w:sz w:val="20"/>
          <w:szCs w:val="20"/>
          <w:color w:val="auto"/>
        </w:rPr>
      </w:pPr>
    </w:p>
    <w:p>
      <w:pPr>
        <w:ind w:right="40" w:firstLine="674"/>
        <w:spacing w:after="0" w:line="289" w:lineRule="auto"/>
        <w:rPr>
          <w:sz w:val="20"/>
          <w:szCs w:val="20"/>
          <w:color w:val="auto"/>
        </w:rPr>
      </w:pPr>
      <w:r>
        <w:rPr>
          <w:rFonts w:ascii="Arial" w:cs="Arial" w:eastAsia="Arial" w:hAnsi="Arial"/>
          <w:sz w:val="15"/>
          <w:szCs w:val="15"/>
          <w:color w:val="auto"/>
        </w:rPr>
        <w:t>The Company has elected, as an emerging growth company (“EGC”), to employ extended transition provisions provided to EGC’s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54"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interim and annual reporting periods beginning after December 15, 2020 for all public entities, with early adoption permitted. The Company is currently assessing the impact that adopting this standard will have on its financial statements.</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11" w:lineRule="exact"/>
        <w:rPr>
          <w:sz w:val="20"/>
          <w:szCs w:val="20"/>
          <w:color w:val="auto"/>
        </w:rPr>
      </w:pPr>
    </w:p>
    <w:p>
      <w:pPr>
        <w:ind w:right="100" w:firstLine="674"/>
        <w:spacing w:after="0" w:line="266"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69" w:lineRule="exact"/>
        <w:rPr>
          <w:sz w:val="20"/>
          <w:szCs w:val="20"/>
          <w:color w:val="auto"/>
        </w:rPr>
      </w:pPr>
    </w:p>
    <w:p>
      <w:pPr>
        <w:ind w:right="240" w:firstLine="674"/>
        <w:spacing w:after="0" w:line="327"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30" w:lineRule="exact"/>
        <w:rPr>
          <w:sz w:val="20"/>
          <w:szCs w:val="20"/>
          <w:color w:val="auto"/>
        </w:rPr>
      </w:pPr>
    </w:p>
    <w:p>
      <w:pPr>
        <w:ind w:right="220" w:firstLine="674"/>
        <w:spacing w:after="0" w:line="271" w:lineRule="auto"/>
        <w:rPr>
          <w:sz w:val="20"/>
          <w:szCs w:val="20"/>
          <w:color w:val="auto"/>
        </w:rPr>
      </w:pPr>
      <w:r>
        <w:rPr>
          <w:rFonts w:ascii="Arial" w:cs="Arial" w:eastAsia="Arial" w:hAnsi="Arial"/>
          <w:sz w:val="16"/>
          <w:szCs w:val="16"/>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65" w:lineRule="exact"/>
        <w:rPr>
          <w:sz w:val="20"/>
          <w:szCs w:val="20"/>
          <w:color w:val="auto"/>
        </w:rPr>
      </w:pPr>
    </w:p>
    <w:p>
      <w:pPr>
        <w:ind w:right="20" w:firstLine="681"/>
        <w:spacing w:after="0" w:line="285" w:lineRule="auto"/>
        <w:rPr>
          <w:sz w:val="20"/>
          <w:szCs w:val="20"/>
          <w:color w:val="auto"/>
        </w:rPr>
      </w:pPr>
      <w:r>
        <w:rPr>
          <w:rFonts w:ascii="Arial" w:cs="Arial" w:eastAsia="Arial" w:hAnsi="Arial"/>
          <w:sz w:val="15"/>
          <w:szCs w:val="15"/>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 Financial Instruments and Fair Value Measurements</w:t>
      </w:r>
    </w:p>
    <w:p>
      <w:pPr>
        <w:spacing w:after="0" w:line="111" w:lineRule="exact"/>
        <w:rPr>
          <w:sz w:val="20"/>
          <w:szCs w:val="20"/>
          <w:color w:val="auto"/>
        </w:rPr>
      </w:pPr>
    </w:p>
    <w:p>
      <w:pPr>
        <w:ind w:right="160" w:firstLine="674"/>
        <w:spacing w:after="0" w:line="322" w:lineRule="auto"/>
        <w:rPr>
          <w:sz w:val="20"/>
          <w:szCs w:val="20"/>
          <w:color w:val="auto"/>
        </w:rPr>
      </w:pPr>
      <w:r>
        <w:rPr>
          <w:rFonts w:ascii="Arial" w:cs="Arial" w:eastAsia="Arial" w:hAnsi="Arial"/>
          <w:sz w:val="15"/>
          <w:szCs w:val="15"/>
          <w:color w:val="auto"/>
        </w:rPr>
        <w:t>The Company’s financial instruments consist of money market funds, U.S. government debt securities and corporate debt securities. The following tables show the Company’s cash equivalents and available-for-sale securities’ carrying amounts and fair values at September 30, 2020 and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3"/>
                <w:szCs w:val="13"/>
                <w:b w:val="1"/>
                <w:bCs w:val="1"/>
                <w:color w:val="auto"/>
                <w:w w:val="90"/>
              </w:rPr>
              <w:t>As of September 30, 2020 (unaudited)</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4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88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w w:val="93"/>
              </w:rPr>
              <w:t>Significant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4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8"/>
              </w:rPr>
              <w:t>priced in</w:t>
            </w:r>
          </w:p>
        </w:tc>
        <w:tc>
          <w:tcPr>
            <w:tcW w:w="12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Significant</w:t>
            </w:r>
          </w:p>
        </w:tc>
      </w:tr>
      <w:tr>
        <w:trPr>
          <w:trHeight w:val="135"/>
        </w:trPr>
        <w:tc>
          <w:tcPr>
            <w:tcW w:w="4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6"/>
              </w:rPr>
              <w:t>active</w:t>
            </w:r>
          </w:p>
        </w:tc>
        <w:tc>
          <w:tcPr>
            <w:tcW w:w="12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3"/>
                <w:szCs w:val="13"/>
                <w:b w:val="1"/>
                <w:bCs w:val="1"/>
                <w:color w:val="auto"/>
                <w:w w:val="90"/>
              </w:rPr>
              <w:t>observable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unobservable</w:t>
            </w:r>
          </w:p>
        </w:tc>
      </w:tr>
      <w:tr>
        <w:trPr>
          <w:trHeight w:val="135"/>
        </w:trPr>
        <w:tc>
          <w:tcPr>
            <w:tcW w:w="4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05"/>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8"/>
              </w:rPr>
              <w:t>markets</w:t>
            </w:r>
          </w:p>
        </w:tc>
        <w:tc>
          <w:tcPr>
            <w:tcW w:w="12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3"/>
                <w:szCs w:val="13"/>
                <w:b w:val="1"/>
                <w:bCs w:val="1"/>
                <w:color w:val="auto"/>
                <w:w w:val="87"/>
              </w:rPr>
              <w:t>inputs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inputs</w:t>
            </w:r>
          </w:p>
        </w:tc>
      </w:tr>
      <w:tr>
        <w:trPr>
          <w:trHeight w:val="155"/>
        </w:trPr>
        <w:tc>
          <w:tcPr>
            <w:tcW w:w="4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5"/>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85"/>
              <w:spacing w:after="0"/>
              <w:rPr>
                <w:sz w:val="20"/>
                <w:szCs w:val="20"/>
                <w:color w:val="auto"/>
              </w:rPr>
            </w:pPr>
            <w:r>
              <w:rPr>
                <w:rFonts w:ascii="Arial" w:cs="Arial" w:eastAsia="Arial" w:hAnsi="Arial"/>
                <w:sz w:val="13"/>
                <w:szCs w:val="13"/>
                <w:b w:val="1"/>
                <w:bCs w:val="1"/>
                <w:color w:val="auto"/>
                <w:w w:val="93"/>
              </w:rPr>
              <w:t>Fair Value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880" w:type="dxa"/>
            <w:vAlign w:val="bottom"/>
          </w:tcPr>
          <w:p>
            <w:pPr>
              <w:jc w:val="center"/>
              <w:ind w:right="88"/>
              <w:spacing w:after="0"/>
              <w:rPr>
                <w:sz w:val="20"/>
                <w:szCs w:val="20"/>
                <w:color w:val="auto"/>
              </w:rPr>
            </w:pPr>
            <w:r>
              <w:rPr>
                <w:rFonts w:ascii="Arial" w:cs="Arial" w:eastAsia="Arial" w:hAnsi="Arial"/>
                <w:sz w:val="13"/>
                <w:szCs w:val="13"/>
                <w:b w:val="1"/>
                <w:bCs w:val="1"/>
                <w:color w:val="auto"/>
                <w:w w:val="90"/>
              </w:rPr>
              <w:t>(level 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(level 3)</w:t>
            </w:r>
          </w:p>
        </w:tc>
      </w:tr>
      <w:tr>
        <w:trPr>
          <w:trHeight w:val="164"/>
        </w:trPr>
        <w:tc>
          <w:tcPr>
            <w:tcW w:w="5200" w:type="dxa"/>
            <w:vAlign w:val="bottom"/>
            <w:tcBorders>
              <w:top w:val="single" w:sz="8" w:color="CFF0FC"/>
            </w:tcBorders>
            <w:gridSpan w:val="2"/>
            <w:shd w:val="clear" w:color="auto" w:fill="CFF0FC"/>
          </w:tcPr>
          <w:p>
            <w:pPr>
              <w:spacing w:after="0" w:line="165" w:lineRule="exact"/>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37"/>
        </w:trPr>
        <w:tc>
          <w:tcPr>
            <w:tcW w:w="420" w:type="dxa"/>
            <w:vAlign w:val="bottom"/>
            <w:shd w:val="clear" w:color="auto" w:fill="000000"/>
          </w:tcPr>
          <w:p>
            <w:pPr>
              <w:spacing w:after="0"/>
              <w:rPr>
                <w:sz w:val="3"/>
                <w:szCs w:val="3"/>
                <w:color w:val="auto"/>
              </w:rPr>
            </w:pPr>
          </w:p>
        </w:tc>
        <w:tc>
          <w:tcPr>
            <w:tcW w:w="47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46,159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46,159</w:t>
            </w:r>
          </w:p>
        </w:tc>
        <w:tc>
          <w:tcPr>
            <w:tcW w:w="3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46,159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740"/>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95,004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95,004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rPr>
              <w:t>—</w:t>
            </w:r>
          </w:p>
        </w:tc>
      </w:tr>
      <w:tr>
        <w:trPr>
          <w:trHeight w:val="201"/>
        </w:trPr>
        <w:tc>
          <w:tcPr>
            <w:tcW w:w="42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141,163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141,163</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46,159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3"/>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As of December 31, 2019</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0"/>
        </w:trPr>
        <w:tc>
          <w:tcPr>
            <w:tcW w:w="4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88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w w:val="93"/>
              </w:rPr>
              <w:t>Significant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4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4"/>
              </w:rPr>
              <w:t>Priced in</w:t>
            </w:r>
          </w:p>
        </w:tc>
        <w:tc>
          <w:tcPr>
            <w:tcW w:w="12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Significant</w:t>
            </w:r>
          </w:p>
        </w:tc>
      </w:tr>
      <w:tr>
        <w:trPr>
          <w:trHeight w:val="135"/>
        </w:trPr>
        <w:tc>
          <w:tcPr>
            <w:tcW w:w="4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Active</w:t>
            </w:r>
          </w:p>
        </w:tc>
        <w:tc>
          <w:tcPr>
            <w:tcW w:w="120" w:type="dxa"/>
            <w:vAlign w:val="bottom"/>
          </w:tcPr>
          <w:p>
            <w:pPr>
              <w:spacing w:after="0"/>
              <w:rPr>
                <w:sz w:val="11"/>
                <w:szCs w:val="11"/>
                <w:color w:val="auto"/>
              </w:rPr>
            </w:pPr>
          </w:p>
        </w:tc>
        <w:tc>
          <w:tcPr>
            <w:tcW w:w="880" w:type="dxa"/>
            <w:vAlign w:val="bottom"/>
          </w:tcPr>
          <w:p>
            <w:pPr>
              <w:jc w:val="center"/>
              <w:ind w:right="88"/>
              <w:spacing w:after="0" w:line="135" w:lineRule="exact"/>
              <w:rPr>
                <w:sz w:val="20"/>
                <w:szCs w:val="20"/>
                <w:color w:val="auto"/>
              </w:rPr>
            </w:pPr>
            <w:r>
              <w:rPr>
                <w:rFonts w:ascii="Arial" w:cs="Arial" w:eastAsia="Arial" w:hAnsi="Arial"/>
                <w:sz w:val="13"/>
                <w:szCs w:val="13"/>
                <w:b w:val="1"/>
                <w:bCs w:val="1"/>
                <w:color w:val="auto"/>
                <w:w w:val="90"/>
              </w:rPr>
              <w:t>Observable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4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05"/>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7"/>
              </w:rPr>
              <w:t>Markets</w:t>
            </w:r>
          </w:p>
        </w:tc>
        <w:tc>
          <w:tcPr>
            <w:tcW w:w="12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Inputs</w:t>
            </w:r>
          </w:p>
        </w:tc>
      </w:tr>
      <w:tr>
        <w:trPr>
          <w:trHeight w:val="155"/>
        </w:trPr>
        <w:tc>
          <w:tcPr>
            <w:tcW w:w="4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5"/>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85"/>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880" w:type="dxa"/>
            <w:vAlign w:val="bottom"/>
          </w:tcPr>
          <w:p>
            <w:pPr>
              <w:jc w:val="center"/>
              <w:ind w:right="68"/>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(Level 3)</w:t>
            </w:r>
          </w:p>
        </w:tc>
      </w:tr>
      <w:tr>
        <w:trPr>
          <w:trHeight w:val="164"/>
        </w:trPr>
        <w:tc>
          <w:tcPr>
            <w:tcW w:w="5200" w:type="dxa"/>
            <w:vAlign w:val="bottom"/>
            <w:tcBorders>
              <w:top w:val="single" w:sz="8" w:color="CFF0FC"/>
            </w:tcBorders>
            <w:gridSpan w:val="2"/>
            <w:shd w:val="clear" w:color="auto" w:fill="CFF0FC"/>
          </w:tcPr>
          <w:p>
            <w:pPr>
              <w:spacing w:after="0" w:line="165" w:lineRule="exact"/>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37"/>
        </w:trPr>
        <w:tc>
          <w:tcPr>
            <w:tcW w:w="420" w:type="dxa"/>
            <w:vAlign w:val="bottom"/>
            <w:shd w:val="clear" w:color="auto" w:fill="000000"/>
          </w:tcPr>
          <w:p>
            <w:pPr>
              <w:spacing w:after="0"/>
              <w:rPr>
                <w:sz w:val="3"/>
                <w:szCs w:val="3"/>
                <w:color w:val="auto"/>
              </w:rPr>
            </w:pPr>
          </w:p>
        </w:tc>
        <w:tc>
          <w:tcPr>
            <w:tcW w:w="47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1,680</w:t>
            </w:r>
          </w:p>
        </w:tc>
        <w:tc>
          <w:tcPr>
            <w:tcW w:w="3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740"/>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97,816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rPr>
              <w:t>—</w:t>
            </w:r>
          </w:p>
        </w:tc>
      </w:tr>
      <w:tr>
        <w:trPr>
          <w:trHeight w:val="201"/>
        </w:trPr>
        <w:tc>
          <w:tcPr>
            <w:tcW w:w="42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99,499</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99,496</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97,816</w:t>
            </w:r>
          </w:p>
        </w:tc>
        <w:tc>
          <w:tcPr>
            <w:tcW w:w="240" w:type="dxa"/>
            <w:vAlign w:val="bottom"/>
            <w:gridSpan w:val="2"/>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80" w:firstLine="674"/>
        <w:spacing w:after="0" w:line="264"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of $141.2 million as of September 30, 2020 consisted of money market funds of $46.2 million and corporate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$95.0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167" w:lineRule="exact"/>
        <w:rPr>
          <w:sz w:val="20"/>
          <w:szCs w:val="20"/>
          <w:color w:val="auto"/>
        </w:rPr>
      </w:pPr>
    </w:p>
    <w:p>
      <w:pPr>
        <w:ind w:right="120" w:firstLine="674"/>
        <w:spacing w:after="0" w:line="271"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of $28.2 million as December 31, 2019 consisted of corporate debt securities classified within level 2 of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hierarchy because they are valued using inputs other than quoted prices that are observable for the asset or liability either directly or indirectly. There were no marketable securities as of September 30, 2020.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 Property and Equipment,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9"/>
              </w:rPr>
              <w:t>September 30,</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43"/>
              <w:spacing w:after="0" w:line="135"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(unaudited)</w:t>
            </w:r>
          </w:p>
        </w:tc>
        <w:tc>
          <w:tcPr>
            <w:tcW w:w="240" w:type="dxa"/>
            <w:vAlign w:val="bottom"/>
          </w:tcPr>
          <w:p>
            <w:pPr>
              <w:spacing w:after="0"/>
              <w:rPr>
                <w:sz w:val="13"/>
                <w:szCs w:val="13"/>
                <w:color w:val="auto"/>
              </w:rPr>
            </w:pPr>
          </w:p>
        </w:tc>
        <w:tc>
          <w:tcPr>
            <w:tcW w:w="1320" w:type="dxa"/>
            <w:vAlign w:val="bottom"/>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Machinery &amp; equipment</w:t>
            </w:r>
          </w:p>
        </w:tc>
        <w:tc>
          <w:tcPr>
            <w:tcW w:w="39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1,989</w:t>
            </w: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20"/>
                <w:szCs w:val="20"/>
                <w:color w:val="auto"/>
              </w:rPr>
            </w:pPr>
            <w:r>
              <w:rPr>
                <w:rFonts w:ascii="Arial" w:cs="Arial" w:eastAsia="Arial" w:hAnsi="Arial"/>
                <w:sz w:val="16"/>
                <w:szCs w:val="16"/>
                <w:color w:val="auto"/>
              </w:rPr>
              <w:t>Computers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Furniture &amp; fixtures</w:t>
            </w:r>
          </w:p>
        </w:tc>
        <w:tc>
          <w:tcPr>
            <w:tcW w:w="3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Leasehold improvements</w:t>
            </w:r>
          </w:p>
        </w:tc>
        <w:tc>
          <w:tcPr>
            <w:tcW w:w="39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Total property and equipment</w:t>
            </w:r>
          </w:p>
        </w:tc>
        <w:tc>
          <w:tcPr>
            <w:tcW w:w="3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1,982</w:t>
            </w: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(1,500)</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9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900" w:type="dxa"/>
            <w:vAlign w:val="bottom"/>
            <w:vMerge w:val="restart"/>
          </w:tcPr>
          <w:p>
            <w:pPr>
              <w:jc w:val="right"/>
              <w:ind w:right="1998"/>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8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8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76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98" w:lineRule="exact"/>
        <w:rPr>
          <w:sz w:val="20"/>
          <w:szCs w:val="20"/>
          <w:color w:val="auto"/>
        </w:rPr>
      </w:pPr>
    </w:p>
    <w:p>
      <w:pPr>
        <w:ind w:right="20" w:firstLine="674"/>
        <w:spacing w:after="0" w:line="287" w:lineRule="auto"/>
        <w:rPr>
          <w:sz w:val="20"/>
          <w:szCs w:val="20"/>
          <w:color w:val="auto"/>
        </w:rPr>
      </w:pPr>
      <w:r>
        <w:rPr>
          <w:rFonts w:ascii="Arial" w:cs="Arial" w:eastAsia="Arial" w:hAnsi="Arial"/>
          <w:sz w:val="16"/>
          <w:szCs w:val="16"/>
          <w:color w:val="auto"/>
        </w:rPr>
        <w:t>Depreciation expense for the three months ended September 30, 2020 and 2019 was $75 and $106, respectively. Depreciation expense for the nine months ended September 30, 2020 and 2019 was $257 and $293,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 Accrued Expenses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Accrued expenses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160" w:type="dxa"/>
            <w:vAlign w:val="bottom"/>
          </w:tcPr>
          <w:p>
            <w:pPr>
              <w:jc w:val="center"/>
              <w:ind w:left="290"/>
              <w:spacing w:after="0"/>
              <w:rPr>
                <w:sz w:val="20"/>
                <w:szCs w:val="20"/>
                <w:color w:val="auto"/>
              </w:rPr>
            </w:pPr>
            <w:r>
              <w:rPr>
                <w:rFonts w:ascii="Arial" w:cs="Arial" w:eastAsia="Arial" w:hAnsi="Arial"/>
                <w:sz w:val="13"/>
                <w:szCs w:val="13"/>
                <w:b w:val="1"/>
                <w:bCs w:val="1"/>
                <w:color w:val="auto"/>
                <w:w w:val="89"/>
              </w:rPr>
              <w:t>September 30,</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7740" w:type="dxa"/>
            <w:vAlign w:val="bottom"/>
          </w:tcPr>
          <w:p>
            <w:pPr>
              <w:spacing w:after="0"/>
              <w:rPr>
                <w:sz w:val="11"/>
                <w:szCs w:val="11"/>
                <w:color w:val="auto"/>
              </w:rPr>
            </w:pPr>
          </w:p>
        </w:tc>
        <w:tc>
          <w:tcPr>
            <w:tcW w:w="1160" w:type="dxa"/>
            <w:vAlign w:val="bottom"/>
          </w:tcPr>
          <w:p>
            <w:pPr>
              <w:jc w:val="center"/>
              <w:ind w:left="310"/>
              <w:spacing w:after="0" w:line="135" w:lineRule="exact"/>
              <w:rPr>
                <w:sz w:val="20"/>
                <w:szCs w:val="20"/>
                <w:color w:val="auto"/>
              </w:rPr>
            </w:pPr>
            <w:r>
              <w:rPr>
                <w:rFonts w:ascii="Arial" w:cs="Arial" w:eastAsia="Arial" w:hAnsi="Arial"/>
                <w:sz w:val="13"/>
                <w:szCs w:val="13"/>
                <w:b w:val="1"/>
                <w:bCs w:val="1"/>
                <w:color w:val="auto"/>
                <w:w w:val="89"/>
              </w:rPr>
              <w:t>2020</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December 31,</w:t>
            </w:r>
          </w:p>
        </w:tc>
      </w:tr>
      <w:tr>
        <w:trPr>
          <w:trHeight w:val="155"/>
        </w:trPr>
        <w:tc>
          <w:tcPr>
            <w:tcW w:w="77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center"/>
              <w:ind w:left="310"/>
              <w:spacing w:after="0"/>
              <w:rPr>
                <w:sz w:val="20"/>
                <w:szCs w:val="20"/>
                <w:color w:val="auto"/>
              </w:rPr>
            </w:pPr>
            <w:r>
              <w:rPr>
                <w:rFonts w:ascii="Arial" w:cs="Arial" w:eastAsia="Arial" w:hAnsi="Arial"/>
                <w:sz w:val="13"/>
                <w:szCs w:val="13"/>
                <w:b w:val="1"/>
                <w:bCs w:val="1"/>
                <w:color w:val="auto"/>
                <w:w w:val="93"/>
              </w:rPr>
              <w:t>(unaudited)</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1"/>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1160" w:type="dxa"/>
            <w:vAlign w:val="bottom"/>
            <w:shd w:val="clear" w:color="auto" w:fill="CFF0FC"/>
          </w:tcPr>
          <w:p>
            <w:pPr>
              <w:jc w:val="right"/>
              <w:ind w:right="101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2,105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FF0FC"/>
          </w:tcPr>
          <w:p>
            <w:pPr>
              <w:spacing w:after="0"/>
              <w:rPr>
                <w:sz w:val="17"/>
                <w:szCs w:val="17"/>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color w:val="auto"/>
              </w:rPr>
              <w:t>Accrued legal and professional services</w:t>
            </w: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1,090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Accrued research and development costs</w:t>
            </w: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1,631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accrued liabilities</w:t>
            </w: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FF0FC"/>
            </w:tcBorders>
          </w:tcPr>
          <w:p>
            <w:pPr>
              <w:spacing w:after="0"/>
              <w:rPr>
                <w:sz w:val="18"/>
                <w:szCs w:val="18"/>
                <w:color w:val="auto"/>
              </w:rPr>
            </w:pPr>
          </w:p>
        </w:tc>
      </w:tr>
      <w:tr>
        <w:trPr>
          <w:trHeight w:val="201"/>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4,928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 Commitments and Contingencies</w:t>
      </w:r>
    </w:p>
    <w:p>
      <w:pPr>
        <w:spacing w:after="0" w:line="111" w:lineRule="exact"/>
        <w:rPr>
          <w:sz w:val="20"/>
          <w:szCs w:val="20"/>
          <w:color w:val="auto"/>
        </w:rPr>
      </w:pPr>
    </w:p>
    <w:p>
      <w:pPr>
        <w:ind w:right="380" w:firstLine="674"/>
        <w:spacing w:after="0" w:line="287" w:lineRule="auto"/>
        <w:rPr>
          <w:sz w:val="20"/>
          <w:szCs w:val="20"/>
          <w:color w:val="auto"/>
        </w:rPr>
      </w:pPr>
      <w:r>
        <w:rPr>
          <w:rFonts w:ascii="Arial" w:cs="Arial" w:eastAsia="Arial" w:hAnsi="Arial"/>
          <w:sz w:val="16"/>
          <w:szCs w:val="16"/>
          <w:color w:val="auto"/>
        </w:rPr>
        <w:t>The Company leases office and laboratory space in Cranbury, New Jersey, South Brunswick, New Jersey, and Lexington, Massachusetts. At September 30, 2020, the minimum lease payments under these leases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2020 (excluding the nine months ended September 30, 2020)</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r>
      <w:tr>
        <w:trPr>
          <w:trHeight w:val="208"/>
        </w:trPr>
        <w:tc>
          <w:tcPr>
            <w:tcW w:w="8820" w:type="dxa"/>
            <w:vAlign w:val="bottom"/>
          </w:tcPr>
          <w:p>
            <w:pPr>
              <w:spacing w:after="0"/>
              <w:rPr>
                <w:sz w:val="20"/>
                <w:szCs w:val="20"/>
                <w:color w:val="auto"/>
              </w:rPr>
            </w:pPr>
            <w:r>
              <w:rPr>
                <w:rFonts w:ascii="Arial" w:cs="Arial" w:eastAsia="Arial" w:hAnsi="Arial"/>
                <w:sz w:val="16"/>
                <w:szCs w:val="16"/>
                <w:color w:val="auto"/>
              </w:rPr>
              <w:t>2021</w:t>
            </w:r>
          </w:p>
        </w:tc>
        <w:tc>
          <w:tcPr>
            <w:tcW w:w="10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r>
      <w:tr>
        <w:trPr>
          <w:trHeight w:val="208"/>
        </w:trPr>
        <w:tc>
          <w:tcPr>
            <w:tcW w:w="8820" w:type="dxa"/>
            <w:vAlign w:val="bottom"/>
          </w:tcPr>
          <w:p>
            <w:pPr>
              <w:spacing w:after="0"/>
              <w:rPr>
                <w:sz w:val="20"/>
                <w:szCs w:val="20"/>
                <w:color w:val="auto"/>
              </w:rPr>
            </w:pPr>
            <w:r>
              <w:rPr>
                <w:rFonts w:ascii="Arial" w:cs="Arial" w:eastAsia="Arial" w:hAnsi="Arial"/>
                <w:sz w:val="16"/>
                <w:szCs w:val="16"/>
                <w:color w:val="auto"/>
              </w:rPr>
              <w:t>2023</w:t>
            </w:r>
          </w:p>
        </w:tc>
        <w:tc>
          <w:tcPr>
            <w:tcW w:w="10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10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8820" w:type="dxa"/>
            <w:vAlign w:val="bottom"/>
          </w:tcPr>
          <w:p>
            <w:pPr>
              <w:ind w:left="220"/>
              <w:spacing w:after="0"/>
              <w:rPr>
                <w:sz w:val="20"/>
                <w:szCs w:val="20"/>
                <w:color w:val="auto"/>
              </w:rPr>
            </w:pPr>
            <w:r>
              <w:rPr>
                <w:rFonts w:ascii="Arial" w:cs="Arial" w:eastAsia="Arial" w:hAnsi="Arial"/>
                <w:sz w:val="16"/>
                <w:szCs w:val="16"/>
                <w:color w:val="auto"/>
              </w:rPr>
              <w:t>Total future minimum lease payments</w:t>
            </w:r>
          </w:p>
        </w:tc>
        <w:tc>
          <w:tcPr>
            <w:tcW w:w="1080" w:type="dxa"/>
            <w:vAlign w:val="bottom"/>
            <w:tcBorders>
              <w:top w:val="single" w:sz="8" w:color="auto"/>
              <w:bottom w:val="single" w:sz="8" w:color="auto"/>
            </w:tcBorders>
          </w:tcPr>
          <w:p>
            <w:pPr>
              <w:jc w:val="right"/>
              <w:ind w:right="898"/>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2" w:lineRule="exact"/>
        <w:rPr>
          <w:sz w:val="20"/>
          <w:szCs w:val="20"/>
          <w:color w:val="auto"/>
        </w:rPr>
      </w:pPr>
    </w:p>
    <w:p>
      <w:pPr>
        <w:ind w:right="280" w:firstLine="674"/>
        <w:spacing w:after="0" w:line="287" w:lineRule="auto"/>
        <w:rPr>
          <w:sz w:val="20"/>
          <w:szCs w:val="20"/>
          <w:color w:val="auto"/>
        </w:rPr>
      </w:pPr>
      <w:r>
        <w:rPr>
          <w:rFonts w:ascii="Arial" w:cs="Arial" w:eastAsia="Arial" w:hAnsi="Arial"/>
          <w:sz w:val="16"/>
          <w:szCs w:val="16"/>
          <w:color w:val="auto"/>
        </w:rPr>
        <w:t>Rent expense recorded during the three months ended September 30, 2020 and 2019 are $118 and $166, respectively. Rent expense recorded during the nine months ended September 30, 2020 and 2019 are $444 and $448, respectively.</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At September 30, 2020, there were no purchase commitments with third-party suppliers.</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Contingencies</w:t>
      </w:r>
    </w:p>
    <w:p>
      <w:pPr>
        <w:spacing w:after="0" w:line="111" w:lineRule="exact"/>
        <w:rPr>
          <w:sz w:val="20"/>
          <w:szCs w:val="20"/>
          <w:color w:val="auto"/>
        </w:rPr>
      </w:pPr>
    </w:p>
    <w:p>
      <w:pPr>
        <w:ind w:right="480" w:firstLine="674"/>
        <w:spacing w:after="0" w:line="287"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7. Stockholders’ Equity</w:t>
      </w:r>
    </w:p>
    <w:p>
      <w:pPr>
        <w:spacing w:after="0" w:line="111" w:lineRule="exact"/>
        <w:rPr>
          <w:sz w:val="20"/>
          <w:szCs w:val="20"/>
          <w:color w:val="auto"/>
        </w:rPr>
      </w:pPr>
    </w:p>
    <w:p>
      <w:pPr>
        <w:ind w:right="40" w:firstLine="681"/>
        <w:spacing w:after="0" w:line="271" w:lineRule="auto"/>
        <w:rPr>
          <w:sz w:val="20"/>
          <w:szCs w:val="20"/>
          <w:color w:val="auto"/>
        </w:rPr>
      </w:pPr>
      <w:r>
        <w:rPr>
          <w:rFonts w:ascii="Arial" w:cs="Arial" w:eastAsia="Arial" w:hAnsi="Arial"/>
          <w:sz w:val="16"/>
          <w:szCs w:val="16"/>
          <w:color w:val="auto"/>
        </w:rPr>
        <w:t>The Company is authorized to issue up to 1,000,000,000 shares of common stock with a par value of $0.00001 per share and 5,000,000 shares of preferred stock with a par value of $0.00001 per share. At September 30, 2020 and December 31, 2019, there were 44,773,748 and 3,046,200 shares of common stock issued and outstanding, respectively, and no shares of preferred stock issued and outstanding.</w:t>
      </w:r>
    </w:p>
    <w:p>
      <w:pPr>
        <w:spacing w:after="0" w:line="65" w:lineRule="exact"/>
        <w:rPr>
          <w:sz w:val="20"/>
          <w:szCs w:val="20"/>
          <w:color w:val="auto"/>
        </w:rPr>
      </w:pPr>
    </w:p>
    <w:p>
      <w:pPr>
        <w:ind w:right="160" w:firstLine="681"/>
        <w:spacing w:after="0" w:line="271" w:lineRule="auto"/>
        <w:rPr>
          <w:sz w:val="20"/>
          <w:szCs w:val="20"/>
          <w:color w:val="auto"/>
        </w:rPr>
      </w:pPr>
      <w:r>
        <w:rPr>
          <w:rFonts w:ascii="Arial" w:cs="Arial" w:eastAsia="Arial" w:hAnsi="Arial"/>
          <w:sz w:val="16"/>
          <w:szCs w:val="16"/>
          <w:color w:val="auto"/>
        </w:rPr>
        <w:t>In July 2020, the Company issued 5,321,864 shares of Series D Preferred Stock at a price of $13.1533 per share, resulting in gross proceeds of $70,000. In connection with the IPO on September 25, 2020, all of the Company’s convertible preferred stock, including Series D Preferred Stock, outstanding at the time of the IPO automatically converted into an aggregate of 28,188,110 shares of common stock.</w:t>
      </w:r>
    </w:p>
    <w:p>
      <w:pPr>
        <w:spacing w:after="0" w:line="65" w:lineRule="exact"/>
        <w:rPr>
          <w:sz w:val="20"/>
          <w:szCs w:val="20"/>
          <w:color w:val="auto"/>
        </w:rPr>
      </w:pPr>
    </w:p>
    <w:p>
      <w:pPr>
        <w:ind w:right="120" w:firstLine="681"/>
        <w:spacing w:after="0" w:line="287" w:lineRule="auto"/>
        <w:rPr>
          <w:sz w:val="20"/>
          <w:szCs w:val="20"/>
          <w:color w:val="auto"/>
        </w:rPr>
      </w:pPr>
      <w:r>
        <w:rPr>
          <w:rFonts w:ascii="Arial" w:cs="Arial" w:eastAsia="Arial" w:hAnsi="Arial"/>
          <w:sz w:val="16"/>
          <w:szCs w:val="16"/>
          <w:color w:val="auto"/>
        </w:rPr>
        <w:t>Common stockholders are entitled to receive dividends if and when declared by the board of directors subject to the rights of any preferred stockholders. As of September 30, 2020, no dividends on common stock had been declared by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 Stock Plan</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2020 Equity Incentive Plan</w:t>
      </w:r>
    </w:p>
    <w:p>
      <w:pPr>
        <w:spacing w:after="0" w:line="111" w:lineRule="exact"/>
        <w:rPr>
          <w:sz w:val="20"/>
          <w:szCs w:val="20"/>
          <w:color w:val="auto"/>
        </w:rPr>
      </w:pPr>
    </w:p>
    <w:p>
      <w:pPr>
        <w:ind w:right="40" w:firstLine="681"/>
        <w:spacing w:after="0" w:line="285" w:lineRule="auto"/>
        <w:rPr>
          <w:sz w:val="20"/>
          <w:szCs w:val="20"/>
          <w:color w:val="auto"/>
        </w:rPr>
      </w:pPr>
      <w:r>
        <w:rPr>
          <w:rFonts w:ascii="Arial" w:cs="Arial" w:eastAsia="Arial" w:hAnsi="Arial"/>
          <w:sz w:val="15"/>
          <w:szCs w:val="15"/>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initially reserved for issuance under the 2020 Plan is 4,406,374, which shall be cumulatively increased on January 1, 2021 and each January 1 thereafter by 5% of the number of shares of the Company’s common stock outstanding on the immediately preceding December 31. No shares are issued or outstanding under the 2020 Plan.</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2020 Employee Stock Purchase Plan</w:t>
      </w:r>
    </w:p>
    <w:p>
      <w:pPr>
        <w:spacing w:after="0" w:line="111" w:lineRule="exact"/>
        <w:rPr>
          <w:sz w:val="20"/>
          <w:szCs w:val="20"/>
          <w:color w:val="auto"/>
        </w:rPr>
      </w:pPr>
    </w:p>
    <w:p>
      <w:pPr>
        <w:ind w:right="20" w:firstLine="681"/>
        <w:spacing w:after="0" w:line="266" w:lineRule="auto"/>
        <w:rPr>
          <w:sz w:val="20"/>
          <w:szCs w:val="20"/>
          <w:color w:val="auto"/>
        </w:rPr>
      </w:pPr>
      <w:r>
        <w:rPr>
          <w:rFonts w:ascii="Arial" w:cs="Arial" w:eastAsia="Arial" w:hAnsi="Arial"/>
          <w:sz w:val="16"/>
          <w:szCs w:val="16"/>
          <w:color w:val="auto"/>
        </w:rPr>
        <w:t>The 2020 Employee Stock Purchase Plan (the “2020 ESPP”) was approved by the board of directors on September 24, 2020. A total of 400,572 shares of common stock were initially reserved for issuance under this plan, which shall be increased on January 1, 2021 to the lesser of (i) 801,504 shares of common stock, (ii) 1% of the outstanding shares of common stock on the last day of the immediately preceding Fiscal Year, or (iii) an amount determined by the Administrator no later than the last day of the immediately preceding Fiscal Year. No shares are issued or outstanding under the 2020 ESPP.</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2013 Equity Incentive Plan</w:t>
      </w:r>
    </w:p>
    <w:p>
      <w:pPr>
        <w:spacing w:after="0" w:line="111" w:lineRule="exact"/>
        <w:rPr>
          <w:sz w:val="20"/>
          <w:szCs w:val="20"/>
          <w:color w:val="auto"/>
        </w:rPr>
      </w:pPr>
    </w:p>
    <w:p>
      <w:pPr>
        <w:ind w:right="80" w:firstLine="681"/>
        <w:spacing w:after="0" w:line="287" w:lineRule="auto"/>
        <w:rPr>
          <w:sz w:val="20"/>
          <w:szCs w:val="20"/>
          <w:color w:val="auto"/>
        </w:rPr>
      </w:pPr>
      <w:r>
        <w:rPr>
          <w:rFonts w:ascii="Arial" w:cs="Arial" w:eastAsia="Arial" w:hAnsi="Arial"/>
          <w:sz w:val="16"/>
          <w:szCs w:val="16"/>
          <w:color w:val="auto"/>
        </w:rPr>
        <w:t>In 2013, the Company adopted the 2013 Stock Plan (the “2013 Plan”). On September 24, 2020, this plan was replaced by the 2020 Plan, and future issuances of incentive instruments will be governed by that plan.</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table summarizes option activity for the nine-month period ended September 30,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rPr>
              <w:t>Options Outstanding</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left="12"/>
              <w:spacing w:after="0" w:line="132" w:lineRule="exact"/>
              <w:rPr>
                <w:sz w:val="20"/>
                <w:szCs w:val="20"/>
                <w:color w:val="auto"/>
              </w:rPr>
            </w:pPr>
            <w:r>
              <w:rPr>
                <w:rFonts w:ascii="Arial" w:cs="Arial" w:eastAsia="Arial" w:hAnsi="Arial"/>
                <w:sz w:val="13"/>
                <w:szCs w:val="13"/>
                <w:b w:val="1"/>
                <w:bCs w:val="1"/>
                <w:color w:val="auto"/>
                <w:w w:val="89"/>
              </w:rPr>
              <w:t>Weighted-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6"/>
              <w:spacing w:after="0" w:line="148"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1640" w:type="dxa"/>
            <w:vAlign w:val="bottom"/>
            <w:gridSpan w:val="2"/>
          </w:tcPr>
          <w:p>
            <w:pPr>
              <w:jc w:val="center"/>
              <w:ind w:left="12"/>
              <w:spacing w:after="0" w:line="148" w:lineRule="exact"/>
              <w:rPr>
                <w:sz w:val="20"/>
                <w:szCs w:val="20"/>
                <w:color w:val="auto"/>
              </w:rPr>
            </w:pPr>
            <w:r>
              <w:rPr>
                <w:rFonts w:ascii="Arial" w:cs="Arial" w:eastAsia="Arial" w:hAnsi="Arial"/>
                <w:sz w:val="13"/>
                <w:szCs w:val="13"/>
                <w:b w:val="1"/>
                <w:bCs w:val="1"/>
                <w:color w:val="auto"/>
                <w:w w:val="85"/>
              </w:rPr>
              <w:t>Average</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6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87"/>
              </w:rPr>
              <w:t>Shares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6"/>
              <w:spacing w:after="0" w:line="148"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2"/>
                <w:szCs w:val="12"/>
                <w:color w:val="auto"/>
              </w:rPr>
            </w:pPr>
          </w:p>
        </w:tc>
        <w:tc>
          <w:tcPr>
            <w:tcW w:w="1640" w:type="dxa"/>
            <w:vAlign w:val="bottom"/>
            <w:gridSpan w:val="2"/>
          </w:tcPr>
          <w:p>
            <w:pPr>
              <w:jc w:val="center"/>
              <w:ind w:left="12"/>
              <w:spacing w:after="0" w:line="148" w:lineRule="exact"/>
              <w:rPr>
                <w:sz w:val="20"/>
                <w:szCs w:val="20"/>
                <w:color w:val="auto"/>
              </w:rPr>
            </w:pPr>
            <w:r>
              <w:rPr>
                <w:rFonts w:ascii="Arial" w:cs="Arial" w:eastAsia="Arial" w:hAnsi="Arial"/>
                <w:sz w:val="13"/>
                <w:szCs w:val="13"/>
                <w:b w:val="1"/>
                <w:bCs w:val="1"/>
                <w:color w:val="auto"/>
                <w:w w:val="90"/>
              </w:rPr>
              <w:t>Remaining</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6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1"/>
              </w:rPr>
              <w:t>Available</w:t>
            </w:r>
          </w:p>
        </w:tc>
        <w:tc>
          <w:tcPr>
            <w:tcW w:w="112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6"/>
              <w:spacing w:after="0" w:line="148" w:lineRule="exact"/>
              <w:rPr>
                <w:sz w:val="20"/>
                <w:szCs w:val="20"/>
                <w:color w:val="auto"/>
              </w:rPr>
            </w:pPr>
            <w:r>
              <w:rPr>
                <w:rFonts w:ascii="Arial" w:cs="Arial" w:eastAsia="Arial" w:hAnsi="Arial"/>
                <w:sz w:val="13"/>
                <w:szCs w:val="13"/>
                <w:b w:val="1"/>
                <w:bCs w:val="1"/>
                <w:color w:val="auto"/>
                <w:w w:val="89"/>
              </w:rPr>
              <w:t>Exercise</w:t>
            </w:r>
          </w:p>
        </w:tc>
        <w:tc>
          <w:tcPr>
            <w:tcW w:w="120" w:type="dxa"/>
            <w:vAlign w:val="bottom"/>
          </w:tcPr>
          <w:p>
            <w:pPr>
              <w:spacing w:after="0"/>
              <w:rPr>
                <w:sz w:val="12"/>
                <w:szCs w:val="12"/>
                <w:color w:val="auto"/>
              </w:rPr>
            </w:pPr>
          </w:p>
        </w:tc>
        <w:tc>
          <w:tcPr>
            <w:tcW w:w="1640" w:type="dxa"/>
            <w:vAlign w:val="bottom"/>
            <w:gridSpan w:val="2"/>
          </w:tcPr>
          <w:p>
            <w:pPr>
              <w:jc w:val="center"/>
              <w:ind w:left="12"/>
              <w:spacing w:after="0" w:line="148" w:lineRule="exact"/>
              <w:rPr>
                <w:sz w:val="20"/>
                <w:szCs w:val="20"/>
                <w:color w:val="auto"/>
              </w:rPr>
            </w:pPr>
            <w:r>
              <w:rPr>
                <w:rFonts w:ascii="Arial" w:cs="Arial" w:eastAsia="Arial" w:hAnsi="Arial"/>
                <w:sz w:val="13"/>
                <w:szCs w:val="13"/>
                <w:b w:val="1"/>
                <w:bCs w:val="1"/>
                <w:color w:val="auto"/>
                <w:w w:val="92"/>
              </w:rPr>
              <w:t>Contractual Life</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7"/>
              </w:rPr>
              <w:t>for Grant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Options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6"/>
              <w:spacing w:after="0"/>
              <w:rPr>
                <w:sz w:val="20"/>
                <w:szCs w:val="20"/>
                <w:color w:val="auto"/>
              </w:rPr>
            </w:pPr>
            <w:r>
              <w:rPr>
                <w:rFonts w:ascii="Arial" w:cs="Arial" w:eastAsia="Arial" w:hAnsi="Arial"/>
                <w:sz w:val="13"/>
                <w:szCs w:val="13"/>
                <w:b w:val="1"/>
                <w:bCs w:val="1"/>
                <w:color w:val="auto"/>
                <w:w w:val="87"/>
              </w:rPr>
              <w:t>Price</w:t>
            </w:r>
          </w:p>
        </w:tc>
        <w:tc>
          <w:tcPr>
            <w:tcW w:w="120" w:type="dxa"/>
            <w:vAlign w:val="bottom"/>
          </w:tcPr>
          <w:p>
            <w:pPr>
              <w:spacing w:after="0"/>
              <w:rPr>
                <w:sz w:val="13"/>
                <w:szCs w:val="13"/>
                <w:color w:val="auto"/>
              </w:rPr>
            </w:pPr>
          </w:p>
        </w:tc>
        <w:tc>
          <w:tcPr>
            <w:tcW w:w="1640" w:type="dxa"/>
            <w:vAlign w:val="bottom"/>
            <w:gridSpan w:val="2"/>
          </w:tcPr>
          <w:p>
            <w:pPr>
              <w:jc w:val="center"/>
              <w:ind w:left="12"/>
              <w:spacing w:after="0"/>
              <w:rPr>
                <w:sz w:val="20"/>
                <w:szCs w:val="20"/>
                <w:color w:val="auto"/>
              </w:rPr>
            </w:pPr>
            <w:r>
              <w:rPr>
                <w:rFonts w:ascii="Arial" w:cs="Arial" w:eastAsia="Arial" w:hAnsi="Arial"/>
                <w:sz w:val="13"/>
                <w:szCs w:val="13"/>
                <w:b w:val="1"/>
                <w:bCs w:val="1"/>
                <w:color w:val="auto"/>
                <w:w w:val="89"/>
              </w:rPr>
              <w:t>(in years)</w:t>
            </w:r>
          </w:p>
        </w:tc>
        <w:tc>
          <w:tcPr>
            <w:tcW w:w="28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(in 000s)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Balances,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1,530,523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2,767,868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7.08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Shares reserved for issuance</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Options granted</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(1,341,005)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1,341,005</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Options forfeited / cancelled</w:t>
            </w:r>
          </w:p>
        </w:tc>
        <w:tc>
          <w:tcPr>
            <w:tcW w:w="1100" w:type="dxa"/>
            <w:vAlign w:val="bottom"/>
          </w:tcPr>
          <w:p>
            <w:pPr>
              <w:jc w:val="right"/>
              <w:spacing w:after="0"/>
              <w:rPr>
                <w:sz w:val="20"/>
                <w:szCs w:val="20"/>
                <w:color w:val="auto"/>
              </w:rPr>
            </w:pPr>
            <w:r>
              <w:rPr>
                <w:rFonts w:ascii="Arial" w:cs="Arial" w:eastAsia="Arial" w:hAnsi="Arial"/>
                <w:sz w:val="16"/>
                <w:szCs w:val="16"/>
                <w:color w:val="auto"/>
              </w:rPr>
              <w:t>48,324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(48,324)</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exercised</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Balances, September 30, 2020 (unaudited)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237,842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4,060,549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660" w:type="dxa"/>
            <w:vAlign w:val="bottom"/>
            <w:gridSpan w:val="2"/>
          </w:tcPr>
          <w:p>
            <w:pPr>
              <w:jc w:val="right"/>
              <w:ind w:right="412"/>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September 30, 2020</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Vested</w:t>
            </w: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2,355,357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1.96</w:t>
            </w:r>
          </w:p>
        </w:tc>
        <w:tc>
          <w:tcPr>
            <w:tcW w:w="1660" w:type="dxa"/>
            <w:vAlign w:val="bottom"/>
            <w:tcBorders>
              <w:bottom w:val="single" w:sz="8" w:color="CCEEFF"/>
            </w:tcBorders>
            <w:gridSpan w:val="2"/>
          </w:tcPr>
          <w:p>
            <w:pPr>
              <w:jc w:val="right"/>
              <w:ind w:right="412"/>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79,005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Exercisable</w:t>
            </w: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2,485,843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660" w:type="dxa"/>
            <w:vAlign w:val="bottom"/>
            <w:tcBorders>
              <w:bottom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83,248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0" w:firstLine="681"/>
        <w:spacing w:after="0" w:line="287" w:lineRule="auto"/>
        <w:rPr>
          <w:sz w:val="20"/>
          <w:szCs w:val="20"/>
          <w:color w:val="auto"/>
        </w:rPr>
      </w:pPr>
      <w:r>
        <w:rPr>
          <w:rFonts w:ascii="Arial" w:cs="Arial" w:eastAsia="Arial" w:hAnsi="Arial"/>
          <w:sz w:val="16"/>
          <w:szCs w:val="16"/>
          <w:color w:val="auto"/>
        </w:rPr>
        <w:t>At September 30, 2020, the total compensation cost related to nonvested awards not yet recognized is $4,312. The weighted-average period over which the nonvested awards is expected to be recognized is 3.0 years.</w:t>
      </w:r>
    </w:p>
    <w:p>
      <w:pPr>
        <w:spacing w:after="0" w:line="51" w:lineRule="exact"/>
        <w:rPr>
          <w:sz w:val="20"/>
          <w:szCs w:val="20"/>
          <w:color w:val="auto"/>
        </w:rPr>
      </w:pPr>
    </w:p>
    <w:p>
      <w:pPr>
        <w:ind w:right="160" w:firstLine="681"/>
        <w:spacing w:after="0" w:line="298" w:lineRule="auto"/>
        <w:rPr>
          <w:sz w:val="20"/>
          <w:szCs w:val="20"/>
          <w:color w:val="auto"/>
        </w:rPr>
      </w:pPr>
      <w:r>
        <w:rPr>
          <w:rFonts w:ascii="Arial" w:cs="Arial" w:eastAsia="Arial" w:hAnsi="Arial"/>
          <w:sz w:val="15"/>
          <w:szCs w:val="15"/>
          <w:color w:val="auto"/>
        </w:rPr>
        <w:t>During the year ended December 31, 2018, the Company granted 119,012 stock options at a grant-date fair value of $2.58 per share to an executive that begins vesting only upon the attainment of certain liquidity events. With the completion of the IPO on September 25, 2020, the performance condition was satisfied. The compensation cost associated with this award of $305 will be recognized ratably over the four-year vesting period commencing on September 25, 2020.</w:t>
      </w:r>
    </w:p>
    <w:p>
      <w:pPr>
        <w:spacing w:after="0" w:line="45" w:lineRule="exact"/>
        <w:rPr>
          <w:sz w:val="20"/>
          <w:szCs w:val="20"/>
          <w:color w:val="auto"/>
        </w:rPr>
      </w:pPr>
    </w:p>
    <w:p>
      <w:pPr>
        <w:ind w:right="360" w:firstLine="681"/>
        <w:spacing w:after="0" w:line="287" w:lineRule="auto"/>
        <w:rPr>
          <w:sz w:val="20"/>
          <w:szCs w:val="20"/>
          <w:color w:val="auto"/>
        </w:rPr>
      </w:pPr>
      <w:r>
        <w:rPr>
          <w:rFonts w:ascii="Arial" w:cs="Arial" w:eastAsia="Arial" w:hAnsi="Arial"/>
          <w:sz w:val="16"/>
          <w:szCs w:val="16"/>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24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Nine Months Ended</w:t>
            </w:r>
          </w:p>
        </w:tc>
        <w:tc>
          <w:tcPr>
            <w:tcW w:w="2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Year Ended</w:t>
            </w:r>
          </w:p>
        </w:tc>
      </w:tr>
      <w:tr>
        <w:trPr>
          <w:trHeight w:val="147"/>
        </w:trPr>
        <w:tc>
          <w:tcPr>
            <w:tcW w:w="6760" w:type="dxa"/>
            <w:vAlign w:val="bottom"/>
          </w:tcPr>
          <w:p>
            <w:pPr>
              <w:spacing w:after="0"/>
              <w:rPr>
                <w:sz w:val="12"/>
                <w:szCs w:val="12"/>
                <w:color w:val="auto"/>
              </w:rPr>
            </w:pPr>
          </w:p>
        </w:tc>
        <w:tc>
          <w:tcPr>
            <w:tcW w:w="242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89"/>
              </w:rPr>
              <w:t>September 30,</w:t>
            </w:r>
          </w:p>
        </w:tc>
        <w:tc>
          <w:tcPr>
            <w:tcW w:w="206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89"/>
              </w:rPr>
              <w:t>December 31,</w:t>
            </w:r>
          </w:p>
        </w:tc>
      </w:tr>
      <w:tr>
        <w:trPr>
          <w:trHeight w:val="155"/>
        </w:trPr>
        <w:tc>
          <w:tcPr>
            <w:tcW w:w="676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gridSpan w:val="2"/>
          </w:tcPr>
          <w:p>
            <w:pPr>
              <w:jc w:val="right"/>
              <w:ind w:right="898"/>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c>
          <w:tcPr>
            <w:tcW w:w="1940" w:type="dxa"/>
            <w:vAlign w:val="bottom"/>
            <w:tcBorders>
              <w:bottom w:val="single" w:sz="8" w:color="auto"/>
            </w:tcBorders>
            <w:gridSpan w:val="2"/>
          </w:tcPr>
          <w:p>
            <w:pPr>
              <w:jc w:val="right"/>
              <w:ind w:right="75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201"/>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- 1.51%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- 2.51%</w:t>
            </w:r>
          </w:p>
        </w:tc>
        <w:tc>
          <w:tcPr>
            <w:tcW w:w="120" w:type="dxa"/>
            <w:vAlign w:val="bottom"/>
            <w:shd w:val="clear" w:color="auto" w:fill="CCEEFF"/>
          </w:tcPr>
          <w:p>
            <w:pPr>
              <w:spacing w:after="0"/>
              <w:rPr>
                <w:sz w:val="17"/>
                <w:szCs w:val="17"/>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Expected life (in years)</w:t>
            </w:r>
          </w:p>
        </w:tc>
        <w:tc>
          <w:tcPr>
            <w:tcW w:w="1040" w:type="dxa"/>
            <w:vAlign w:val="bottom"/>
          </w:tcPr>
          <w:p>
            <w:pPr>
              <w:jc w:val="right"/>
              <w:spacing w:after="0"/>
              <w:rPr>
                <w:sz w:val="20"/>
                <w:szCs w:val="20"/>
                <w:color w:val="auto"/>
              </w:rPr>
            </w:pPr>
            <w:r>
              <w:rPr>
                <w:rFonts w:ascii="Arial" w:cs="Arial" w:eastAsia="Arial" w:hAnsi="Arial"/>
                <w:sz w:val="16"/>
                <w:szCs w:val="16"/>
                <w:color w:val="auto"/>
              </w:rPr>
              <w:t>4.92</w:t>
            </w:r>
          </w:p>
        </w:tc>
        <w:tc>
          <w:tcPr>
            <w:tcW w:w="1160" w:type="dxa"/>
            <w:vAlign w:val="bottom"/>
          </w:tcPr>
          <w:p>
            <w:pPr>
              <w:ind w:left="20"/>
              <w:spacing w:after="0"/>
              <w:rPr>
                <w:sz w:val="20"/>
                <w:szCs w:val="20"/>
                <w:color w:val="auto"/>
              </w:rPr>
            </w:pPr>
            <w:r>
              <w:rPr>
                <w:rFonts w:ascii="Arial" w:cs="Arial" w:eastAsia="Arial" w:hAnsi="Arial"/>
                <w:sz w:val="16"/>
                <w:szCs w:val="16"/>
                <w:color w:val="auto"/>
              </w:rPr>
              <w:t>- 6.40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w:t>
            </w:r>
          </w:p>
        </w:tc>
        <w:tc>
          <w:tcPr>
            <w:tcW w:w="1020" w:type="dxa"/>
            <w:vAlign w:val="bottom"/>
          </w:tcPr>
          <w:p>
            <w:pPr>
              <w:ind w:left="20"/>
              <w:spacing w:after="0"/>
              <w:rPr>
                <w:sz w:val="20"/>
                <w:szCs w:val="20"/>
                <w:color w:val="auto"/>
              </w:rPr>
            </w:pPr>
            <w:r>
              <w:rPr>
                <w:rFonts w:ascii="Arial" w:cs="Arial" w:eastAsia="Arial" w:hAnsi="Arial"/>
                <w:sz w:val="16"/>
                <w:szCs w:val="16"/>
                <w:color w:val="auto"/>
              </w:rPr>
              <w:t>- 6.37</w:t>
            </w:r>
          </w:p>
        </w:tc>
        <w:tc>
          <w:tcPr>
            <w:tcW w:w="12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2200" w:type="dxa"/>
            <w:vAlign w:val="bottom"/>
            <w:gridSpan w:val="2"/>
            <w:shd w:val="clear" w:color="auto" w:fill="CCEEFF"/>
          </w:tcPr>
          <w:p>
            <w:pPr>
              <w:jc w:val="right"/>
              <w:ind w:right="918"/>
              <w:spacing w:after="0"/>
              <w:rPr>
                <w:sz w:val="20"/>
                <w:szCs w:val="20"/>
                <w:color w:val="auto"/>
              </w:rPr>
            </w:pPr>
            <w:r>
              <w:rPr>
                <w:rFonts w:ascii="Arial" w:cs="Arial" w:eastAsia="Arial" w:hAnsi="Arial"/>
                <w:sz w:val="16"/>
                <w:szCs w:val="16"/>
                <w:color w:val="auto"/>
              </w:rPr>
              <w:t>0%</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78"/>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Expected volatility</w:t>
            </w:r>
          </w:p>
        </w:tc>
        <w:tc>
          <w:tcPr>
            <w:tcW w:w="1040" w:type="dxa"/>
            <w:vAlign w:val="bottom"/>
          </w:tcPr>
          <w:p>
            <w:pPr>
              <w:jc w:val="right"/>
              <w:spacing w:after="0"/>
              <w:rPr>
                <w:sz w:val="20"/>
                <w:szCs w:val="20"/>
                <w:color w:val="auto"/>
              </w:rPr>
            </w:pPr>
            <w:r>
              <w:rPr>
                <w:rFonts w:ascii="Arial" w:cs="Arial" w:eastAsia="Arial" w:hAnsi="Arial"/>
                <w:sz w:val="16"/>
                <w:szCs w:val="16"/>
                <w:color w:val="auto"/>
              </w:rPr>
              <w:t>70.70%</w:t>
            </w:r>
          </w:p>
        </w:tc>
        <w:tc>
          <w:tcPr>
            <w:tcW w:w="1160" w:type="dxa"/>
            <w:vAlign w:val="bottom"/>
          </w:tcPr>
          <w:p>
            <w:pPr>
              <w:ind w:left="20"/>
              <w:spacing w:after="0"/>
              <w:rPr>
                <w:sz w:val="20"/>
                <w:szCs w:val="20"/>
                <w:color w:val="auto"/>
              </w:rPr>
            </w:pPr>
            <w:r>
              <w:rPr>
                <w:rFonts w:ascii="Arial" w:cs="Arial" w:eastAsia="Arial" w:hAnsi="Arial"/>
                <w:sz w:val="16"/>
                <w:szCs w:val="16"/>
                <w:color w:val="auto"/>
              </w:rPr>
              <w:t>- 74.30%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72.07%</w:t>
            </w:r>
          </w:p>
        </w:tc>
        <w:tc>
          <w:tcPr>
            <w:tcW w:w="1020" w:type="dxa"/>
            <w:vAlign w:val="bottom"/>
          </w:tcPr>
          <w:p>
            <w:pPr>
              <w:ind w:left="20"/>
              <w:spacing w:after="0"/>
              <w:rPr>
                <w:sz w:val="20"/>
                <w:szCs w:val="20"/>
                <w:color w:val="auto"/>
              </w:rPr>
            </w:pPr>
            <w:r>
              <w:rPr>
                <w:rFonts w:ascii="Arial" w:cs="Arial" w:eastAsia="Arial" w:hAnsi="Arial"/>
                <w:sz w:val="16"/>
                <w:szCs w:val="16"/>
                <w:color w:val="auto"/>
              </w:rPr>
              <w:t>- 72.69%</w:t>
            </w:r>
          </w:p>
        </w:tc>
        <w:tc>
          <w:tcPr>
            <w:tcW w:w="120" w:type="dxa"/>
            <w:vAlign w:val="bottom"/>
          </w:tcPr>
          <w:p>
            <w:pPr>
              <w:spacing w:after="0"/>
              <w:rPr>
                <w:sz w:val="18"/>
                <w:szCs w:val="18"/>
                <w:color w:val="auto"/>
              </w:rPr>
            </w:pPr>
          </w:p>
        </w:tc>
      </w:tr>
    </w:tbl>
    <w:p>
      <w:pPr>
        <w:spacing w:after="0" w:line="87" w:lineRule="exact"/>
        <w:rPr>
          <w:sz w:val="20"/>
          <w:szCs w:val="20"/>
          <w:color w:val="auto"/>
        </w:rPr>
      </w:pPr>
    </w:p>
    <w:p>
      <w:pPr>
        <w:ind w:right="60" w:firstLine="674"/>
        <w:spacing w:after="0" w:line="287" w:lineRule="auto"/>
        <w:rPr>
          <w:sz w:val="20"/>
          <w:szCs w:val="20"/>
          <w:color w:val="auto"/>
        </w:rPr>
      </w:pPr>
      <w:r>
        <w:rPr>
          <w:rFonts w:ascii="Arial" w:cs="Arial" w:eastAsia="Arial" w:hAnsi="Arial"/>
          <w:sz w:val="16"/>
          <w:szCs w:val="16"/>
          <w:color w:val="auto"/>
        </w:rPr>
        <w:t>Expected Term: The Company uses the simplified method to calculate expected term described in the SEC’s Staff Accounting Bulletin No. 107, which takes into account vesting term and expiration date of the options.</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Volatility: Volatility is based on an average of the historical volatilities of comparable publicly traded companies for the expected term.</w:t>
      </w:r>
    </w:p>
    <w:p>
      <w:pPr>
        <w:spacing w:after="0" w:line="111" w:lineRule="exact"/>
        <w:rPr>
          <w:sz w:val="20"/>
          <w:szCs w:val="20"/>
          <w:color w:val="auto"/>
        </w:rPr>
      </w:pPr>
    </w:p>
    <w:p>
      <w:pPr>
        <w:ind w:right="180" w:firstLine="674"/>
        <w:spacing w:after="0" w:line="287" w:lineRule="auto"/>
        <w:rPr>
          <w:sz w:val="20"/>
          <w:szCs w:val="20"/>
          <w:color w:val="auto"/>
        </w:rPr>
      </w:pPr>
      <w:r>
        <w:rPr>
          <w:rFonts w:ascii="Arial" w:cs="Arial" w:eastAsia="Arial" w:hAnsi="Arial"/>
          <w:sz w:val="16"/>
          <w:szCs w:val="16"/>
          <w:color w:val="auto"/>
        </w:rPr>
        <w:t>Risk Free Interest Rate: The risk-free rate is based on the U.S. Treasury yields in effect at the time of grant for periods corresponding with the expected term of the option.</w:t>
      </w:r>
    </w:p>
    <w:p>
      <w:pPr>
        <w:spacing w:after="0" w:line="51" w:lineRule="exact"/>
        <w:rPr>
          <w:sz w:val="20"/>
          <w:szCs w:val="20"/>
          <w:color w:val="auto"/>
        </w:rPr>
      </w:pPr>
    </w:p>
    <w:p>
      <w:pPr>
        <w:ind w:right="280" w:firstLine="674"/>
        <w:spacing w:after="0" w:line="287" w:lineRule="auto"/>
        <w:rPr>
          <w:sz w:val="20"/>
          <w:szCs w:val="20"/>
          <w:color w:val="auto"/>
        </w:rPr>
      </w:pPr>
      <w:r>
        <w:rPr>
          <w:rFonts w:ascii="Arial" w:cs="Arial" w:eastAsia="Arial" w:hAnsi="Arial"/>
          <w:sz w:val="16"/>
          <w:szCs w:val="16"/>
          <w:color w:val="auto"/>
        </w:rPr>
        <w:t>Dividend Yield: The Company has never declared or paid any cash dividends and does not plan to pay cash dividends in the foreseeable future, and therefore, used an expected dividend yield of zero in the valuation model.</w:t>
      </w:r>
    </w:p>
    <w:p>
      <w:pPr>
        <w:spacing w:after="0" w:line="51" w:lineRule="exact"/>
        <w:rPr>
          <w:sz w:val="20"/>
          <w:szCs w:val="20"/>
          <w:color w:val="auto"/>
        </w:rPr>
      </w:pPr>
    </w:p>
    <w:p>
      <w:pPr>
        <w:ind w:right="120" w:firstLine="674"/>
        <w:spacing w:after="0" w:line="287" w:lineRule="auto"/>
        <w:rPr>
          <w:sz w:val="20"/>
          <w:szCs w:val="20"/>
          <w:color w:val="auto"/>
        </w:rPr>
      </w:pPr>
      <w:r>
        <w:rPr>
          <w:rFonts w:ascii="Arial" w:cs="Arial" w:eastAsia="Arial" w:hAnsi="Arial"/>
          <w:sz w:val="16"/>
          <w:szCs w:val="16"/>
          <w:color w:val="auto"/>
        </w:rPr>
        <w:t>Stock-based compensation expense recorded under ASC 718 (and under ASC 718 and ASC 505 in 2019, prior to the adoption of ASU 2018-07) related to stock options granted was allocated to research and development and general and administrative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5"/>
          </w:tcPr>
          <w:p>
            <w:pPr>
              <w:ind w:left="320"/>
              <w:spacing w:after="0"/>
              <w:rPr>
                <w:sz w:val="20"/>
                <w:szCs w:val="20"/>
                <w:color w:val="auto"/>
              </w:rPr>
            </w:pPr>
            <w:r>
              <w:rPr>
                <w:rFonts w:ascii="Arial" w:cs="Arial" w:eastAsia="Arial" w:hAnsi="Arial"/>
                <w:sz w:val="13"/>
                <w:szCs w:val="13"/>
                <w:b w:val="1"/>
                <w:bCs w:val="1"/>
                <w:color w:val="auto"/>
              </w:rPr>
              <w:t>For the Three Months Ended</w:t>
            </w:r>
          </w:p>
        </w:tc>
        <w:tc>
          <w:tcPr>
            <w:tcW w:w="120" w:type="dxa"/>
            <w:vAlign w:val="bottom"/>
          </w:tcPr>
          <w:p>
            <w:pPr>
              <w:spacing w:after="0"/>
              <w:rPr>
                <w:sz w:val="13"/>
                <w:szCs w:val="13"/>
                <w:color w:val="auto"/>
              </w:rPr>
            </w:pPr>
          </w:p>
        </w:tc>
        <w:tc>
          <w:tcPr>
            <w:tcW w:w="2520" w:type="dxa"/>
            <w:vAlign w:val="bottom"/>
            <w:gridSpan w:val="5"/>
          </w:tcPr>
          <w:p>
            <w:pPr>
              <w:ind w:left="360"/>
              <w:spacing w:after="0"/>
              <w:rPr>
                <w:sz w:val="20"/>
                <w:szCs w:val="20"/>
                <w:color w:val="auto"/>
              </w:rPr>
            </w:pPr>
            <w:r>
              <w:rPr>
                <w:rFonts w:ascii="Arial" w:cs="Arial" w:eastAsia="Arial" w:hAnsi="Arial"/>
                <w:sz w:val="13"/>
                <w:szCs w:val="13"/>
                <w:b w:val="1"/>
                <w:bCs w:val="1"/>
                <w:color w:val="auto"/>
              </w:rPr>
              <w:t>For the Nine Months Ended</w:t>
            </w:r>
          </w:p>
        </w:tc>
      </w:tr>
      <w:tr>
        <w:trPr>
          <w:trHeight w:val="132"/>
        </w:trPr>
        <w:tc>
          <w:tcPr>
            <w:tcW w:w="5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40"/>
              <w:spacing w:after="0" w:line="132"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05"/>
              <w:spacing w:after="0" w:line="132" w:lineRule="exact"/>
              <w:rPr>
                <w:sz w:val="20"/>
                <w:szCs w:val="20"/>
                <w:color w:val="auto"/>
              </w:rPr>
            </w:pPr>
            <w:r>
              <w:rPr>
                <w:rFonts w:ascii="Arial" w:cs="Arial" w:eastAsia="Arial" w:hAnsi="Arial"/>
                <w:sz w:val="13"/>
                <w:szCs w:val="13"/>
                <w:b w:val="1"/>
                <w:bCs w:val="1"/>
                <w:color w:val="auto"/>
                <w:w w:val="92"/>
              </w:rPr>
              <w:t>September 30,</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40"/>
              <w:spacing w:after="0" w:line="132"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05"/>
              <w:spacing w:after="0" w:line="132" w:lineRule="exact"/>
              <w:rPr>
                <w:sz w:val="20"/>
                <w:szCs w:val="20"/>
                <w:color w:val="auto"/>
              </w:rPr>
            </w:pPr>
            <w:r>
              <w:rPr>
                <w:rFonts w:ascii="Arial" w:cs="Arial" w:eastAsia="Arial" w:hAnsi="Arial"/>
                <w:sz w:val="13"/>
                <w:szCs w:val="13"/>
                <w:b w:val="1"/>
                <w:bCs w:val="1"/>
                <w:color w:val="auto"/>
                <w:w w:val="92"/>
              </w:rPr>
              <w:t>September 30,</w:t>
            </w:r>
          </w:p>
        </w:tc>
        <w:tc>
          <w:tcPr>
            <w:tcW w:w="100" w:type="dxa"/>
            <w:vAlign w:val="bottom"/>
          </w:tcPr>
          <w:p>
            <w:pPr>
              <w:spacing w:after="0"/>
              <w:rPr>
                <w:sz w:val="11"/>
                <w:szCs w:val="11"/>
                <w:color w:val="auto"/>
              </w:rPr>
            </w:pPr>
          </w:p>
        </w:tc>
      </w:tr>
      <w:tr>
        <w:trPr>
          <w:trHeight w:val="155"/>
        </w:trPr>
        <w:tc>
          <w:tcPr>
            <w:tcW w:w="58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201"/>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7"/>
                <w:szCs w:val="17"/>
                <w:color w:val="auto"/>
              </w:rPr>
            </w:pPr>
          </w:p>
        </w:tc>
      </w:tr>
      <w:tr>
        <w:trPr>
          <w:trHeight w:val="208"/>
        </w:trPr>
        <w:tc>
          <w:tcPr>
            <w:tcW w:w="5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tcPr>
          <w:p>
            <w:pPr>
              <w:spacing w:after="0"/>
              <w:rPr>
                <w:sz w:val="18"/>
                <w:szCs w:val="18"/>
                <w:color w:val="auto"/>
              </w:rPr>
            </w:pPr>
          </w:p>
        </w:tc>
      </w:tr>
      <w:tr>
        <w:trPr>
          <w:trHeight w:val="201"/>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stock-based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9. Income Taxes</w:t>
      </w:r>
    </w:p>
    <w:p>
      <w:pPr>
        <w:spacing w:after="0" w:line="111" w:lineRule="exact"/>
        <w:rPr>
          <w:sz w:val="20"/>
          <w:szCs w:val="20"/>
          <w:color w:val="auto"/>
        </w:rPr>
      </w:pPr>
    </w:p>
    <w:p>
      <w:pPr>
        <w:ind w:right="360" w:firstLine="674"/>
        <w:spacing w:after="0" w:line="287" w:lineRule="auto"/>
        <w:rPr>
          <w:sz w:val="20"/>
          <w:szCs w:val="20"/>
          <w:color w:val="auto"/>
        </w:rPr>
      </w:pPr>
      <w:r>
        <w:rPr>
          <w:rFonts w:ascii="Arial" w:cs="Arial" w:eastAsia="Arial" w:hAnsi="Arial"/>
          <w:sz w:val="16"/>
          <w:szCs w:val="16"/>
          <w:color w:val="auto"/>
        </w:rPr>
        <w:t>During the nine months ended September 30, 2020 and 2019, the Company recorded a full valuation allowance on federal and state deferred tax assets since management does not forecast the Company to be in a taxable position in the near future.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 Net Loss per Share</w:t>
      </w:r>
    </w:p>
    <w:p>
      <w:pPr>
        <w:spacing w:after="0" w:line="111" w:lineRule="exact"/>
        <w:rPr>
          <w:sz w:val="20"/>
          <w:szCs w:val="20"/>
          <w:color w:val="auto"/>
        </w:rPr>
      </w:pPr>
    </w:p>
    <w:p>
      <w:pPr>
        <w:ind w:right="260" w:firstLine="674"/>
        <w:spacing w:after="0" w:line="287" w:lineRule="auto"/>
        <w:rPr>
          <w:sz w:val="20"/>
          <w:szCs w:val="20"/>
          <w:color w:val="auto"/>
        </w:rPr>
      </w:pPr>
      <w:r>
        <w:rPr>
          <w:rFonts w:ascii="Arial" w:cs="Arial" w:eastAsia="Arial" w:hAnsi="Arial"/>
          <w:sz w:val="16"/>
          <w:szCs w:val="16"/>
          <w:color w:val="auto"/>
        </w:rPr>
        <w:t>The following outstanding potentially dilutive common stock equivalents have been excluded from the calculation of diluted net loss per share for the periods presented due to their antidilutive effect: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660" w:type="dxa"/>
            <w:vAlign w:val="bottom"/>
            <w:gridSpan w:val="4"/>
          </w:tcPr>
          <w:p>
            <w:pPr>
              <w:ind w:left="480"/>
              <w:spacing w:after="0"/>
              <w:rPr>
                <w:sz w:val="20"/>
                <w:szCs w:val="20"/>
                <w:color w:val="auto"/>
              </w:rPr>
            </w:pPr>
            <w:r>
              <w:rPr>
                <w:rFonts w:ascii="Arial" w:cs="Arial" w:eastAsia="Arial" w:hAnsi="Arial"/>
                <w:sz w:val="13"/>
                <w:szCs w:val="13"/>
                <w:b w:val="1"/>
                <w:bCs w:val="1"/>
                <w:color w:val="auto"/>
              </w:rPr>
              <w:t>For the Nine Months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3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5420" w:type="dxa"/>
            <w:vAlign w:val="bottom"/>
            <w:gridSpan w:val="2"/>
          </w:tcPr>
          <w:p>
            <w:pPr>
              <w:jc w:val="center"/>
              <w:ind w:left="4204"/>
              <w:spacing w:after="0" w:line="135"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(unaudited)</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(unaudited)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preferred stock (as converted)</w:t>
            </w:r>
          </w:p>
        </w:tc>
        <w:tc>
          <w:tcPr>
            <w:tcW w:w="4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17,396,640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20"/>
                <w:szCs w:val="20"/>
                <w:color w:val="auto"/>
              </w:rPr>
            </w:pPr>
            <w:r>
              <w:rPr>
                <w:rFonts w:ascii="Arial" w:cs="Arial" w:eastAsia="Arial" w:hAnsi="Arial"/>
                <w:sz w:val="16"/>
                <w:szCs w:val="16"/>
                <w:color w:val="auto"/>
              </w:rPr>
              <w:t>Warrants to purchase common stock</w:t>
            </w:r>
          </w:p>
        </w:tc>
        <w:tc>
          <w:tcPr>
            <w:tcW w:w="4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Common stock options issued and outstanding</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4,060,549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2,792,558</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6"/>
                <w:szCs w:val="16"/>
                <w:color w:val="auto"/>
              </w:rPr>
              <w:t>Total</w:t>
            </w:r>
          </w:p>
        </w:tc>
        <w:tc>
          <w:tcPr>
            <w:tcW w:w="4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4,060,549</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20,199,998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280" w:type="dxa"/>
            <w:vAlign w:val="bottom"/>
            <w:vMerge w:val="restart"/>
          </w:tcPr>
          <w:p>
            <w:pPr>
              <w:jc w:val="right"/>
              <w:ind w:right="2804"/>
              <w:spacing w:after="0"/>
              <w:rPr>
                <w:sz w:val="20"/>
                <w:szCs w:val="20"/>
                <w:color w:val="auto"/>
              </w:rPr>
            </w:pPr>
            <w:r>
              <w:rPr>
                <w:rFonts w:ascii="Arial" w:cs="Arial" w:eastAsia="Arial" w:hAnsi="Arial"/>
                <w:sz w:val="16"/>
                <w:szCs w:val="16"/>
                <w:color w:val="auto"/>
              </w:rPr>
              <w:t>11</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3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30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762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PMV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Neither the Company’s convertible preferred stock nor restricted stock subject to future vesting participates in losses.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5"/>
          </w:tcPr>
          <w:p>
            <w:pPr>
              <w:ind w:left="320"/>
              <w:spacing w:after="0"/>
              <w:rPr>
                <w:sz w:val="20"/>
                <w:szCs w:val="20"/>
                <w:color w:val="auto"/>
              </w:rPr>
            </w:pPr>
            <w:r>
              <w:rPr>
                <w:rFonts w:ascii="Arial" w:cs="Arial" w:eastAsia="Arial" w:hAnsi="Arial"/>
                <w:sz w:val="13"/>
                <w:szCs w:val="13"/>
                <w:b w:val="1"/>
                <w:bCs w:val="1"/>
                <w:color w:val="auto"/>
              </w:rPr>
              <w:t>For the Three Months Ended</w:t>
            </w:r>
          </w:p>
        </w:tc>
        <w:tc>
          <w:tcPr>
            <w:tcW w:w="120" w:type="dxa"/>
            <w:vAlign w:val="bottom"/>
          </w:tcPr>
          <w:p>
            <w:pPr>
              <w:spacing w:after="0"/>
              <w:rPr>
                <w:sz w:val="13"/>
                <w:szCs w:val="13"/>
                <w:color w:val="auto"/>
              </w:rPr>
            </w:pPr>
          </w:p>
        </w:tc>
        <w:tc>
          <w:tcPr>
            <w:tcW w:w="2520" w:type="dxa"/>
            <w:vAlign w:val="bottom"/>
            <w:gridSpan w:val="5"/>
          </w:tcPr>
          <w:p>
            <w:pPr>
              <w:ind w:left="360"/>
              <w:spacing w:after="0"/>
              <w:rPr>
                <w:sz w:val="20"/>
                <w:szCs w:val="20"/>
                <w:color w:val="auto"/>
              </w:rPr>
            </w:pPr>
            <w:r>
              <w:rPr>
                <w:rFonts w:ascii="Arial" w:cs="Arial" w:eastAsia="Arial" w:hAnsi="Arial"/>
                <w:sz w:val="13"/>
                <w:szCs w:val="13"/>
                <w:b w:val="1"/>
                <w:bCs w:val="1"/>
                <w:color w:val="auto"/>
              </w:rPr>
              <w:t>For the Nine Months Ended</w:t>
            </w:r>
          </w:p>
        </w:tc>
      </w:tr>
      <w:tr>
        <w:trPr>
          <w:trHeight w:val="120"/>
        </w:trPr>
        <w:tc>
          <w:tcPr>
            <w:tcW w:w="5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6"/>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6"/>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00" w:type="dxa"/>
            <w:vAlign w:val="bottom"/>
          </w:tcPr>
          <w:p>
            <w:pPr>
              <w:spacing w:after="0"/>
              <w:rPr>
                <w:sz w:val="10"/>
                <w:szCs w:val="10"/>
                <w:color w:val="auto"/>
              </w:rPr>
            </w:pPr>
          </w:p>
        </w:tc>
      </w:tr>
      <w:tr>
        <w:trPr>
          <w:trHeight w:val="135"/>
        </w:trPr>
        <w:tc>
          <w:tcPr>
            <w:tcW w:w="5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6"/>
              <w:spacing w:after="0" w:line="135" w:lineRule="exact"/>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86"/>
              <w:spacing w:after="0" w:line="135"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r>
      <w:tr>
        <w:trPr>
          <w:trHeight w:val="155"/>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(unaudited)</w:t>
            </w:r>
          </w:p>
        </w:tc>
        <w:tc>
          <w:tcPr>
            <w:tcW w:w="1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(unaudited)</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(unaudited)</w:t>
            </w:r>
          </w:p>
        </w:tc>
      </w:tr>
      <w:tr>
        <w:trPr>
          <w:trHeight w:val="201"/>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(8,764)</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Weighted-average number of shares - basic and diluted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6,022,457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3,046,200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4,045,527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3,031,416</w:t>
            </w:r>
          </w:p>
        </w:tc>
        <w:tc>
          <w:tcPr>
            <w:tcW w:w="100" w:type="dxa"/>
            <w:vAlign w:val="bottom"/>
            <w:tcBorders>
              <w:bottom w:val="single" w:sz="8" w:color="CCEEFF"/>
            </w:tcBorders>
          </w:tcPr>
          <w:p>
            <w:pPr>
              <w:spacing w:after="0"/>
              <w:rPr>
                <w:sz w:val="18"/>
                <w:szCs w:val="18"/>
                <w:color w:val="auto"/>
              </w:rPr>
            </w:pPr>
          </w:p>
        </w:tc>
      </w:tr>
      <w:tr>
        <w:trPr>
          <w:trHeight w:val="202"/>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7"/>
                <w:szCs w:val="17"/>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11. Related Parties</w:t>
      </w:r>
    </w:p>
    <w:p>
      <w:pPr>
        <w:spacing w:after="0" w:line="111" w:lineRule="exact"/>
        <w:rPr>
          <w:sz w:val="20"/>
          <w:szCs w:val="20"/>
          <w:color w:val="auto"/>
        </w:rPr>
      </w:pPr>
    </w:p>
    <w:p>
      <w:pPr>
        <w:ind w:right="200" w:firstLine="674"/>
        <w:spacing w:after="0" w:line="271" w:lineRule="auto"/>
        <w:rPr>
          <w:sz w:val="20"/>
          <w:szCs w:val="20"/>
          <w:color w:val="auto"/>
        </w:rPr>
      </w:pPr>
      <w:r>
        <w:rPr>
          <w:rFonts w:ascii="Arial" w:cs="Arial" w:eastAsia="Arial" w:hAnsi="Arial"/>
          <w:sz w:val="16"/>
          <w:szCs w:val="16"/>
          <w:color w:val="auto"/>
        </w:rPr>
        <w:t>The Company has consulting agreements with two members of the board of directors. Consulting fees paid in the three months ended September 30, 2020 and 2019 was $28. Consulting fees paid in the nine months ended September 30, 2020 and 2019 was $84. There were no amounts owed under the consulting agreement at September 30, 2020 or December 31, 2019.</w:t>
      </w:r>
    </w:p>
    <w:p>
      <w:pPr>
        <w:spacing w:after="0" w:line="65" w:lineRule="exact"/>
        <w:rPr>
          <w:sz w:val="20"/>
          <w:szCs w:val="20"/>
          <w:color w:val="auto"/>
        </w:rPr>
      </w:pPr>
    </w:p>
    <w:p>
      <w:pPr>
        <w:ind w:right="180" w:firstLine="674"/>
        <w:spacing w:after="0" w:line="287" w:lineRule="auto"/>
        <w:rPr>
          <w:sz w:val="20"/>
          <w:szCs w:val="20"/>
          <w:color w:val="auto"/>
        </w:rPr>
      </w:pPr>
      <w:r>
        <w:rPr>
          <w:rFonts w:ascii="Arial" w:cs="Arial" w:eastAsia="Arial" w:hAnsi="Arial"/>
          <w:sz w:val="16"/>
          <w:szCs w:val="16"/>
          <w:color w:val="auto"/>
        </w:rPr>
        <w:t>An investor provided financing consulting services to the Company. No amounts were paid to the investors in the nine months ended September 30, 2020 and 2019. The Company owed $65 to the investor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ind w:right="20" w:firstLine="792"/>
        <w:spacing w:after="0" w:line="262"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2018 and 2019 and the related Management’s Discussion and Analysis of Financial Condition and Results of Operations, including Contractual Obligations and Critical Accounting Policies and Significant Judgments and Estimates, included in our final prospectus filed with the Securities and Exchange Commission (SEC) on September 25, 2020 relating to our Registration Statements on Form S-1 (File No. 333-248627). Unless the context requires otherwise, references in this quarterly report on Form 10-Q to “we,” “us,” and “our” refer to PMV Pharmaceuticals, Inc.</w:t>
      </w:r>
    </w:p>
    <w:p>
      <w:pPr>
        <w:spacing w:after="0" w:line="72" w:lineRule="exact"/>
        <w:rPr>
          <w:sz w:val="20"/>
          <w:szCs w:val="20"/>
          <w:color w:val="auto"/>
        </w:rPr>
      </w:pPr>
    </w:p>
    <w:p>
      <w:pPr>
        <w:ind w:right="100" w:firstLine="792"/>
        <w:spacing w:after="0" w:line="289" w:lineRule="auto"/>
        <w:rPr>
          <w:sz w:val="20"/>
          <w:szCs w:val="20"/>
          <w:color w:val="auto"/>
        </w:rPr>
      </w:pPr>
      <w:r>
        <w:rPr>
          <w:rFonts w:ascii="Arial" w:cs="Arial" w:eastAsia="Arial" w:hAnsi="Arial"/>
          <w:sz w:val="15"/>
          <w:szCs w:val="15"/>
          <w:i w:val="1"/>
          <w:iCs w:val="1"/>
          <w:color w:val="auto"/>
        </w:rPr>
        <w:t>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captions “Special Note Regarding Forward-Looking Statements” and “Risk Factors” in this quarterly report, as updated by our subsequent filings under the Securities Exchange Act of 1934, as amended. Furthermore, past operating results are not necessarily indicative of results that may occur in future periods.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Overview</w:t>
      </w:r>
    </w:p>
    <w:p>
      <w:pPr>
        <w:spacing w:after="0" w:line="115" w:lineRule="exact"/>
        <w:rPr>
          <w:sz w:val="20"/>
          <w:szCs w:val="20"/>
          <w:color w:val="auto"/>
        </w:rPr>
      </w:pPr>
    </w:p>
    <w:p>
      <w:pPr>
        <w:ind w:right="120" w:firstLine="674"/>
        <w:spacing w:after="0" w:line="281" w:lineRule="auto"/>
        <w:rPr>
          <w:sz w:val="20"/>
          <w:szCs w:val="20"/>
          <w:color w:val="auto"/>
        </w:rPr>
      </w:pPr>
      <w:r>
        <w:rPr>
          <w:rFonts w:ascii="Arial" w:cs="Arial" w:eastAsia="Arial" w:hAnsi="Arial"/>
          <w:sz w:val="15"/>
          <w:szCs w:val="15"/>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60" w:lineRule="exact"/>
        <w:rPr>
          <w:sz w:val="20"/>
          <w:szCs w:val="20"/>
          <w:color w:val="auto"/>
        </w:rPr>
      </w:pPr>
    </w:p>
    <w:p>
      <w:pPr>
        <w:ind w:firstLine="681"/>
        <w:spacing w:after="0" w:line="260" w:lineRule="auto"/>
        <w:rPr>
          <w:sz w:val="20"/>
          <w:szCs w:val="20"/>
          <w:color w:val="auto"/>
        </w:rPr>
      </w:pPr>
      <w:r>
        <w:rPr>
          <w:rFonts w:ascii="Arial" w:cs="Arial" w:eastAsia="Arial" w:hAnsi="Arial"/>
          <w:sz w:val="16"/>
          <w:szCs w:val="16"/>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$25.4 million and $17.5 million for the years ended December 31, 2019 and 2018, respectively, and $24.0 million and $18.3 million for the nine months ended September 30, 2020 and 2019, respectively. As of September 30, 2020, we had an accumulated deficit of $99.4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expect to incur additional costs associated with operating as a public company, and expect to continue to incur significant losses for the foreseeable future.</w:t>
      </w:r>
    </w:p>
    <w:p>
      <w:pPr>
        <w:spacing w:after="0" w:line="73" w:lineRule="exact"/>
        <w:rPr>
          <w:sz w:val="20"/>
          <w:szCs w:val="20"/>
          <w:color w:val="auto"/>
        </w:rPr>
      </w:pPr>
    </w:p>
    <w:p>
      <w:pPr>
        <w:ind w:right="40" w:firstLine="674"/>
        <w:spacing w:after="0" w:line="264" w:lineRule="auto"/>
        <w:rPr>
          <w:sz w:val="20"/>
          <w:szCs w:val="20"/>
          <w:color w:val="auto"/>
        </w:rPr>
      </w:pPr>
      <w:r>
        <w:rPr>
          <w:rFonts w:ascii="Arial" w:cs="Arial" w:eastAsia="Arial" w:hAnsi="Arial"/>
          <w:sz w:val="16"/>
          <w:szCs w:val="16"/>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9" w:lineRule="exact"/>
        <w:rPr>
          <w:sz w:val="20"/>
          <w:szCs w:val="20"/>
          <w:color w:val="auto"/>
        </w:rPr>
      </w:pPr>
    </w:p>
    <w:p>
      <w:pPr>
        <w:jc w:val="both"/>
        <w:ind w:right="40" w:firstLine="674"/>
        <w:spacing w:after="0" w:line="271" w:lineRule="auto"/>
        <w:rPr>
          <w:sz w:val="20"/>
          <w:szCs w:val="20"/>
          <w:color w:val="auto"/>
        </w:rPr>
      </w:pPr>
      <w:r>
        <w:rPr>
          <w:rFonts w:ascii="Arial" w:cs="Arial" w:eastAsia="Arial" w:hAnsi="Arial"/>
          <w:sz w:val="16"/>
          <w:szCs w:val="16"/>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Components of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right="160" w:firstLine="674"/>
        <w:spacing w:after="0" w:line="298" w:lineRule="auto"/>
        <w:rPr>
          <w:sz w:val="20"/>
          <w:szCs w:val="20"/>
          <w:color w:val="auto"/>
        </w:rPr>
      </w:pPr>
      <w:r>
        <w:rPr>
          <w:rFonts w:ascii="Arial" w:cs="Arial" w:eastAsia="Arial" w:hAnsi="Arial"/>
          <w:sz w:val="15"/>
          <w:szCs w:val="15"/>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320" w:firstLine="674"/>
        <w:spacing w:after="0" w:line="316" w:lineRule="auto"/>
        <w:rPr>
          <w:sz w:val="20"/>
          <w:szCs w:val="20"/>
          <w:color w:val="auto"/>
        </w:rPr>
      </w:pPr>
      <w:r>
        <w:rPr>
          <w:rFonts w:ascii="Arial" w:cs="Arial" w:eastAsia="Arial" w:hAnsi="Arial"/>
          <w:sz w:val="14"/>
          <w:szCs w:val="14"/>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sourcing of raw materials and manufacturing of product candidates, depreciation and maintenance of research equipment and an allocation of related facilities costs. We expense research and development costs as they are incurred.</w:t>
      </w:r>
    </w:p>
    <w:p>
      <w:pPr>
        <w:spacing w:after="0" w:line="36" w:lineRule="exact"/>
        <w:rPr>
          <w:sz w:val="20"/>
          <w:szCs w:val="20"/>
          <w:color w:val="auto"/>
        </w:rPr>
      </w:pPr>
    </w:p>
    <w:p>
      <w:pPr>
        <w:ind w:right="20" w:firstLine="674"/>
        <w:spacing w:after="0" w:line="262" w:lineRule="auto"/>
        <w:rPr>
          <w:sz w:val="20"/>
          <w:szCs w:val="20"/>
          <w:color w:val="auto"/>
        </w:rPr>
      </w:pPr>
      <w:r>
        <w:rPr>
          <w:rFonts w:ascii="Arial" w:cs="Arial" w:eastAsia="Arial" w:hAnsi="Arial"/>
          <w:sz w:val="16"/>
          <w:szCs w:val="16"/>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72" w:lineRule="exact"/>
        <w:rPr>
          <w:sz w:val="20"/>
          <w:szCs w:val="20"/>
          <w:color w:val="auto"/>
        </w:rPr>
      </w:pPr>
    </w:p>
    <w:p>
      <w:pPr>
        <w:ind w:right="60" w:firstLine="674"/>
        <w:spacing w:after="0" w:line="283" w:lineRule="auto"/>
        <w:rPr>
          <w:sz w:val="20"/>
          <w:szCs w:val="20"/>
          <w:color w:val="auto"/>
        </w:rPr>
      </w:pPr>
      <w:r>
        <w:rPr>
          <w:rFonts w:ascii="Arial" w:cs="Arial" w:eastAsia="Arial" w:hAnsi="Arial"/>
          <w:sz w:val="15"/>
          <w:szCs w:val="15"/>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firstLine="674"/>
        <w:spacing w:after="0" w:line="261"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Interest Income, Net</w:t>
      </w:r>
    </w:p>
    <w:p>
      <w:pPr>
        <w:spacing w:after="0" w:line="111" w:lineRule="exact"/>
        <w:rPr>
          <w:sz w:val="20"/>
          <w:szCs w:val="20"/>
          <w:color w:val="auto"/>
        </w:rPr>
      </w:pPr>
    </w:p>
    <w:p>
      <w:pPr>
        <w:ind w:right="20" w:firstLine="674"/>
        <w:spacing w:after="0" w:line="287" w:lineRule="auto"/>
        <w:rPr>
          <w:sz w:val="20"/>
          <w:szCs w:val="20"/>
          <w:color w:val="auto"/>
        </w:rPr>
      </w:pPr>
      <w:r>
        <w:rPr>
          <w:rFonts w:ascii="Arial" w:cs="Arial" w:eastAsia="Arial" w:hAnsi="Arial"/>
          <w:sz w:val="16"/>
          <w:szCs w:val="16"/>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00"/>
          </w:cols>
          <w:pgMar w:left="320" w:top="618" w:right="37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September 30, 2020 and 2019</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our results of operations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6"/>
          </w:tcPr>
          <w:p>
            <w:pPr>
              <w:jc w:val="right"/>
              <w:ind w:right="112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60" w:type="dxa"/>
            <w:vAlign w:val="bottom"/>
            <w:vMerge w:val="restart"/>
          </w:tcPr>
          <w:p>
            <w:pPr>
              <w:spacing w:after="0"/>
              <w:rPr>
                <w:sz w:val="20"/>
                <w:szCs w:val="20"/>
                <w:color w:val="auto"/>
              </w:rPr>
            </w:pPr>
            <w:r>
              <w:rPr>
                <w:rFonts w:ascii="Arial" w:cs="Arial" w:eastAsia="Arial" w:hAnsi="Arial"/>
                <w:sz w:val="13"/>
                <w:szCs w:val="13"/>
                <w:b w:val="1"/>
                <w:bCs w:val="1"/>
                <w:color w:val="auto"/>
              </w:rPr>
              <w:t>Statement of operations data:</w:t>
            </w: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September 30,</w:t>
            </w:r>
          </w:p>
        </w:tc>
        <w:tc>
          <w:tcPr>
            <w:tcW w:w="10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0"/>
        </w:trPr>
        <w:tc>
          <w:tcPr>
            <w:tcW w:w="6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63"/>
              <w:spacing w:after="0" w:line="140"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61"/>
              <w:spacing w:after="0" w:line="140"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63"/>
              <w:spacing w:after="0" w:line="140"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61"/>
              <w:spacing w:after="0" w:line="140" w:lineRule="exact"/>
              <w:rPr>
                <w:sz w:val="20"/>
                <w:szCs w:val="20"/>
                <w:color w:val="auto"/>
              </w:rPr>
            </w:pPr>
            <w:r>
              <w:rPr>
                <w:rFonts w:ascii="Arial" w:cs="Arial" w:eastAsia="Arial" w:hAnsi="Arial"/>
                <w:sz w:val="13"/>
                <w:szCs w:val="13"/>
                <w:b w:val="1"/>
                <w:bCs w:val="1"/>
                <w:color w:val="auto"/>
                <w:w w:val="96"/>
              </w:rPr>
              <w:t>(unaudited)</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5,992</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4,895</w:t>
            </w:r>
          </w:p>
        </w:tc>
        <w:tc>
          <w:tcPr>
            <w:tcW w:w="2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(8,701)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(6,440)</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01"/>
        </w:trPr>
        <w:tc>
          <w:tcPr>
            <w:tcW w:w="6660" w:type="dxa"/>
            <w:vAlign w:val="bottom"/>
          </w:tcPr>
          <w:p>
            <w:pPr>
              <w:spacing w:after="0"/>
              <w:rPr>
                <w:sz w:val="20"/>
                <w:szCs w:val="20"/>
                <w:color w:val="auto"/>
              </w:rPr>
            </w:pPr>
            <w:r>
              <w:rPr>
                <w:rFonts w:ascii="Arial" w:cs="Arial" w:eastAsia="Arial" w:hAnsi="Arial"/>
                <w:sz w:val="16"/>
                <w:szCs w:val="16"/>
                <w:color w:val="auto"/>
              </w:rPr>
              <w:t>Other (expense) income:</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 net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2"/>
        </w:trPr>
        <w:tc>
          <w:tcPr>
            <w:tcW w:w="66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tcPr>
          <w:p>
            <w:pPr>
              <w:ind w:left="440"/>
              <w:spacing w:after="0"/>
              <w:rPr>
                <w:sz w:val="20"/>
                <w:szCs w:val="20"/>
                <w:color w:val="auto"/>
              </w:rPr>
            </w:pPr>
            <w:r>
              <w:rPr>
                <w:rFonts w:ascii="Arial" w:cs="Arial" w:eastAsia="Arial" w:hAnsi="Arial"/>
                <w:sz w:val="16"/>
                <w:szCs w:val="16"/>
                <w:color w:val="auto"/>
              </w:rPr>
              <w:t>Total other (expense) income</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2"/>
        </w:trPr>
        <w:tc>
          <w:tcPr>
            <w:tcW w:w="66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Loss before provision for income taxes</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(8,761)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(6,168)</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66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(8,764)</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(6,175)</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our research and development expenses incurred during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5"/>
          </w:tcPr>
          <w:p>
            <w:pPr>
              <w:ind w:left="64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60" w:type="dxa"/>
            <w:vAlign w:val="bottom"/>
            <w:vMerge w:val="restart"/>
          </w:tcPr>
          <w:p>
            <w:pPr>
              <w:spacing w:after="0"/>
              <w:rPr>
                <w:sz w:val="20"/>
                <w:szCs w:val="20"/>
                <w:color w:val="auto"/>
              </w:rPr>
            </w:pPr>
            <w:r>
              <w:rPr>
                <w:rFonts w:ascii="Arial" w:cs="Arial" w:eastAsia="Arial" w:hAnsi="Arial"/>
                <w:sz w:val="13"/>
                <w:szCs w:val="13"/>
                <w:b w:val="1"/>
                <w:bCs w:val="1"/>
                <w:color w:val="auto"/>
              </w:rPr>
              <w:t>Statement of operations data:</w:t>
            </w: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September 30,</w:t>
            </w:r>
          </w:p>
        </w:tc>
        <w:tc>
          <w:tcPr>
            <w:tcW w:w="10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0"/>
        </w:trPr>
        <w:tc>
          <w:tcPr>
            <w:tcW w:w="6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65"/>
              <w:spacing w:after="0" w:line="140"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63"/>
              <w:spacing w:after="0" w:line="140"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65"/>
              <w:spacing w:after="0" w:line="140"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63"/>
              <w:spacing w:after="0" w:line="140" w:lineRule="exact"/>
              <w:rPr>
                <w:sz w:val="20"/>
                <w:szCs w:val="20"/>
                <w:color w:val="auto"/>
              </w:rPr>
            </w:pPr>
            <w:r>
              <w:rPr>
                <w:rFonts w:ascii="Arial" w:cs="Arial" w:eastAsia="Arial" w:hAnsi="Arial"/>
                <w:sz w:val="13"/>
                <w:szCs w:val="13"/>
                <w:b w:val="1"/>
                <w:bCs w:val="1"/>
                <w:color w:val="auto"/>
                <w:w w:val="96"/>
              </w:rPr>
              <w:t>(unaudited)</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Research</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2,066</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Arial" w:cs="Arial" w:eastAsia="Arial" w:hAnsi="Arial"/>
                <w:sz w:val="16"/>
                <w:szCs w:val="16"/>
                <w:color w:val="auto"/>
              </w:rPr>
              <w:t>Pre-clinical development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Personnel related</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5,992</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4,895</w:t>
            </w:r>
          </w:p>
        </w:tc>
        <w:tc>
          <w:tcPr>
            <w:tcW w:w="2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Research and development expenses were $6.0 million for the three months ended September 30, 2020, compared to $4.9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The increase of $1.1 million was primarily due to the following:</w:t>
      </w:r>
    </w:p>
    <w:p>
      <w:pPr>
        <w:spacing w:after="0" w:line="198" w:lineRule="exact"/>
        <w:rPr>
          <w:sz w:val="20"/>
          <w:szCs w:val="20"/>
          <w:color w:val="auto"/>
        </w:rPr>
      </w:pPr>
    </w:p>
    <w:p>
      <w:pPr>
        <w:ind w:left="960" w:right="560" w:hanging="286"/>
        <w:spacing w:after="0" w:line="287"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$0.9 million increase in expenses for personnel related costs and stock-based compensation, primarily driven by increased headcount for developing PC14586 and initiation of an investigational new drug, or IND, enabling study for the Y220C mutation;</w:t>
      </w:r>
    </w:p>
    <w:p>
      <w:pPr>
        <w:spacing w:after="0" w:line="51" w:lineRule="exact"/>
        <w:rPr>
          <w:rFonts w:ascii="Arial" w:cs="Arial" w:eastAsia="Arial" w:hAnsi="Arial"/>
          <w:sz w:val="16"/>
          <w:szCs w:val="16"/>
          <w:color w:val="auto"/>
        </w:rPr>
      </w:pPr>
    </w:p>
    <w:p>
      <w:pPr>
        <w:ind w:left="960" w:hanging="286"/>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$0.1 million increase in research expenses, largely driven by increased contractual research organization costs focused on discovery; and</w:t>
      </w:r>
    </w:p>
    <w:p>
      <w:pPr>
        <w:spacing w:after="0" w:line="110" w:lineRule="exact"/>
        <w:rPr>
          <w:rFonts w:ascii="Arial" w:cs="Arial" w:eastAsia="Arial" w:hAnsi="Arial"/>
          <w:sz w:val="16"/>
          <w:szCs w:val="16"/>
          <w:color w:val="auto"/>
        </w:rPr>
      </w:pPr>
    </w:p>
    <w:p>
      <w:pPr>
        <w:ind w:left="960" w:right="580" w:hanging="286"/>
        <w:spacing w:after="0" w:line="287"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$0.1 million increase in preclinical development, which consisted of increased expense related to the IND, partially offset by a decrease in technical consulting.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19" w:name="page20"/>
    <w:bookmarkEnd w:id="19"/>
    <w:p>
      <w:pPr>
        <w:ind w:left="68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General and administrative expenses were $2.7 million for the three months ended September 30, 2020, compared to $1.5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The increase of $1.2 million was primarily due to the following:</w:t>
      </w:r>
    </w:p>
    <w:p>
      <w:pPr>
        <w:spacing w:after="0" w:line="235" w:lineRule="exact"/>
        <w:rPr>
          <w:sz w:val="20"/>
          <w:szCs w:val="20"/>
          <w:color w:val="auto"/>
        </w:rPr>
      </w:pPr>
    </w:p>
    <w:p>
      <w:pPr>
        <w:ind w:left="980" w:hanging="29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increase in salary and bonus expense of $0.8 million due to increased headcount to build out general and administrative infrastructure;</w:t>
      </w:r>
    </w:p>
    <w:p>
      <w:pPr>
        <w:spacing w:after="0" w:line="110" w:lineRule="exact"/>
        <w:rPr>
          <w:rFonts w:ascii="Arial" w:cs="Arial" w:eastAsia="Arial" w:hAnsi="Arial"/>
          <w:sz w:val="16"/>
          <w:szCs w:val="16"/>
          <w:color w:val="auto"/>
        </w:rPr>
      </w:pPr>
    </w:p>
    <w:p>
      <w:pPr>
        <w:ind w:left="980" w:hanging="29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$0.3 million increase in expense for legal and technical services; and</w:t>
      </w:r>
    </w:p>
    <w:p>
      <w:pPr>
        <w:spacing w:after="0" w:line="110" w:lineRule="exact"/>
        <w:rPr>
          <w:rFonts w:ascii="Arial" w:cs="Arial" w:eastAsia="Arial" w:hAnsi="Arial"/>
          <w:sz w:val="16"/>
          <w:szCs w:val="16"/>
          <w:color w:val="auto"/>
        </w:rPr>
      </w:pPr>
    </w:p>
    <w:p>
      <w:pPr>
        <w:ind w:left="980" w:hanging="29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$0.1 million increase in administrative consulting expenses, primarily associated with increased investor relations consulting costs.</w:t>
      </w:r>
    </w:p>
    <w:p>
      <w:pPr>
        <w:spacing w:after="0" w:line="30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Interest Income, Net</w:t>
      </w:r>
    </w:p>
    <w:p>
      <w:pPr>
        <w:spacing w:after="0" w:line="111" w:lineRule="exact"/>
        <w:rPr>
          <w:sz w:val="20"/>
          <w:szCs w:val="20"/>
          <w:color w:val="auto"/>
        </w:rPr>
      </w:pPr>
    </w:p>
    <w:p>
      <w:pPr>
        <w:ind w:right="40" w:firstLine="674"/>
        <w:spacing w:after="0" w:line="266" w:lineRule="auto"/>
        <w:rPr>
          <w:sz w:val="20"/>
          <w:szCs w:val="20"/>
          <w:color w:val="auto"/>
        </w:rPr>
      </w:pPr>
      <w:r>
        <w:rPr>
          <w:rFonts w:ascii="Arial" w:cs="Arial" w:eastAsia="Arial" w:hAnsi="Arial"/>
          <w:sz w:val="16"/>
          <w:szCs w:val="16"/>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$40,000 for the three months ended September 30, 2020, compared to $0.3 million for the three months ended September 30, 2019. The decrease of $0.2 million is driven by decreased income from cash investments in marketable securities and U.S treasuries during the three months ended September 30, 2020.</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nine months ended September 30, 2020 and 2019</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our results of operations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vMerge w:val="restart"/>
          </w:tcPr>
          <w:p>
            <w:pPr>
              <w:spacing w:after="0"/>
              <w:rPr>
                <w:sz w:val="20"/>
                <w:szCs w:val="20"/>
                <w:color w:val="auto"/>
              </w:rPr>
            </w:pPr>
            <w:r>
              <w:rPr>
                <w:rFonts w:ascii="Arial" w:cs="Arial" w:eastAsia="Arial" w:hAnsi="Arial"/>
                <w:sz w:val="13"/>
                <w:szCs w:val="13"/>
                <w:b w:val="1"/>
                <w:bCs w:val="1"/>
                <w:color w:val="auto"/>
              </w:rPr>
              <w:t>Statement of operations data:</w:t>
            </w:r>
          </w:p>
        </w:tc>
        <w:tc>
          <w:tcPr>
            <w:tcW w:w="2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rPr>
              <w:t>September,</w:t>
            </w: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Change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6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62"/>
              <w:spacing w:after="0" w:line="140"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ind w:right="460"/>
              <w:spacing w:after="0" w:line="140"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5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17,752</w:t>
            </w:r>
          </w:p>
        </w:tc>
        <w:tc>
          <w:tcPr>
            <w:tcW w:w="14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15,060</w:t>
            </w:r>
          </w:p>
        </w:tc>
        <w:tc>
          <w:tcPr>
            <w:tcW w:w="2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25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4,222</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operating expenses</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Loss from operations</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(24,441)</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(19,282)</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60" w:type="dxa"/>
            <w:vAlign w:val="bottom"/>
          </w:tcPr>
          <w:p>
            <w:pPr>
              <w:spacing w:after="0"/>
              <w:rPr>
                <w:sz w:val="20"/>
                <w:szCs w:val="20"/>
                <w:color w:val="auto"/>
              </w:rPr>
            </w:pPr>
            <w:r>
              <w:rPr>
                <w:rFonts w:ascii="Arial" w:cs="Arial" w:eastAsia="Arial" w:hAnsi="Arial"/>
                <w:sz w:val="16"/>
                <w:szCs w:val="16"/>
                <w:color w:val="auto"/>
              </w:rPr>
              <w:t>Other income (expense):</w:t>
            </w:r>
          </w:p>
        </w:tc>
        <w:tc>
          <w:tcPr>
            <w:tcW w:w="2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 net</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tcPr>
          <w:p>
            <w:pPr>
              <w:ind w:left="220"/>
              <w:spacing w:after="0"/>
              <w:rPr>
                <w:sz w:val="20"/>
                <w:szCs w:val="20"/>
                <w:color w:val="auto"/>
              </w:rPr>
            </w:pPr>
            <w:r>
              <w:rPr>
                <w:rFonts w:ascii="Arial" w:cs="Arial" w:eastAsia="Arial" w:hAnsi="Arial"/>
                <w:sz w:val="16"/>
                <w:szCs w:val="16"/>
                <w:color w:val="auto"/>
              </w:rPr>
              <w:t>Other expense</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Borders>
              <w:top w:val="single" w:sz="8" w:color="CFF0FC"/>
            </w:tcBorders>
            <w:shd w:val="clear" w:color="auto" w:fill="CFF0FC"/>
          </w:tcPr>
          <w:p>
            <w:pPr>
              <w:spacing w:after="0"/>
              <w:rPr>
                <w:sz w:val="17"/>
                <w:szCs w:val="17"/>
                <w:color w:val="auto"/>
              </w:rPr>
            </w:pPr>
          </w:p>
        </w:tc>
        <w:tc>
          <w:tcPr>
            <w:tcW w:w="25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tcPr>
          <w:p>
            <w:pPr>
              <w:ind w:left="440"/>
              <w:spacing w:after="0"/>
              <w:rPr>
                <w:sz w:val="20"/>
                <w:szCs w:val="20"/>
                <w:color w:val="auto"/>
              </w:rPr>
            </w:pPr>
            <w:r>
              <w:rPr>
                <w:rFonts w:ascii="Arial" w:cs="Arial" w:eastAsia="Arial" w:hAnsi="Arial"/>
                <w:sz w:val="16"/>
                <w:szCs w:val="16"/>
                <w:color w:val="auto"/>
              </w:rPr>
              <w:t>Total other income (expense)</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Borders>
              <w:top w:val="single" w:sz="8" w:color="CFF0FC"/>
            </w:tcBorders>
            <w:shd w:val="clear" w:color="auto" w:fill="CFF0FC"/>
          </w:tcPr>
          <w:p>
            <w:pPr>
              <w:spacing w:after="0"/>
              <w:rPr>
                <w:sz w:val="17"/>
                <w:szCs w:val="17"/>
                <w:color w:val="auto"/>
              </w:rPr>
            </w:pPr>
          </w:p>
        </w:tc>
        <w:tc>
          <w:tcPr>
            <w:tcW w:w="25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tcPr>
          <w:p>
            <w:pPr>
              <w:ind w:left="220"/>
              <w:spacing w:after="0"/>
              <w:rPr>
                <w:sz w:val="20"/>
                <w:szCs w:val="20"/>
                <w:color w:val="auto"/>
              </w:rPr>
            </w:pPr>
            <w:r>
              <w:rPr>
                <w:rFonts w:ascii="Arial" w:cs="Arial" w:eastAsia="Arial" w:hAnsi="Arial"/>
                <w:sz w:val="16"/>
                <w:szCs w:val="16"/>
                <w:color w:val="auto"/>
              </w:rPr>
              <w:t>Loss before provision for income taxes</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(23,981)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(18,297)</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Provision for income taxes</w:t>
            </w:r>
          </w:p>
        </w:tc>
        <w:tc>
          <w:tcPr>
            <w:tcW w:w="2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loss</w:t>
            </w:r>
          </w:p>
        </w:tc>
        <w:tc>
          <w:tcPr>
            <w:tcW w:w="2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(23,986)</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(18,305)</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bottom w:val="single" w:sz="8" w:color="CFF0FC"/>
            </w:tcBorders>
            <w:vMerge w:val="restart"/>
          </w:tcPr>
          <w:p>
            <w:pPr>
              <w:jc w:val="right"/>
              <w:ind w:right="878"/>
              <w:spacing w:after="0"/>
              <w:rPr>
                <w:sz w:val="20"/>
                <w:szCs w:val="20"/>
                <w:color w:val="auto"/>
              </w:rPr>
            </w:pPr>
            <w:r>
              <w:rPr>
                <w:rFonts w:ascii="Arial" w:cs="Arial" w:eastAsia="Arial" w:hAnsi="Arial"/>
                <w:sz w:val="16"/>
                <w:szCs w:val="16"/>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1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1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762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618" w:right="29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our research and development expenses incurred during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60" w:type="dxa"/>
            <w:vAlign w:val="bottom"/>
            <w:vMerge w:val="restart"/>
          </w:tcPr>
          <w:p>
            <w:pPr>
              <w:spacing w:after="0"/>
              <w:rPr>
                <w:sz w:val="20"/>
                <w:szCs w:val="20"/>
                <w:color w:val="auto"/>
              </w:rPr>
            </w:pPr>
            <w:r>
              <w:rPr>
                <w:rFonts w:ascii="Arial" w:cs="Arial" w:eastAsia="Arial" w:hAnsi="Arial"/>
                <w:sz w:val="13"/>
                <w:szCs w:val="13"/>
                <w:b w:val="1"/>
                <w:bCs w:val="1"/>
                <w:color w:val="auto"/>
              </w:rPr>
              <w:t>Statement of operations data:</w:t>
            </w: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0"/>
        </w:trPr>
        <w:tc>
          <w:tcPr>
            <w:tcW w:w="6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64"/>
              <w:spacing w:after="0" w:line="140"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ind w:right="461"/>
              <w:spacing w:after="0" w:line="140" w:lineRule="exact"/>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Research</w:t>
            </w:r>
          </w:p>
        </w:tc>
        <w:tc>
          <w:tcPr>
            <w:tcW w:w="300" w:type="dxa"/>
            <w:vAlign w:val="bottom"/>
            <w:tcBorders>
              <w:top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5,273</w:t>
            </w:r>
          </w:p>
        </w:tc>
        <w:tc>
          <w:tcPr>
            <w:tcW w:w="24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6,644</w:t>
            </w: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Arial" w:cs="Arial" w:eastAsia="Arial" w:hAnsi="Arial"/>
                <w:sz w:val="16"/>
                <w:szCs w:val="16"/>
                <w:color w:val="auto"/>
              </w:rPr>
              <w:t>Pre-clinical development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Personnel related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5,681</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17,752</w:t>
            </w:r>
          </w:p>
        </w:tc>
        <w:tc>
          <w:tcPr>
            <w:tcW w:w="720" w:type="dxa"/>
            <w:vAlign w:val="bottom"/>
            <w:gridSpan w:val="2"/>
          </w:tcPr>
          <w:p>
            <w:pPr>
              <w:jc w:val="right"/>
              <w:ind w:right="29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15,060</w:t>
            </w:r>
          </w:p>
        </w:tc>
        <w:tc>
          <w:tcPr>
            <w:tcW w:w="26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Research and development expenses were $17.8 million for the nine months ended September 30, 2020, compared to $15.1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The increase of $2.7 million was primarily due to the following:</w:t>
      </w:r>
    </w:p>
    <w:p>
      <w:pPr>
        <w:spacing w:after="0" w:line="198" w:lineRule="exact"/>
        <w:rPr>
          <w:sz w:val="20"/>
          <w:szCs w:val="20"/>
          <w:color w:val="auto"/>
        </w:rPr>
      </w:pPr>
    </w:p>
    <w:p>
      <w:pPr>
        <w:ind w:left="960" w:right="560" w:hanging="286"/>
        <w:spacing w:after="0" w:line="287"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 million increase in expenses for personnel related costs and stock-based compensation, primarily driven by increased headcount for developing PC14586 and initiation of an investigational new drug, or IND, enabling study for the Y220C mutation;</w:t>
      </w:r>
    </w:p>
    <w:p>
      <w:pPr>
        <w:spacing w:after="0" w:line="51" w:lineRule="exact"/>
        <w:rPr>
          <w:rFonts w:ascii="Arial" w:cs="Arial" w:eastAsia="Arial" w:hAnsi="Arial"/>
          <w:sz w:val="16"/>
          <w:szCs w:val="16"/>
          <w:color w:val="auto"/>
        </w:rPr>
      </w:pPr>
    </w:p>
    <w:p>
      <w:pPr>
        <w:ind w:left="960" w:right="240" w:hanging="286"/>
        <w:spacing w:after="0" w:line="287"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 million increase in preclinical development expenses, primarily associated with increased effort in developing our lead compound PC14586 through IND enabling studies; and</w:t>
      </w:r>
    </w:p>
    <w:p>
      <w:pPr>
        <w:spacing w:after="0" w:line="149" w:lineRule="exact"/>
        <w:rPr>
          <w:rFonts w:ascii="Arial" w:cs="Arial" w:eastAsia="Arial" w:hAnsi="Arial"/>
          <w:sz w:val="16"/>
          <w:szCs w:val="16"/>
          <w:color w:val="auto"/>
        </w:rPr>
      </w:pPr>
    </w:p>
    <w:p>
      <w:pPr>
        <w:ind w:left="960" w:hanging="286"/>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$1.4 million decrease in research expenses, driven primarily by a decline in costs from certain of our contract research organizations.</w:t>
      </w:r>
    </w:p>
    <w:p>
      <w:pPr>
        <w:spacing w:after="0" w:line="30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5"/>
          <w:szCs w:val="15"/>
          <w:color w:val="auto"/>
        </w:rPr>
        <w:t>General and administrative expenses were $6.7 million for the nine months ended September 30, 2020, compared to $4.2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The increase of $2.5 million was primarily due to the following:</w:t>
      </w:r>
    </w:p>
    <w:p>
      <w:pPr>
        <w:spacing w:after="0" w:line="198" w:lineRule="exact"/>
        <w:rPr>
          <w:sz w:val="20"/>
          <w:szCs w:val="20"/>
          <w:color w:val="auto"/>
        </w:rPr>
      </w:pPr>
    </w:p>
    <w:p>
      <w:pPr>
        <w:ind w:left="960" w:right="80" w:hanging="298"/>
        <w:spacing w:after="0" w:line="287"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$1.5 million increase in expense for employee compensation, driven primarily by increased headcount to build out general and administrative infrastructure for the Company; and</w:t>
      </w:r>
    </w:p>
    <w:p>
      <w:pPr>
        <w:spacing w:after="0" w:line="51" w:lineRule="exact"/>
        <w:rPr>
          <w:rFonts w:ascii="Arial" w:cs="Arial" w:eastAsia="Arial" w:hAnsi="Arial"/>
          <w:sz w:val="16"/>
          <w:szCs w:val="16"/>
          <w:color w:val="auto"/>
        </w:rPr>
      </w:pPr>
    </w:p>
    <w:p>
      <w:pPr>
        <w:ind w:left="960" w:right="100" w:hanging="298"/>
        <w:spacing w:after="0" w:line="287"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$0.9 million increase in expense for outside services, which is primarily driven by $0.5 million in regulatory and finance support along with increased legal costs of $0.4 million associated with patent expenses and service contract drafting and review.</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Interest Income, Net</w:t>
      </w:r>
    </w:p>
    <w:p>
      <w:pPr>
        <w:spacing w:after="0" w:line="111" w:lineRule="exact"/>
        <w:rPr>
          <w:sz w:val="20"/>
          <w:szCs w:val="20"/>
          <w:color w:val="auto"/>
        </w:rPr>
      </w:pPr>
    </w:p>
    <w:p>
      <w:pPr>
        <w:ind w:right="60" w:firstLine="674"/>
        <w:spacing w:after="0" w:line="266" w:lineRule="auto"/>
        <w:rPr>
          <w:sz w:val="20"/>
          <w:szCs w:val="20"/>
          <w:color w:val="auto"/>
        </w:rPr>
      </w:pPr>
      <w:r>
        <w:rPr>
          <w:rFonts w:ascii="Arial" w:cs="Arial" w:eastAsia="Arial" w:hAnsi="Arial"/>
          <w:sz w:val="16"/>
          <w:szCs w:val="16"/>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$0.6 million for the nine months ended September 30, 2020, compared to $1.0 million for the nine months ended September 30, 2019. The decrease of $0.4 million is driven by decreased income from cash investments in marketable securities and U.S treasuries during the three months ended September 30,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11" w:lineRule="exact"/>
        <w:rPr>
          <w:sz w:val="20"/>
          <w:szCs w:val="20"/>
          <w:color w:val="auto"/>
        </w:rPr>
      </w:pPr>
    </w:p>
    <w:p>
      <w:pPr>
        <w:ind w:right="80" w:firstLine="681"/>
        <w:spacing w:after="0" w:line="260" w:lineRule="auto"/>
        <w:rPr>
          <w:sz w:val="20"/>
          <w:szCs w:val="20"/>
          <w:color w:val="auto"/>
        </w:rPr>
      </w:pPr>
      <w:r>
        <w:rPr>
          <w:rFonts w:ascii="Arial" w:cs="Arial" w:eastAsia="Arial" w:hAnsi="Arial"/>
          <w:sz w:val="16"/>
          <w:szCs w:val="16"/>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September 30, 2020, we had cash and cash equivalents of $373.1 million and an accumulated deficit of $99.4 million. We have financed our operations primarily through issuances of our convertible preferred and common stock. In 2019, we sold an aggregate of 5,469,606 shares of our Series C convertible preferred stock to accredited investors, generating gross proceeds of $61.9 million. In July 2020, we sold an aggregate of 5,321,864 shares of our Series D convertible preferred stock to accredited investors, generating gross proceeds of $70.0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 of Operation and Future Funding Requirements</w:t>
      </w:r>
    </w:p>
    <w:p>
      <w:pPr>
        <w:spacing w:after="0" w:line="111" w:lineRule="exact"/>
        <w:rPr>
          <w:sz w:val="20"/>
          <w:szCs w:val="20"/>
          <w:color w:val="auto"/>
        </w:rPr>
      </w:pPr>
    </w:p>
    <w:p>
      <w:pPr>
        <w:ind w:right="20" w:firstLine="681"/>
        <w:spacing w:after="0" w:line="260" w:lineRule="auto"/>
        <w:rPr>
          <w:sz w:val="20"/>
          <w:szCs w:val="20"/>
          <w:color w:val="auto"/>
        </w:rPr>
      </w:pPr>
      <w:r>
        <w:rPr>
          <w:rFonts w:ascii="Arial" w:cs="Arial" w:eastAsia="Arial" w:hAnsi="Arial"/>
          <w:sz w:val="16"/>
          <w:szCs w:val="16"/>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76" w:lineRule="exact"/>
        <w:rPr>
          <w:sz w:val="20"/>
          <w:szCs w:val="20"/>
          <w:color w:val="auto"/>
        </w:rPr>
      </w:pPr>
    </w:p>
    <w:p>
      <w:pPr>
        <w:ind w:right="140" w:firstLine="681"/>
        <w:spacing w:after="0" w:line="266" w:lineRule="auto"/>
        <w:rPr>
          <w:sz w:val="20"/>
          <w:szCs w:val="20"/>
          <w:color w:val="auto"/>
        </w:rPr>
      </w:pPr>
      <w:r>
        <w:rPr>
          <w:rFonts w:ascii="Arial" w:cs="Arial" w:eastAsia="Arial" w:hAnsi="Arial"/>
          <w:sz w:val="16"/>
          <w:szCs w:val="16"/>
          <w:color w:val="auto"/>
        </w:rPr>
        <w:t>Due to our significant research and development expenditures, we have generated substantial operating losses in each period since inception. We have incurred an accumulated deficit of $99.4 million through September 30, 2020. We expect to incur substantial additional losses in the future as we expand our research and development activities. Based on our research and development plans, we believe we have adequate cash and cash equivalents to operate for at least the next 12 months from the date of issuance of these unaudited condensed financial statements.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timing and amount of our operating expenditures will depend largely on:</w:t>
      </w:r>
    </w:p>
    <w:p>
      <w:pPr>
        <w:spacing w:after="0" w:line="209" w:lineRule="exact"/>
        <w:rPr>
          <w:sz w:val="20"/>
          <w:szCs w:val="20"/>
          <w:color w:val="auto"/>
        </w:rPr>
      </w:pPr>
    </w:p>
    <w:p>
      <w:pPr>
        <w:ind w:left="960" w:hanging="29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and progress of preclinical and clinical development activities;</w:t>
      </w:r>
    </w:p>
    <w:p>
      <w:pPr>
        <w:spacing w:after="0" w:line="110" w:lineRule="exact"/>
        <w:rPr>
          <w:rFonts w:ascii="Arial" w:cs="Arial" w:eastAsia="Arial" w:hAnsi="Arial"/>
          <w:sz w:val="16"/>
          <w:szCs w:val="16"/>
          <w:color w:val="auto"/>
        </w:rPr>
      </w:pPr>
    </w:p>
    <w:p>
      <w:pPr>
        <w:ind w:left="960" w:hanging="29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and scope of preclinical and clinical programs we decide to pursue;</w:t>
      </w:r>
    </w:p>
    <w:p>
      <w:pPr>
        <w:spacing w:after="0" w:line="110" w:lineRule="exact"/>
        <w:rPr>
          <w:rFonts w:ascii="Arial" w:cs="Arial" w:eastAsia="Arial" w:hAnsi="Arial"/>
          <w:sz w:val="16"/>
          <w:szCs w:val="16"/>
          <w:color w:val="auto"/>
        </w:rPr>
      </w:pPr>
    </w:p>
    <w:p>
      <w:pPr>
        <w:ind w:left="960" w:hanging="29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and amount of milestone payments we may receive under any future collaboration agreements;</w:t>
      </w:r>
    </w:p>
    <w:p>
      <w:pPr>
        <w:spacing w:after="0" w:line="110" w:lineRule="exact"/>
        <w:rPr>
          <w:rFonts w:ascii="Arial" w:cs="Arial" w:eastAsia="Arial" w:hAnsi="Arial"/>
          <w:sz w:val="16"/>
          <w:szCs w:val="16"/>
          <w:color w:val="auto"/>
        </w:rPr>
      </w:pPr>
    </w:p>
    <w:p>
      <w:pPr>
        <w:ind w:left="960" w:hanging="29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maintain future licenses and research and development programs and to establish new collaboration arrangements;</w:t>
      </w:r>
    </w:p>
    <w:p>
      <w:pPr>
        <w:spacing w:after="0" w:line="110" w:lineRule="exact"/>
        <w:rPr>
          <w:rFonts w:ascii="Arial" w:cs="Arial" w:eastAsia="Arial" w:hAnsi="Arial"/>
          <w:sz w:val="16"/>
          <w:szCs w:val="16"/>
          <w:color w:val="auto"/>
        </w:rPr>
      </w:pPr>
    </w:p>
    <w:p>
      <w:pPr>
        <w:ind w:left="960" w:hanging="29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involved in prosecuting and enforcing patent and other intellectual property claims;</w:t>
      </w:r>
    </w:p>
    <w:p>
      <w:pPr>
        <w:spacing w:after="0" w:line="110" w:lineRule="exact"/>
        <w:rPr>
          <w:rFonts w:ascii="Arial" w:cs="Arial" w:eastAsia="Arial" w:hAnsi="Arial"/>
          <w:sz w:val="16"/>
          <w:szCs w:val="16"/>
          <w:color w:val="auto"/>
        </w:rPr>
      </w:pPr>
    </w:p>
    <w:p>
      <w:pPr>
        <w:ind w:left="960" w:hanging="29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 and timing of regulatory approvals; and</w:t>
      </w:r>
    </w:p>
    <w:p>
      <w:pPr>
        <w:spacing w:after="0" w:line="110" w:lineRule="exact"/>
        <w:rPr>
          <w:rFonts w:ascii="Arial" w:cs="Arial" w:eastAsia="Arial" w:hAnsi="Arial"/>
          <w:sz w:val="16"/>
          <w:szCs w:val="16"/>
          <w:color w:val="auto"/>
        </w:rPr>
      </w:pPr>
    </w:p>
    <w:p>
      <w:pPr>
        <w:ind w:left="960" w:right="160" w:hanging="298"/>
        <w:spacing w:after="0" w:line="287"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efforts to enhance operational systems and hire additional personnel, including personnel to support development of our product candidates and satisfy our obligations as a public company.</w:t>
      </w:r>
    </w:p>
    <w:p>
      <w:pPr>
        <w:spacing w:after="0" w:line="51" w:lineRule="exact"/>
        <w:rPr>
          <w:sz w:val="20"/>
          <w:szCs w:val="20"/>
          <w:color w:val="auto"/>
        </w:rPr>
      </w:pPr>
    </w:p>
    <w:p>
      <w:pPr>
        <w:ind w:firstLine="681"/>
        <w:spacing w:after="0" w:line="262" w:lineRule="auto"/>
        <w:rPr>
          <w:sz w:val="20"/>
          <w:szCs w:val="20"/>
          <w:color w:val="auto"/>
        </w:rPr>
      </w:pPr>
      <w:r>
        <w:rPr>
          <w:rFonts w:ascii="Arial" w:cs="Arial" w:eastAsia="Arial" w:hAnsi="Arial"/>
          <w:sz w:val="16"/>
          <w:szCs w:val="16"/>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likely result in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2" w:name="page23"/>
    <w:bookmarkEnd w:id="22"/>
    <w:p>
      <w:pPr>
        <w:ind w:right="60"/>
        <w:spacing w:after="0" w:line="266" w:lineRule="auto"/>
        <w:rPr>
          <w:sz w:val="20"/>
          <w:szCs w:val="20"/>
          <w:color w:val="auto"/>
        </w:rPr>
      </w:pPr>
      <w:r>
        <w:rPr>
          <w:rFonts w:ascii="Arial" w:cs="Arial" w:eastAsia="Arial" w:hAnsi="Arial"/>
          <w:sz w:val="16"/>
          <w:szCs w:val="16"/>
          <w:color w:val="auto"/>
        </w:rPr>
        <w:t>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summarizes our cash flows for the period indicated (in thousands):</w:t>
      </w:r>
    </w:p>
    <w:p>
      <w:pPr>
        <w:spacing w:after="0" w:line="213"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Nine Months Ended</w:t>
      </w:r>
    </w:p>
    <w:p>
      <w:pPr>
        <w:jc w:val="center"/>
        <w:ind w:left="7600"/>
        <w:spacing w:after="0" w:line="226" w:lineRule="auto"/>
        <w:rPr>
          <w:sz w:val="20"/>
          <w:szCs w:val="20"/>
          <w:color w:val="auto"/>
        </w:rPr>
      </w:pPr>
      <w:r>
        <w:rPr>
          <w:rFonts w:ascii="Arial" w:cs="Arial" w:eastAsia="Arial" w:hAnsi="Arial"/>
          <w:sz w:val="13"/>
          <w:szCs w:val="13"/>
          <w:b w:val="1"/>
          <w:bCs w:val="1"/>
          <w:color w:val="auto"/>
        </w:rPr>
        <w:t>September 30,</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64"/>
              <w:spacing w:after="0" w:line="140"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64"/>
              <w:spacing w:after="0" w:line="140"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ind w:right="364"/>
              <w:spacing w:after="0" w:line="140" w:lineRule="exact"/>
              <w:rPr>
                <w:sz w:val="20"/>
                <w:szCs w:val="20"/>
                <w:color w:val="auto"/>
              </w:rPr>
            </w:pPr>
            <w:r>
              <w:rPr>
                <w:rFonts w:ascii="Arial" w:cs="Arial" w:eastAsia="Arial" w:hAnsi="Arial"/>
                <w:sz w:val="13"/>
                <w:szCs w:val="13"/>
                <w:b w:val="1"/>
                <w:bCs w:val="1"/>
                <w:color w:val="auto"/>
              </w:rPr>
              <w:t>(unaudited)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384"/>
              <w:spacing w:after="0" w:line="140"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used in operating activities</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(22,427)</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Cash provided by investing activities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294,331</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299,872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ind w:right="240" w:firstLine="681"/>
        <w:spacing w:after="0" w:line="266" w:lineRule="auto"/>
        <w:rPr>
          <w:sz w:val="20"/>
          <w:szCs w:val="20"/>
          <w:color w:val="auto"/>
        </w:rPr>
      </w:pPr>
      <w:r>
        <w:rPr>
          <w:rFonts w:ascii="Arial" w:cs="Arial" w:eastAsia="Arial" w:hAnsi="Arial"/>
          <w:sz w:val="16"/>
          <w:szCs w:val="16"/>
          <w:color w:val="auto"/>
        </w:rPr>
        <w:t>Net cash used in operating activities for the nine months ended September 30, 2020, was $22.4 million, which consisted primarily of net loss of $24.0 million partially offset by non-cash charges of $1.9 million and by a net change of $0.3 million in our net operating assets. The non-cash charges primarily consisted of stock-based compensation of $1.3 million and depreciation and amortization of $0.4 million. The change in our net operating assets and liabilities was primarily due to an increase in accrued compensation partially offset by a decrease in outstanding payables in 2020.</w:t>
      </w:r>
    </w:p>
    <w:p>
      <w:pPr>
        <w:spacing w:after="0" w:line="69" w:lineRule="exact"/>
        <w:rPr>
          <w:sz w:val="20"/>
          <w:szCs w:val="20"/>
          <w:color w:val="auto"/>
        </w:rPr>
      </w:pPr>
    </w:p>
    <w:p>
      <w:pPr>
        <w:ind w:right="240" w:firstLine="681"/>
        <w:spacing w:after="0" w:line="266" w:lineRule="auto"/>
        <w:rPr>
          <w:sz w:val="20"/>
          <w:szCs w:val="20"/>
          <w:color w:val="auto"/>
        </w:rPr>
      </w:pPr>
      <w:r>
        <w:rPr>
          <w:rFonts w:ascii="Arial" w:cs="Arial" w:eastAsia="Arial" w:hAnsi="Arial"/>
          <w:sz w:val="16"/>
          <w:szCs w:val="16"/>
          <w:color w:val="auto"/>
        </w:rPr>
        <w:t>Net cash used in operating activities for the nine months ended September 30, 2019, was $16.9 million, which consisted primarily of net loss of $18.3 million partially offset by non-cash charges of $1.0 million and a net change of $0.4 million in our operating assets. The non-cash charges primarily consisted of stock-based compensation of $0.7 million and depreciation and amortization expense of $0.3 million. The change in our net operating assets and liabilities was primarily due to an increase in accrued compensation in 2019.</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ind w:right="40" w:firstLine="674"/>
        <w:spacing w:after="0" w:line="322" w:lineRule="auto"/>
        <w:rPr>
          <w:sz w:val="20"/>
          <w:szCs w:val="20"/>
          <w:color w:val="auto"/>
        </w:rPr>
      </w:pPr>
      <w:r>
        <w:rPr>
          <w:rFonts w:ascii="Arial" w:cs="Arial" w:eastAsia="Arial" w:hAnsi="Arial"/>
          <w:sz w:val="15"/>
          <w:szCs w:val="15"/>
          <w:color w:val="auto"/>
        </w:rPr>
        <w:t>Our investing activities provided $28.0 million of cash during the nine months ended September 30, 2020, which consisted primarily of maturities of marketable securities of $42.6 million, partially offset by purchases of marketable securities of $14.5 million and purchases of property and equipment of $0.1 million.</w:t>
      </w:r>
    </w:p>
    <w:p>
      <w:pPr>
        <w:spacing w:after="0" w:line="29" w:lineRule="exact"/>
        <w:rPr>
          <w:sz w:val="20"/>
          <w:szCs w:val="20"/>
          <w:color w:val="auto"/>
        </w:rPr>
      </w:pPr>
    </w:p>
    <w:p>
      <w:pPr>
        <w:ind w:right="40" w:firstLine="674"/>
        <w:spacing w:after="0" w:line="322" w:lineRule="auto"/>
        <w:rPr>
          <w:sz w:val="20"/>
          <w:szCs w:val="20"/>
          <w:color w:val="auto"/>
        </w:rPr>
      </w:pPr>
      <w:r>
        <w:rPr>
          <w:rFonts w:ascii="Arial" w:cs="Arial" w:eastAsia="Arial" w:hAnsi="Arial"/>
          <w:sz w:val="15"/>
          <w:szCs w:val="15"/>
          <w:color w:val="auto"/>
        </w:rPr>
        <w:t>Our investing activities provided $21.8 million of cash during the nine months ended September 30, 2019, which consisted primarily of maturities of marketable securities of $40.2 million, partially offset by purchases of marketable securities of $18.3 million and purchases of property and equipment of $0.1 million.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right="100" w:firstLine="674"/>
        <w:spacing w:after="0" w:line="271" w:lineRule="auto"/>
        <w:rPr>
          <w:sz w:val="20"/>
          <w:szCs w:val="20"/>
          <w:color w:val="auto"/>
        </w:rPr>
      </w:pPr>
      <w:r>
        <w:rPr>
          <w:rFonts w:ascii="Arial" w:cs="Arial" w:eastAsia="Arial" w:hAnsi="Arial"/>
          <w:sz w:val="16"/>
          <w:szCs w:val="16"/>
          <w:color w:val="auto"/>
        </w:rPr>
        <w:t>Our financing activities provided $294.3 million of cash during the nine months ended September 30, 2020, which consisted primarily of gross IPO proceeds of $243.5 million and Series D Preferred Stock issuance of $70.0 million, offset by equity issuance costs of $20.6 million. $1.4 million of these issuance costs remained unpaid at September 30, 2020.</w:t>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Our financing activities provided $0.1 million of cash during the nine months ended September 30, 2019, which consisted primarily of exercises of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options.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do not currently have, nor did we have any off-balance sheet arrangements, as defined in the rules and regulations of the SEC, during the periods presented.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13" w:lineRule="exact"/>
        <w:rPr>
          <w:sz w:val="20"/>
          <w:szCs w:val="20"/>
          <w:color w:val="auto"/>
        </w:rPr>
      </w:pPr>
    </w:p>
    <w:p>
      <w:pPr>
        <w:ind w:right="60" w:firstLine="674"/>
        <w:spacing w:after="0" w:line="298" w:lineRule="auto"/>
        <w:rPr>
          <w:sz w:val="20"/>
          <w:szCs w:val="20"/>
          <w:color w:val="auto"/>
        </w:rPr>
      </w:pPr>
      <w:r>
        <w:rPr>
          <w:rFonts w:ascii="Arial" w:cs="Arial" w:eastAsia="Arial" w:hAnsi="Arial"/>
          <w:sz w:val="15"/>
          <w:szCs w:val="15"/>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44"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 and nine months ended September 30, 2020, there were no material changes to our critical accounting policies from those described in our audited financial statements for the year ended December 31, 2019 included in the final prospectus that forms part of our registration statement on Form S-1 (Reg. No. 333-248627), dated September 24, 2020 and filed with the SEC pursuant to Rule 424(b)(4) on September 25, 2020, except as noted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 Accrued Research and Development Costs and Related Prepaid Expenses</w:t>
      </w:r>
    </w:p>
    <w:p>
      <w:pPr>
        <w:spacing w:after="0" w:line="111" w:lineRule="exact"/>
        <w:rPr>
          <w:sz w:val="20"/>
          <w:szCs w:val="20"/>
          <w:color w:val="auto"/>
        </w:rPr>
      </w:pPr>
    </w:p>
    <w:p>
      <w:pPr>
        <w:ind w:right="120" w:firstLine="674"/>
        <w:spacing w:after="0" w:line="264"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13" w:lineRule="exact"/>
        <w:rPr>
          <w:sz w:val="20"/>
          <w:szCs w:val="20"/>
          <w:color w:val="auto"/>
        </w:rPr>
      </w:pPr>
    </w:p>
    <w:p>
      <w:pPr>
        <w:ind w:right="460" w:firstLine="674"/>
        <w:spacing w:after="0" w:line="287" w:lineRule="auto"/>
        <w:rPr>
          <w:sz w:val="20"/>
          <w:szCs w:val="20"/>
          <w:color w:val="auto"/>
        </w:rPr>
      </w:pPr>
      <w:r>
        <w:rPr>
          <w:rFonts w:ascii="Arial" w:cs="Arial" w:eastAsia="Arial" w:hAnsi="Arial"/>
          <w:sz w:val="16"/>
          <w:szCs w:val="16"/>
          <w:color w:val="auto"/>
        </w:rPr>
        <w:t>For a description of recent accounting pronouncements, see Note 2 of the notes to our condensed financial statements included elsewhere in this Quarterly Report on Form 10-Q.</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JOBS Act Accounting Election</w:t>
      </w:r>
    </w:p>
    <w:p>
      <w:pPr>
        <w:spacing w:after="0" w:line="213" w:lineRule="exact"/>
        <w:rPr>
          <w:sz w:val="20"/>
          <w:szCs w:val="20"/>
          <w:color w:val="auto"/>
        </w:rPr>
      </w:pPr>
    </w:p>
    <w:p>
      <w:pPr>
        <w:ind w:firstLine="674"/>
        <w:spacing w:after="0" w:line="278" w:lineRule="auto"/>
        <w:rPr>
          <w:sz w:val="20"/>
          <w:szCs w:val="20"/>
          <w:color w:val="auto"/>
        </w:rPr>
      </w:pPr>
      <w:r>
        <w:rPr>
          <w:rFonts w:ascii="Arial" w:cs="Arial" w:eastAsia="Arial" w:hAnsi="Arial"/>
          <w:sz w:val="15"/>
          <w:szCs w:val="15"/>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IPO, although circumstances could cause us to lose that status earlier. We will remain an emerging growth company until the earlier of (1) the last day of the fiscal year (a) following the fifth anniversary of the closing of our IPO, (b) in which we have total annual gross revenue of at least $1.07 billion or (c) in which we are deemed to be a large accelerated filer, which requires the market value of our common stock that is held by non-affiliates to exceed $700 million as of the prior June 30th, or (2) the date on which we have issued more than $1 billion in non-convertible debt during the prior three-year period.</w:t>
      </w:r>
    </w:p>
    <w:p>
      <w:pPr>
        <w:spacing w:after="0" w:line="164" w:lineRule="exact"/>
        <w:rPr>
          <w:sz w:val="20"/>
          <w:szCs w:val="20"/>
          <w:color w:val="auto"/>
        </w:rPr>
      </w:pPr>
    </w:p>
    <w:p>
      <w:pPr>
        <w:ind w:firstLine="674"/>
        <w:spacing w:after="0" w:line="26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67" w:lineRule="exact"/>
        <w:rPr>
          <w:sz w:val="20"/>
          <w:szCs w:val="20"/>
          <w:color w:val="auto"/>
        </w:rPr>
      </w:pPr>
    </w:p>
    <w:p>
      <w:pPr>
        <w:ind w:right="240" w:firstLine="674"/>
        <w:spacing w:after="0" w:line="285" w:lineRule="auto"/>
        <w:rPr>
          <w:sz w:val="20"/>
          <w:szCs w:val="20"/>
          <w:color w:val="auto"/>
        </w:rPr>
      </w:pPr>
      <w:r>
        <w:rPr>
          <w:rFonts w:ascii="Arial" w:cs="Arial" w:eastAsia="Arial" w:hAnsi="Arial"/>
          <w:sz w:val="15"/>
          <w:szCs w:val="15"/>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 risks.</w:t>
      </w:r>
    </w:p>
    <w:p>
      <w:pPr>
        <w:spacing w:after="0" w:line="209" w:lineRule="exact"/>
        <w:rPr>
          <w:sz w:val="20"/>
          <w:szCs w:val="20"/>
          <w:color w:val="auto"/>
        </w:rPr>
      </w:pPr>
    </w:p>
    <w:p>
      <w:pPr>
        <w:ind w:right="140" w:firstLine="674"/>
        <w:spacing w:after="0" w:line="271" w:lineRule="auto"/>
        <w:rPr>
          <w:sz w:val="20"/>
          <w:szCs w:val="20"/>
          <w:color w:val="auto"/>
        </w:rPr>
      </w:pPr>
      <w:r>
        <w:rPr>
          <w:rFonts w:ascii="Arial" w:cs="Arial" w:eastAsia="Arial" w:hAnsi="Arial"/>
          <w:sz w:val="16"/>
          <w:szCs w:val="16"/>
          <w:color w:val="auto"/>
        </w:rPr>
        <w:t>We had cash and cash equivalents of $373.1 million as of September 30, 2020,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3" w:lineRule="exact"/>
        <w:rPr>
          <w:sz w:val="20"/>
          <w:szCs w:val="20"/>
          <w:color w:val="auto"/>
        </w:rPr>
      </w:pPr>
    </w:p>
    <w:p>
      <w:pPr>
        <w:ind w:right="200" w:firstLine="674"/>
        <w:spacing w:after="0" w:line="287"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13" w:lineRule="exact"/>
        <w:rPr>
          <w:sz w:val="20"/>
          <w:szCs w:val="20"/>
          <w:color w:val="auto"/>
        </w:rPr>
      </w:pPr>
    </w:p>
    <w:p>
      <w:pPr>
        <w:ind w:firstLine="693"/>
        <w:spacing w:after="0" w:line="283" w:lineRule="auto"/>
        <w:rPr>
          <w:sz w:val="20"/>
          <w:szCs w:val="20"/>
          <w:color w:val="auto"/>
        </w:rPr>
      </w:pPr>
      <w:r>
        <w:rPr>
          <w:rFonts w:ascii="Arial" w:cs="Arial" w:eastAsia="Arial" w:hAnsi="Arial"/>
          <w:sz w:val="15"/>
          <w:szCs w:val="15"/>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55" w:lineRule="exact"/>
        <w:rPr>
          <w:sz w:val="20"/>
          <w:szCs w:val="20"/>
          <w:color w:val="auto"/>
        </w:rPr>
      </w:pPr>
    </w:p>
    <w:p>
      <w:pPr>
        <w:jc w:val="both"/>
        <w:ind w:right="180" w:firstLine="693"/>
        <w:spacing w:after="0" w:line="327" w:lineRule="auto"/>
        <w:rPr>
          <w:sz w:val="20"/>
          <w:szCs w:val="20"/>
          <w:color w:val="auto"/>
        </w:rPr>
      </w:pPr>
      <w:r>
        <w:rPr>
          <w:rFonts w:ascii="Arial" w:cs="Arial" w:eastAsia="Arial" w:hAnsi="Arial"/>
          <w:sz w:val="14"/>
          <w:szCs w:val="14"/>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September 30, 2020.</w:t>
      </w:r>
    </w:p>
    <w:p>
      <w:pPr>
        <w:spacing w:after="0" w:line="30" w:lineRule="exact"/>
        <w:rPr>
          <w:sz w:val="20"/>
          <w:szCs w:val="20"/>
          <w:color w:val="auto"/>
        </w:rPr>
      </w:pPr>
    </w:p>
    <w:p>
      <w:pPr>
        <w:ind w:right="500" w:firstLine="674"/>
        <w:spacing w:after="0" w:line="287" w:lineRule="auto"/>
        <w:rPr>
          <w:sz w:val="20"/>
          <w:szCs w:val="20"/>
          <w:color w:val="auto"/>
        </w:rPr>
      </w:pPr>
      <w:r>
        <w:rPr>
          <w:rFonts w:ascii="Arial" w:cs="Arial" w:eastAsia="Arial" w:hAnsi="Arial"/>
          <w:sz w:val="16"/>
          <w:szCs w:val="16"/>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00"/>
          </w:cols>
          <w:pgMar w:left="320" w:top="614"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are not currently involved in any litigation or legal proceedings that, in management’s opinion, are likely to have any material adverse effect on our company.</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311" w:lineRule="exact"/>
        <w:rPr>
          <w:sz w:val="20"/>
          <w:szCs w:val="20"/>
          <w:color w:val="auto"/>
        </w:rPr>
      </w:pPr>
    </w:p>
    <w:p>
      <w:pPr>
        <w:ind w:right="220"/>
        <w:spacing w:after="0" w:line="281"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Quarterly Report on Form 10-Q, including our condensed financial statements and the related notes appearing elsewhere in this Quarterly Report on Form 10-Q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 Summary</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297" w:lineRule="exact"/>
        <w:rPr>
          <w:sz w:val="20"/>
          <w:szCs w:val="20"/>
          <w:color w:val="auto"/>
        </w:rPr>
      </w:pPr>
    </w:p>
    <w:p>
      <w:pPr>
        <w:ind w:left="780" w:hanging="389"/>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limited operating history, have not initiated or completed any clinical trials, and have no products approved for commercial sale;</w:t>
      </w:r>
    </w:p>
    <w:p>
      <w:pPr>
        <w:spacing w:after="0" w:line="23" w:lineRule="exact"/>
        <w:rPr>
          <w:rFonts w:ascii="Arial" w:cs="Arial" w:eastAsia="Arial" w:hAnsi="Arial"/>
          <w:sz w:val="16"/>
          <w:szCs w:val="16"/>
          <w:color w:val="auto"/>
        </w:rPr>
      </w:pPr>
    </w:p>
    <w:p>
      <w:pPr>
        <w:ind w:left="780" w:right="14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incurred significant losses since our inception, and we expect to incur significant net losses for the foreseeable future and may not be able to achieve or sustain revenue or profitability in the future;</w:t>
      </w:r>
    </w:p>
    <w:p>
      <w:pPr>
        <w:ind w:left="780" w:right="34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ind w:left="780" w:right="10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expend our limited resources to pursue a particular product candidate or indication and fail to capitalize on product candidates or indications that may be more profitable or for which there is a greater likelihood of success;</w:t>
      </w:r>
    </w:p>
    <w:p>
      <w:pPr>
        <w:ind w:left="780" w:hanging="389"/>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even if this offering is successful, we will require substantial additional capital to finance our operations;</w:t>
      </w:r>
    </w:p>
    <w:p>
      <w:pPr>
        <w:spacing w:after="0" w:line="12" w:lineRule="exact"/>
        <w:rPr>
          <w:rFonts w:ascii="Arial" w:cs="Arial" w:eastAsia="Arial" w:hAnsi="Arial"/>
          <w:sz w:val="16"/>
          <w:szCs w:val="16"/>
          <w:color w:val="auto"/>
        </w:rPr>
      </w:pPr>
    </w:p>
    <w:p>
      <w:pPr>
        <w:ind w:left="780" w:right="32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ind w:left="780" w:right="380" w:hanging="389"/>
        <w:spacing w:after="0" w:line="292"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1" w:lineRule="exact"/>
        <w:rPr>
          <w:rFonts w:ascii="Arial" w:cs="Arial" w:eastAsia="Arial" w:hAnsi="Arial"/>
          <w:sz w:val="14"/>
          <w:szCs w:val="14"/>
          <w:color w:val="auto"/>
        </w:rPr>
      </w:pPr>
    </w:p>
    <w:p>
      <w:pPr>
        <w:ind w:left="780" w:right="38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1" w:lineRule="exact"/>
        <w:rPr>
          <w:rFonts w:ascii="Arial" w:cs="Arial" w:eastAsia="Arial" w:hAnsi="Arial"/>
          <w:sz w:val="16"/>
          <w:szCs w:val="16"/>
          <w:color w:val="auto"/>
        </w:rPr>
      </w:pPr>
    </w:p>
    <w:p>
      <w:pPr>
        <w:ind w:left="780" w:right="4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ind w:left="780" w:right="120" w:hanging="389"/>
        <w:spacing w:after="0" w:line="25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ind w:left="780" w:right="60" w:hanging="389"/>
        <w:spacing w:after="0" w:line="27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regulatory approval processes of the FDA and other comparable foreign regulatory authorities are lengthy, time consuming and inherently unpredictable. If we are not able to obtain required regulatory approvals for our product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ind w:left="780"/>
        <w:spacing w:after="0"/>
        <w:rPr>
          <w:sz w:val="20"/>
          <w:szCs w:val="20"/>
          <w:color w:val="auto"/>
        </w:rPr>
      </w:pPr>
      <w:r>
        <w:rPr>
          <w:rFonts w:ascii="Arial" w:cs="Arial" w:eastAsia="Arial" w:hAnsi="Arial"/>
          <w:sz w:val="16"/>
          <w:szCs w:val="16"/>
          <w:color w:val="auto"/>
        </w:rPr>
        <w:t>candidates, we will not be able to commercialize our product candidates, and our ability to generate revenue will be materially impaired;</w:t>
      </w:r>
    </w:p>
    <w:p>
      <w:pPr>
        <w:spacing w:after="0" w:line="24" w:lineRule="exact"/>
        <w:rPr>
          <w:sz w:val="20"/>
          <w:szCs w:val="20"/>
          <w:color w:val="auto"/>
        </w:rPr>
      </w:pPr>
    </w:p>
    <w:p>
      <w:pPr>
        <w:ind w:left="780" w:right="300" w:hanging="389"/>
        <w:spacing w:after="0" w:line="25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currently rely, and plan to rely in the future, on third parties to conduct and support preclinical and clinical development, and these third parties may not meet expectations;</w:t>
      </w:r>
    </w:p>
    <w:p>
      <w:pPr>
        <w:ind w:left="780" w:right="180" w:hanging="389"/>
        <w:spacing w:after="0" w:line="25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ind w:left="780" w:hanging="38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intellectual property; and</w:t>
      </w:r>
    </w:p>
    <w:p>
      <w:pPr>
        <w:spacing w:after="0" w:line="12" w:lineRule="exact"/>
        <w:rPr>
          <w:rFonts w:ascii="Arial" w:cs="Arial" w:eastAsia="Arial" w:hAnsi="Arial"/>
          <w:sz w:val="16"/>
          <w:szCs w:val="16"/>
          <w:color w:val="auto"/>
        </w:rPr>
      </w:pPr>
    </w:p>
    <w:p>
      <w:pPr>
        <w:ind w:left="780" w:hanging="38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develop companion diagnostics with third party collaborators, which must also separately be approved as medical devices by the FDA.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Limited Operating History, Business, Financial Condition, Results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Operations and Need for Additional Capital</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right="60" w:firstLine="674"/>
        <w:spacing w:after="0" w:line="302" w:lineRule="auto"/>
        <w:rPr>
          <w:sz w:val="20"/>
          <w:szCs w:val="20"/>
          <w:color w:val="auto"/>
        </w:rPr>
      </w:pPr>
      <w:r>
        <w:rPr>
          <w:rFonts w:ascii="Arial" w:cs="Arial" w:eastAsia="Arial" w:hAnsi="Arial"/>
          <w:sz w:val="14"/>
          <w:szCs w:val="14"/>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recently received authorization to proceed under an investigational new drug application, or IND, with the U.S. Food and Drug Administration, or FDA, in September 2020. In October 2020, we received fast track designation for PC14586 from the FDA.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48" w:lineRule="exact"/>
        <w:rPr>
          <w:sz w:val="20"/>
          <w:szCs w:val="20"/>
          <w:color w:val="auto"/>
        </w:rPr>
      </w:pPr>
    </w:p>
    <w:p>
      <w:pPr>
        <w:ind w:right="420" w:firstLine="674"/>
        <w:spacing w:after="0" w:line="271" w:lineRule="auto"/>
        <w:rPr>
          <w:sz w:val="20"/>
          <w:szCs w:val="20"/>
          <w:color w:val="auto"/>
        </w:rPr>
      </w:pPr>
      <w:r>
        <w:rPr>
          <w:rFonts w:ascii="Arial" w:cs="Arial" w:eastAsia="Arial" w:hAnsi="Arial"/>
          <w:sz w:val="16"/>
          <w:szCs w:val="16"/>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3" w:lineRule="exact"/>
        <w:rPr>
          <w:sz w:val="20"/>
          <w:szCs w:val="20"/>
          <w:color w:val="auto"/>
        </w:rPr>
      </w:pPr>
    </w:p>
    <w:p>
      <w:pPr>
        <w:jc w:val="both"/>
        <w:ind w:right="440" w:firstLine="674"/>
        <w:spacing w:after="0" w:line="271" w:lineRule="auto"/>
        <w:rPr>
          <w:sz w:val="20"/>
          <w:szCs w:val="20"/>
          <w:color w:val="auto"/>
        </w:rPr>
      </w:pPr>
      <w:r>
        <w:rPr>
          <w:rFonts w:ascii="Arial" w:cs="Arial" w:eastAsia="Arial" w:hAnsi="Arial"/>
          <w:sz w:val="16"/>
          <w:szCs w:val="16"/>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6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51" w:lineRule="exact"/>
        <w:rPr>
          <w:sz w:val="20"/>
          <w:szCs w:val="20"/>
          <w:color w:val="auto"/>
        </w:rPr>
      </w:pPr>
    </w:p>
    <w:p>
      <w:pPr>
        <w:ind w:right="40" w:firstLine="674"/>
        <w:spacing w:after="0" w:line="285" w:lineRule="auto"/>
        <w:rPr>
          <w:sz w:val="20"/>
          <w:szCs w:val="20"/>
          <w:color w:val="auto"/>
        </w:rPr>
      </w:pPr>
      <w:r>
        <w:rPr>
          <w:rFonts w:ascii="Arial" w:cs="Arial" w:eastAsia="Arial" w:hAnsi="Arial"/>
          <w:sz w:val="15"/>
          <w:szCs w:val="15"/>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55" w:lineRule="exact"/>
        <w:rPr>
          <w:sz w:val="20"/>
          <w:szCs w:val="20"/>
          <w:color w:val="auto"/>
        </w:rPr>
      </w:pPr>
    </w:p>
    <w:p>
      <w:pPr>
        <w:ind w:right="80" w:firstLine="674"/>
        <w:spacing w:after="0" w:line="266" w:lineRule="auto"/>
        <w:rPr>
          <w:sz w:val="20"/>
          <w:szCs w:val="20"/>
          <w:color w:val="auto"/>
        </w:rPr>
      </w:pPr>
      <w:r>
        <w:rPr>
          <w:rFonts w:ascii="Arial" w:cs="Arial" w:eastAsia="Arial" w:hAnsi="Arial"/>
          <w:sz w:val="16"/>
          <w:szCs w:val="16"/>
          <w:color w:val="auto"/>
        </w:rPr>
        <w:t>We have incurred significant net losses in each period since we commenced operations in March 2013. Our net losses were $25.4 million and $17.5 million for the years ended December 31, 2019 and 2018, respectively, and $24.0 million and $18.3 million for the nine months ended September 30, 2020 and 2019, respectively. As of September 30, 2020, we had an accumulated deficit of $99.4 million. Substantially all of our losses have resulted from expenses incurred in connection with our research and development programs and from general and administrative costs associated with our operations.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7" w:name="page28"/>
    <w:bookmarkEnd w:id="27"/>
    <w:p>
      <w:pPr>
        <w:ind w:right="160"/>
        <w:spacing w:after="0" w:line="287" w:lineRule="auto"/>
        <w:rPr>
          <w:sz w:val="20"/>
          <w:szCs w:val="20"/>
          <w:color w:val="auto"/>
        </w:rPr>
      </w:pPr>
      <w:r>
        <w:rPr>
          <w:rFonts w:ascii="Arial" w:cs="Arial" w:eastAsia="Arial" w:hAnsi="Arial"/>
          <w:sz w:val="16"/>
          <w:szCs w:val="16"/>
          <w:color w:val="auto"/>
        </w:rPr>
        <w:t>Additionally, the net losses we incur may fluctuate significantly from quarter to quarter such that a period-to-period comparison of our results of operations may not be a good indicator of our future performance.</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expect to continue to incur significant losses for the foreseeable future, and we expect these losses to increase substantially if and as we:</w:t>
      </w:r>
    </w:p>
    <w:p>
      <w:pPr>
        <w:spacing w:after="0" w:line="115" w:lineRule="exact"/>
        <w:rPr>
          <w:sz w:val="20"/>
          <w:szCs w:val="20"/>
          <w:color w:val="auto"/>
        </w:rPr>
      </w:pPr>
    </w:p>
    <w:p>
      <w:pPr>
        <w:ind w:left="960" w:hanging="298"/>
        <w:spacing w:after="0"/>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continue our research and development efforts and submit INDs for our lead product candidate and any other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conduct preclinical studies and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seek marketing approvals for any product candidates that successfully complete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experience any delays or encounter any issues with any of the above, including but not limited to failed studies, complex results, safety issues or other regulatory challenges;</w:t>
      </w:r>
    </w:p>
    <w:p>
      <w:pPr>
        <w:spacing w:after="0" w:line="133" w:lineRule="exact"/>
        <w:rPr>
          <w:rFonts w:ascii="Arial" w:cs="Arial" w:eastAsia="Arial" w:hAnsi="Arial"/>
          <w:sz w:val="13"/>
          <w:szCs w:val="13"/>
          <w:color w:val="auto"/>
        </w:rPr>
      </w:pPr>
    </w:p>
    <w:p>
      <w:pPr>
        <w:ind w:left="960" w:right="540" w:hanging="298"/>
        <w:spacing w:after="0" w:line="277" w:lineRule="auto"/>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obtain, expand, maintain, enforce and protect our intellectual property portfolio;</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hire additional clinical, regulatory and scientific personnel;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operate as a public company.</w:t>
      </w:r>
    </w:p>
    <w:p>
      <w:pPr>
        <w:spacing w:after="0" w:line="204" w:lineRule="exact"/>
        <w:rPr>
          <w:sz w:val="20"/>
          <w:szCs w:val="20"/>
          <w:color w:val="auto"/>
        </w:rPr>
      </w:pPr>
    </w:p>
    <w:p>
      <w:pPr>
        <w:ind w:right="60" w:firstLine="674"/>
        <w:spacing w:after="0" w:line="262" w:lineRule="auto"/>
        <w:rPr>
          <w:sz w:val="20"/>
          <w:szCs w:val="20"/>
          <w:color w:val="auto"/>
        </w:rPr>
      </w:pPr>
      <w:r>
        <w:rPr>
          <w:rFonts w:ascii="Arial" w:cs="Arial" w:eastAsia="Arial" w:hAnsi="Arial"/>
          <w:sz w:val="16"/>
          <w:szCs w:val="16"/>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69" w:lineRule="exact"/>
        <w:rPr>
          <w:sz w:val="20"/>
          <w:szCs w:val="20"/>
          <w:color w:val="auto"/>
        </w:rPr>
      </w:pPr>
    </w:p>
    <w:p>
      <w:pPr>
        <w:ind w:right="120"/>
        <w:spacing w:after="0" w:line="362" w:lineRule="auto"/>
        <w:rPr>
          <w:sz w:val="20"/>
          <w:szCs w:val="20"/>
          <w:color w:val="auto"/>
        </w:rPr>
      </w:pPr>
      <w:r>
        <w:rPr>
          <w:rFonts w:ascii="Arial" w:cs="Arial" w:eastAsia="Arial" w:hAnsi="Arial"/>
          <w:sz w:val="14"/>
          <w:szCs w:val="14"/>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6" w:lineRule="exact"/>
        <w:rPr>
          <w:sz w:val="20"/>
          <w:szCs w:val="20"/>
          <w:color w:val="auto"/>
        </w:rPr>
      </w:pPr>
    </w:p>
    <w:p>
      <w:pPr>
        <w:ind w:right="20" w:firstLine="674"/>
        <w:spacing w:after="0" w:line="281" w:lineRule="auto"/>
        <w:rPr>
          <w:sz w:val="20"/>
          <w:szCs w:val="20"/>
          <w:color w:val="auto"/>
        </w:rPr>
      </w:pPr>
      <w:r>
        <w:rPr>
          <w:rFonts w:ascii="Arial" w:cs="Arial" w:eastAsia="Arial" w:hAnsi="Arial"/>
          <w:sz w:val="15"/>
          <w:szCs w:val="15"/>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65" w:lineRule="exact"/>
        <w:rPr>
          <w:sz w:val="20"/>
          <w:szCs w:val="20"/>
          <w:color w:val="auto"/>
        </w:rPr>
      </w:pPr>
    </w:p>
    <w:p>
      <w:pPr>
        <w:ind w:left="960" w:right="420" w:hanging="298"/>
        <w:spacing w:after="0" w:line="313" w:lineRule="auto"/>
        <w:tabs>
          <w:tab w:leader="none" w:pos="9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46" w:lineRule="exact"/>
        <w:rPr>
          <w:rFonts w:ascii="Arial" w:cs="Arial" w:eastAsia="Arial" w:hAnsi="Arial"/>
          <w:sz w:val="14"/>
          <w:szCs w:val="14"/>
          <w:color w:val="auto"/>
        </w:rPr>
      </w:pPr>
    </w:p>
    <w:p>
      <w:pPr>
        <w:ind w:left="960" w:right="160" w:hanging="298"/>
        <w:spacing w:after="0" w:line="277"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establishing and maintaining relationships with contract research organizations, or CROs, and clinical sites for the clinical development of PC14586 and our future product candidates;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complete IND-enabling studies and successfully submit and receive authorization to proceed under INDs or comparable applications;</w:t>
      </w:r>
    </w:p>
    <w:p>
      <w:pPr>
        <w:spacing w:after="0" w:line="110" w:lineRule="exact"/>
        <w:rPr>
          <w:rFonts w:ascii="Arial" w:cs="Arial" w:eastAsia="Arial" w:hAnsi="Arial"/>
          <w:sz w:val="15"/>
          <w:szCs w:val="15"/>
          <w:color w:val="auto"/>
        </w:rPr>
      </w:pPr>
    </w:p>
    <w:p>
      <w:pPr>
        <w:ind w:left="960" w:right="140" w:hanging="298"/>
        <w:spacing w:after="0" w:line="277"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8" w:lineRule="exact"/>
        <w:rPr>
          <w:rFonts w:ascii="Arial" w:cs="Arial" w:eastAsia="Arial" w:hAnsi="Arial"/>
          <w:sz w:val="15"/>
          <w:szCs w:val="15"/>
          <w:color w:val="auto"/>
        </w:rPr>
      </w:pPr>
    </w:p>
    <w:p>
      <w:pPr>
        <w:ind w:left="960" w:hanging="298"/>
        <w:spacing w:after="0" w:line="266" w:lineRule="auto"/>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77" w:lineRule="exact"/>
        <w:rPr>
          <w:rFonts w:ascii="Arial" w:cs="Arial" w:eastAsia="Arial" w:hAnsi="Arial"/>
          <w:sz w:val="15"/>
          <w:szCs w:val="15"/>
          <w:color w:val="auto"/>
        </w:rPr>
      </w:pPr>
    </w:p>
    <w:p>
      <w:pPr>
        <w:ind w:left="960" w:hanging="298"/>
        <w:spacing w:after="0"/>
        <w:tabs>
          <w:tab w:leader="none" w:pos="9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prevalence, duration and severity of potential side effects or other safety issues experienced with our product candidates or future product candidates, if any;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28" w:name="page29"/>
    <w:bookmarkEnd w:id="28"/>
    <w:p>
      <w:pPr>
        <w:ind w:left="960" w:hanging="29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timely receipt of necessary marketing approvals from the FDA and comparable foreign regulatory authorities;</w:t>
      </w:r>
    </w:p>
    <w:p>
      <w:pPr>
        <w:spacing w:after="0" w:line="110" w:lineRule="exact"/>
        <w:rPr>
          <w:rFonts w:ascii="Arial" w:cs="Arial" w:eastAsia="Arial" w:hAnsi="Arial"/>
          <w:sz w:val="15"/>
          <w:szCs w:val="15"/>
          <w:color w:val="auto"/>
        </w:rPr>
      </w:pPr>
    </w:p>
    <w:p>
      <w:pPr>
        <w:ind w:left="960" w:right="600" w:hanging="298"/>
        <w:spacing w:after="0" w:line="277"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68" w:lineRule="exact"/>
        <w:rPr>
          <w:rFonts w:ascii="Arial" w:cs="Arial" w:eastAsia="Arial" w:hAnsi="Arial"/>
          <w:sz w:val="15"/>
          <w:szCs w:val="15"/>
          <w:color w:val="auto"/>
        </w:rPr>
      </w:pPr>
    </w:p>
    <w:p>
      <w:pPr>
        <w:ind w:left="960" w:right="240" w:hanging="298"/>
        <w:spacing w:after="0" w:line="277"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68" w:lineRule="exact"/>
        <w:rPr>
          <w:rFonts w:ascii="Arial" w:cs="Arial" w:eastAsia="Arial" w:hAnsi="Arial"/>
          <w:sz w:val="15"/>
          <w:szCs w:val="15"/>
          <w:color w:val="auto"/>
        </w:rPr>
      </w:pPr>
    </w:p>
    <w:p>
      <w:pPr>
        <w:ind w:left="960" w:right="180" w:hanging="298"/>
        <w:spacing w:after="0" w:line="266"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7" w:lineRule="exact"/>
        <w:rPr>
          <w:rFonts w:ascii="Arial" w:cs="Arial" w:eastAsia="Arial" w:hAnsi="Arial"/>
          <w:sz w:val="15"/>
          <w:szCs w:val="15"/>
          <w:color w:val="auto"/>
        </w:rPr>
      </w:pPr>
    </w:p>
    <w:p>
      <w:pPr>
        <w:ind w:left="960" w:right="400" w:hanging="298"/>
        <w:spacing w:after="0" w:line="356" w:lineRule="auto"/>
        <w:tabs>
          <w:tab w:leader="none" w:pos="9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23" w:lineRule="exact"/>
        <w:rPr>
          <w:rFonts w:ascii="Arial" w:cs="Arial" w:eastAsia="Arial" w:hAnsi="Arial"/>
          <w:sz w:val="13"/>
          <w:szCs w:val="13"/>
          <w:color w:val="auto"/>
        </w:rPr>
      </w:pPr>
    </w:p>
    <w:p>
      <w:pPr>
        <w:ind w:left="960" w:hanging="29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patient demand for our product candidates and any future product candidates, if approved;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establish and enforce intellectual property rights in and to our product candidates or any future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obtaining coverage and adequate reimbursement by third-party payors for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addressing any competing therapies and technological and market developments;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attracting, hiring and retaining qualified personnel.</w:t>
      </w:r>
    </w:p>
    <w:p>
      <w:pPr>
        <w:spacing w:after="0" w:line="204" w:lineRule="exact"/>
        <w:rPr>
          <w:sz w:val="20"/>
          <w:szCs w:val="20"/>
          <w:color w:val="auto"/>
        </w:rPr>
      </w:pPr>
    </w:p>
    <w:p>
      <w:pPr>
        <w:ind w:right="60" w:firstLine="674"/>
        <w:spacing w:after="0" w:line="266" w:lineRule="auto"/>
        <w:rPr>
          <w:sz w:val="20"/>
          <w:szCs w:val="20"/>
          <w:color w:val="auto"/>
        </w:rPr>
      </w:pPr>
      <w:r>
        <w:rPr>
          <w:rFonts w:ascii="Arial" w:cs="Arial" w:eastAsia="Arial" w:hAnsi="Arial"/>
          <w:sz w:val="16"/>
          <w:szCs w:val="16"/>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5"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65" w:lineRule="exact"/>
        <w:rPr>
          <w:sz w:val="20"/>
          <w:szCs w:val="20"/>
          <w:color w:val="auto"/>
        </w:rPr>
      </w:pPr>
    </w:p>
    <w:p>
      <w:pPr>
        <w:ind w:right="100" w:firstLine="674"/>
        <w:spacing w:after="0" w:line="271" w:lineRule="auto"/>
        <w:rPr>
          <w:sz w:val="20"/>
          <w:szCs w:val="20"/>
          <w:color w:val="auto"/>
        </w:rPr>
      </w:pPr>
      <w:r>
        <w:rPr>
          <w:rFonts w:ascii="Arial" w:cs="Arial" w:eastAsia="Arial" w:hAnsi="Arial"/>
          <w:sz w:val="16"/>
          <w:szCs w:val="16"/>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3" w:lineRule="exact"/>
        <w:rPr>
          <w:sz w:val="20"/>
          <w:szCs w:val="20"/>
          <w:color w:val="auto"/>
        </w:rPr>
      </w:pPr>
    </w:p>
    <w:p>
      <w:pPr>
        <w:ind w:right="120" w:firstLine="674"/>
        <w:spacing w:after="0" w:line="280" w:lineRule="auto"/>
        <w:rPr>
          <w:sz w:val="20"/>
          <w:szCs w:val="20"/>
          <w:color w:val="auto"/>
        </w:rPr>
      </w:pPr>
      <w:r>
        <w:rPr>
          <w:rFonts w:ascii="Arial" w:cs="Arial" w:eastAsia="Arial" w:hAnsi="Arial"/>
          <w:sz w:val="15"/>
          <w:szCs w:val="15"/>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57" w:lineRule="exact"/>
        <w:rPr>
          <w:sz w:val="20"/>
          <w:szCs w:val="20"/>
          <w:color w:val="auto"/>
        </w:rPr>
      </w:pPr>
    </w:p>
    <w:p>
      <w:pPr>
        <w:ind w:right="280"/>
        <w:spacing w:after="0" w:line="362" w:lineRule="auto"/>
        <w:rPr>
          <w:sz w:val="20"/>
          <w:szCs w:val="20"/>
          <w:color w:val="auto"/>
        </w:rPr>
      </w:pPr>
      <w:r>
        <w:rPr>
          <w:rFonts w:ascii="Arial" w:cs="Arial" w:eastAsia="Arial" w:hAnsi="Arial"/>
          <w:sz w:val="14"/>
          <w:szCs w:val="14"/>
          <w:b w:val="1"/>
          <w:bCs w:val="1"/>
          <w:i w:val="1"/>
          <w:iCs w:val="1"/>
          <w:color w:val="auto"/>
        </w:rPr>
        <w:t>We will require substantial additional capital to finance our operation in the future. If we are unable to raise such capital when needed, or on acceptable terms, we may be forced to delay, reduce and/or eliminate one or more of our research and product development programs or future commercialization efforts.</w:t>
      </w:r>
    </w:p>
    <w:p>
      <w:pPr>
        <w:spacing w:after="0" w:line="6" w:lineRule="exact"/>
        <w:rPr>
          <w:sz w:val="20"/>
          <w:szCs w:val="20"/>
          <w:color w:val="auto"/>
        </w:rPr>
      </w:pPr>
    </w:p>
    <w:p>
      <w:pPr>
        <w:ind w:right="60" w:firstLine="674"/>
        <w:spacing w:after="0" w:line="262"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9" w:name="page30"/>
    <w:bookmarkEnd w:id="29"/>
    <w:p>
      <w:pPr>
        <w:ind w:right="220"/>
        <w:spacing w:after="0" w:line="266" w:lineRule="auto"/>
        <w:rPr>
          <w:sz w:val="20"/>
          <w:szCs w:val="20"/>
          <w:color w:val="auto"/>
        </w:rPr>
      </w:pPr>
      <w:r>
        <w:rPr>
          <w:rFonts w:ascii="Arial" w:cs="Arial" w:eastAsia="Arial" w:hAnsi="Arial"/>
          <w:sz w:val="16"/>
          <w:szCs w:val="16"/>
          <w:color w:val="auto"/>
        </w:rPr>
        <w:t>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operating as a public company. Accordingly, we will need to obtain substantial additional funding in order to continue our operations.</w:t>
      </w:r>
    </w:p>
    <w:p>
      <w:pPr>
        <w:spacing w:after="0" w:line="167" w:lineRule="exact"/>
        <w:rPr>
          <w:sz w:val="20"/>
          <w:szCs w:val="20"/>
          <w:color w:val="auto"/>
        </w:rPr>
      </w:pPr>
    </w:p>
    <w:p>
      <w:pPr>
        <w:ind w:right="120" w:firstLine="674"/>
        <w:spacing w:after="0" w:line="261" w:lineRule="auto"/>
        <w:rPr>
          <w:sz w:val="20"/>
          <w:szCs w:val="20"/>
          <w:color w:val="auto"/>
        </w:rPr>
      </w:pPr>
      <w:r>
        <w:rPr>
          <w:rFonts w:ascii="Arial" w:cs="Arial" w:eastAsia="Arial" w:hAnsi="Arial"/>
          <w:sz w:val="16"/>
          <w:szCs w:val="16"/>
          <w:color w:val="auto"/>
        </w:rPr>
        <w:t>As of September 30, 2020, we had $373.1 million in cash, cash equivalents and short-term marketable securities. On September 29, 2020, we completed our initial public offering, or IPO, selling 13,529,750 shares of common stock at a public offering price of $18.00 per share, which includes 1,764,750 shares sold upon full exercise of the underwriters’ option to purchase additional shares of common stock. The aggregate proceeds from the offering, net of underwriting discounts and commissions and other offering expenses, were approximately $223.1 million. Although we believe that our available cash and cash equivalents will be sufficient to fund our planned operations through 2023,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115" w:lineRule="exact"/>
        <w:rPr>
          <w:sz w:val="20"/>
          <w:szCs w:val="20"/>
          <w:color w:val="auto"/>
        </w:rPr>
      </w:pPr>
    </w:p>
    <w:p>
      <w:pPr>
        <w:ind w:left="960" w:right="280" w:hanging="298"/>
        <w:spacing w:after="0" w:line="277"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timing of, and the costs involved in, obtaining regulatory approvals for our product candidates or any future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number and characteristics of any additional product candidates we develop or acquire;</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timing and amount of any milestone, royalty and/or other payments we are required to make pursuant to any future license or collaboration agreements;</w:t>
      </w:r>
    </w:p>
    <w:p>
      <w:pPr>
        <w:spacing w:after="0" w:line="121" w:lineRule="exact"/>
        <w:rPr>
          <w:rFonts w:ascii="Arial" w:cs="Arial" w:eastAsia="Arial" w:hAnsi="Arial"/>
          <w:sz w:val="14"/>
          <w:szCs w:val="14"/>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 of manufacturing our product candidates or any future product candidates and any products we successfully commercialize;</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 of building a sales force in anticipation of product commercialization;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 of commercialization activities of our product candidates, if approved for sale, including marketing, sales and distribution costs;</w:t>
      </w:r>
    </w:p>
    <w:p>
      <w:pPr>
        <w:spacing w:after="0" w:line="110" w:lineRule="exact"/>
        <w:rPr>
          <w:rFonts w:ascii="Arial" w:cs="Arial" w:eastAsia="Arial" w:hAnsi="Arial"/>
          <w:sz w:val="15"/>
          <w:szCs w:val="15"/>
          <w:color w:val="auto"/>
        </w:rPr>
      </w:pPr>
    </w:p>
    <w:p>
      <w:pPr>
        <w:ind w:left="960" w:right="140" w:hanging="298"/>
        <w:spacing w:after="0" w:line="277"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product liability or other lawsuits related to our products;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expenses needed to attract, hire and retain skilled personnel;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associated with being a public company;</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involved in preparing, filing, prosecuting, maintaining, defending and enforcing our intellectual property portfolio;</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timing, receipt and amount of sales of any future approved products;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impact of the COVID-19 pandemic, which may exacerbate the magnitude of the factors discussed above.</w:t>
      </w:r>
    </w:p>
    <w:p>
      <w:pPr>
        <w:spacing w:after="0" w:line="204"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Risks Related to Product Development</w:t>
      </w:r>
    </w:p>
    <w:p>
      <w:pPr>
        <w:spacing w:after="0" w:line="213" w:lineRule="exact"/>
        <w:rPr>
          <w:sz w:val="20"/>
          <w:szCs w:val="20"/>
          <w:color w:val="auto"/>
        </w:rPr>
      </w:pPr>
    </w:p>
    <w:p>
      <w:pPr>
        <w:ind w:right="460"/>
        <w:spacing w:after="0" w:line="271" w:lineRule="auto"/>
        <w:rPr>
          <w:sz w:val="20"/>
          <w:szCs w:val="20"/>
          <w:color w:val="auto"/>
        </w:rPr>
      </w:pPr>
      <w:r>
        <w:rPr>
          <w:rFonts w:ascii="Arial" w:cs="Arial" w:eastAsia="Arial" w:hAnsi="Arial"/>
          <w:sz w:val="16"/>
          <w:szCs w:val="16"/>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65" w:lineRule="exact"/>
        <w:rPr>
          <w:sz w:val="20"/>
          <w:szCs w:val="20"/>
          <w:color w:val="auto"/>
        </w:rPr>
      </w:pPr>
    </w:p>
    <w:p>
      <w:pPr>
        <w:ind w:right="40" w:firstLine="674"/>
        <w:spacing w:after="0" w:line="310" w:lineRule="auto"/>
        <w:rPr>
          <w:sz w:val="20"/>
          <w:szCs w:val="20"/>
          <w:color w:val="auto"/>
        </w:rPr>
      </w:pPr>
      <w:r>
        <w:rPr>
          <w:rFonts w:ascii="Arial" w:cs="Arial" w:eastAsia="Arial" w:hAnsi="Arial"/>
          <w:sz w:val="14"/>
          <w:szCs w:val="14"/>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39" w:lineRule="exact"/>
        <w:rPr>
          <w:sz w:val="20"/>
          <w:szCs w:val="20"/>
          <w:color w:val="auto"/>
        </w:rPr>
      </w:pPr>
    </w:p>
    <w:p>
      <w:pPr>
        <w:ind w:right="180" w:firstLine="674"/>
        <w:spacing w:after="0" w:line="327" w:lineRule="auto"/>
        <w:rPr>
          <w:sz w:val="20"/>
          <w:szCs w:val="20"/>
          <w:color w:val="auto"/>
        </w:rPr>
      </w:pPr>
      <w:r>
        <w:rPr>
          <w:rFonts w:ascii="Arial" w:cs="Arial" w:eastAsia="Arial" w:hAnsi="Arial"/>
          <w:sz w:val="14"/>
          <w:szCs w:val="14"/>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28" w:lineRule="exact"/>
        <w:rPr>
          <w:sz w:val="20"/>
          <w:szCs w:val="20"/>
          <w:color w:val="auto"/>
        </w:rPr>
      </w:pPr>
    </w:p>
    <w:p>
      <w:pPr>
        <w:ind w:right="40" w:firstLine="674"/>
        <w:spacing w:after="0" w:line="306" w:lineRule="auto"/>
        <w:rPr>
          <w:sz w:val="20"/>
          <w:szCs w:val="20"/>
          <w:color w:val="auto"/>
        </w:rPr>
      </w:pPr>
      <w:r>
        <w:rPr>
          <w:rFonts w:ascii="Arial" w:cs="Arial" w:eastAsia="Arial" w:hAnsi="Arial"/>
          <w:sz w:val="14"/>
          <w:szCs w:val="14"/>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4"/>
          <w:szCs w:val="14"/>
          <w:i w:val="1"/>
          <w:iCs w:val="1"/>
          <w:color w:val="auto"/>
        </w:rPr>
        <w:t>i.e.</w:t>
      </w:r>
      <w:r>
        <w:rPr>
          <w:rFonts w:ascii="Arial" w:cs="Arial" w:eastAsia="Arial" w:hAnsi="Arial"/>
          <w:sz w:val="14"/>
          <w:szCs w:val="14"/>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 Further, even if our planned Phase 1/2 trial for PC14586 is successful, the FDA may not agree that such study can serve as a pivotal study, which would require us to conduct additional clinical trials prior to approval.</w:t>
      </w:r>
    </w:p>
    <w:p>
      <w:pPr>
        <w:spacing w:after="0" w:line="144" w:lineRule="exact"/>
        <w:rPr>
          <w:sz w:val="20"/>
          <w:szCs w:val="20"/>
          <w:color w:val="auto"/>
        </w:rPr>
      </w:pPr>
    </w:p>
    <w:p>
      <w:pPr>
        <w:ind w:right="40"/>
        <w:spacing w:after="0" w:line="327" w:lineRule="auto"/>
        <w:rPr>
          <w:sz w:val="20"/>
          <w:szCs w:val="20"/>
          <w:color w:val="auto"/>
        </w:rPr>
      </w:pPr>
      <w:r>
        <w:rPr>
          <w:rFonts w:ascii="Arial" w:cs="Arial" w:eastAsia="Arial" w:hAnsi="Arial"/>
          <w:sz w:val="14"/>
          <w:szCs w:val="14"/>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128" w:lineRule="exact"/>
        <w:rPr>
          <w:sz w:val="20"/>
          <w:szCs w:val="20"/>
          <w:color w:val="auto"/>
        </w:rPr>
      </w:pPr>
    </w:p>
    <w:p>
      <w:pPr>
        <w:ind w:firstLine="674"/>
        <w:spacing w:after="0" w:line="261" w:lineRule="auto"/>
        <w:rPr>
          <w:sz w:val="20"/>
          <w:szCs w:val="20"/>
          <w:color w:val="auto"/>
        </w:rPr>
      </w:pPr>
      <w:r>
        <w:rPr>
          <w:rFonts w:ascii="Arial" w:cs="Arial" w:eastAsia="Arial" w:hAnsi="Arial"/>
          <w:sz w:val="16"/>
          <w:szCs w:val="16"/>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78" w:lineRule="exact"/>
        <w:rPr>
          <w:sz w:val="20"/>
          <w:szCs w:val="20"/>
          <w:color w:val="auto"/>
        </w:rPr>
      </w:pPr>
    </w:p>
    <w:p>
      <w:pPr>
        <w:jc w:val="both"/>
        <w:ind w:left="960" w:right="120" w:hanging="298"/>
        <w:spacing w:after="0" w:line="266" w:lineRule="auto"/>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7"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successful completion of preclinical studies;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receipt of authorization to proceed under INDs for our planned clinical trials or future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FDA acceptance of our tumor-agnostic development strategy;</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successful initiation of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successful patient enrollment in and completion of clinical trials, which may be impacted by the COVID-19 pandemic;</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successful development with third party collaborators of companion diagnostics for use with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safety, tolerability and efficacy profiles for our product candidates that are satisfactory to the FDA or any foreign regulatory authority for marketing approval;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1" w:name="page32"/>
    <w:bookmarkEnd w:id="31"/>
    <w:p>
      <w:pPr>
        <w:ind w:left="960" w:right="1200" w:hanging="298"/>
        <w:spacing w:after="0" w:line="277" w:lineRule="auto"/>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receipt of marketing approvals for our product candidates and any companion diagnostics from applicable regulatory authorities, which must be approved contemporaneously;</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completion of any required post-marketing approval commitments to applicable regulatory authorities;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110" w:lineRule="exact"/>
        <w:rPr>
          <w:rFonts w:ascii="Arial" w:cs="Arial" w:eastAsia="Arial" w:hAnsi="Arial"/>
          <w:sz w:val="15"/>
          <w:szCs w:val="15"/>
          <w:color w:val="auto"/>
        </w:rPr>
      </w:pPr>
    </w:p>
    <w:p>
      <w:pPr>
        <w:ind w:left="960" w:right="140" w:hanging="298"/>
        <w:spacing w:after="0" w:line="277" w:lineRule="auto"/>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making arrangements with third-party manufacturers, or establishing manufacturing capabilities, for both clinical and commercial supplies of our product candidates, if any product candidates are approved;</w:t>
      </w:r>
    </w:p>
    <w:p>
      <w:pPr>
        <w:spacing w:after="0" w:line="68" w:lineRule="exact"/>
        <w:rPr>
          <w:rFonts w:ascii="Arial" w:cs="Arial" w:eastAsia="Arial" w:hAnsi="Arial"/>
          <w:sz w:val="15"/>
          <w:szCs w:val="15"/>
          <w:color w:val="auto"/>
        </w:rPr>
      </w:pPr>
    </w:p>
    <w:p>
      <w:pPr>
        <w:ind w:left="960" w:right="340" w:hanging="298"/>
        <w:spacing w:after="0" w:line="277" w:lineRule="auto"/>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establishing sales, marketing and distribution capabilities and launching commercial sales of our products, if and when approved, whether alone or in collaboration with others;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the medical community and third-party payors;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effectively competing with other cancer therapies;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obtaining and maintaining third-party coverage and adequate reimbursement;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maintaining a continued acceptable safety profile of our products following approval.</w:t>
      </w:r>
    </w:p>
    <w:p>
      <w:pPr>
        <w:spacing w:after="0" w:line="204" w:lineRule="exact"/>
        <w:rPr>
          <w:sz w:val="20"/>
          <w:szCs w:val="20"/>
          <w:color w:val="auto"/>
        </w:rPr>
      </w:pPr>
    </w:p>
    <w:p>
      <w:pPr>
        <w:ind w:right="340" w:firstLine="674"/>
        <w:spacing w:after="0" w:line="266" w:lineRule="auto"/>
        <w:rPr>
          <w:sz w:val="20"/>
          <w:szCs w:val="20"/>
          <w:color w:val="auto"/>
        </w:rPr>
      </w:pPr>
      <w:r>
        <w:rPr>
          <w:rFonts w:ascii="Arial" w:cs="Arial" w:eastAsia="Arial" w:hAnsi="Arial"/>
          <w:sz w:val="16"/>
          <w:szCs w:val="16"/>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67" w:lineRule="exact"/>
        <w:rPr>
          <w:sz w:val="20"/>
          <w:szCs w:val="20"/>
          <w:color w:val="auto"/>
        </w:rPr>
      </w:pPr>
    </w:p>
    <w:p>
      <w:pPr>
        <w:ind w:right="20" w:firstLine="674"/>
        <w:spacing w:after="0" w:line="278" w:lineRule="auto"/>
        <w:rPr>
          <w:sz w:val="20"/>
          <w:szCs w:val="20"/>
          <w:color w:val="auto"/>
        </w:rPr>
      </w:pPr>
      <w:r>
        <w:rPr>
          <w:rFonts w:ascii="Arial" w:cs="Arial" w:eastAsia="Arial" w:hAnsi="Arial"/>
          <w:sz w:val="15"/>
          <w:szCs w:val="15"/>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66" w:lineRule="exact"/>
        <w:rPr>
          <w:sz w:val="20"/>
          <w:szCs w:val="20"/>
          <w:color w:val="auto"/>
        </w:rPr>
      </w:pPr>
    </w:p>
    <w:p>
      <w:pPr>
        <w:ind w:right="60" w:firstLine="681"/>
        <w:spacing w:after="0" w:line="302" w:lineRule="auto"/>
        <w:rPr>
          <w:sz w:val="20"/>
          <w:szCs w:val="20"/>
          <w:color w:val="auto"/>
        </w:rPr>
      </w:pPr>
      <w:r>
        <w:rPr>
          <w:rFonts w:ascii="Arial" w:cs="Arial" w:eastAsia="Arial" w:hAnsi="Arial"/>
          <w:sz w:val="14"/>
          <w:szCs w:val="14"/>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4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51" w:lineRule="exact"/>
        <w:rPr>
          <w:sz w:val="20"/>
          <w:szCs w:val="20"/>
          <w:color w:val="auto"/>
        </w:rPr>
      </w:pPr>
    </w:p>
    <w:p>
      <w:pPr>
        <w:ind w:firstLine="681"/>
        <w:spacing w:after="0" w:line="264" w:lineRule="auto"/>
        <w:rPr>
          <w:sz w:val="20"/>
          <w:szCs w:val="20"/>
          <w:color w:val="auto"/>
        </w:rPr>
      </w:pPr>
      <w:r>
        <w:rPr>
          <w:rFonts w:ascii="Arial" w:cs="Arial" w:eastAsia="Arial" w:hAnsi="Arial"/>
          <w:sz w:val="16"/>
          <w:szCs w:val="16"/>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2" w:name="page33"/>
    <w:bookmarkEnd w:id="32"/>
    <w:p>
      <w:pPr>
        <w:ind w:right="280"/>
        <w:spacing w:after="0" w:line="287" w:lineRule="auto"/>
        <w:rPr>
          <w:sz w:val="20"/>
          <w:szCs w:val="20"/>
          <w:color w:val="auto"/>
        </w:rPr>
      </w:pPr>
      <w:r>
        <w:rPr>
          <w:rFonts w:ascii="Arial" w:cs="Arial" w:eastAsia="Arial" w:hAnsi="Arial"/>
          <w:sz w:val="16"/>
          <w:szCs w:val="16"/>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51" w:lineRule="exact"/>
        <w:rPr>
          <w:sz w:val="20"/>
          <w:szCs w:val="20"/>
          <w:color w:val="auto"/>
        </w:rPr>
      </w:pPr>
    </w:p>
    <w:p>
      <w:pPr>
        <w:ind w:firstLine="674"/>
        <w:spacing w:after="0" w:line="301" w:lineRule="auto"/>
        <w:rPr>
          <w:sz w:val="20"/>
          <w:szCs w:val="20"/>
          <w:color w:val="auto"/>
        </w:rPr>
      </w:pPr>
      <w:r>
        <w:rPr>
          <w:rFonts w:ascii="Arial" w:cs="Arial" w:eastAsia="Arial" w:hAnsi="Arial"/>
          <w:sz w:val="14"/>
          <w:szCs w:val="14"/>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48" w:lineRule="exact"/>
        <w:rPr>
          <w:sz w:val="20"/>
          <w:szCs w:val="20"/>
          <w:color w:val="auto"/>
        </w:rPr>
      </w:pPr>
    </w:p>
    <w:p>
      <w:pPr>
        <w:ind w:right="80" w:firstLine="674"/>
        <w:spacing w:after="0" w:line="264" w:lineRule="auto"/>
        <w:rPr>
          <w:sz w:val="20"/>
          <w:szCs w:val="20"/>
          <w:color w:val="auto"/>
        </w:rPr>
      </w:pPr>
      <w:r>
        <w:rPr>
          <w:rFonts w:ascii="Arial" w:cs="Arial" w:eastAsia="Arial" w:hAnsi="Arial"/>
          <w:sz w:val="16"/>
          <w:szCs w:val="16"/>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There can be no assurances that one or more of our future product candidates would succeed in correcting or restoring function of specific p53 mutants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that such mutation would be the only genetic mutation resulting in a patient’s cancer. In the event that a patient’s cancer is the result of other mutations or factors in addition to a p53 mutation, even if we correct or restore the p53 functionality, the patient’s cancer may persist.</w:t>
      </w:r>
    </w:p>
    <w:p>
      <w:pPr>
        <w:spacing w:after="0" w:line="167" w:lineRule="exact"/>
        <w:rPr>
          <w:sz w:val="20"/>
          <w:szCs w:val="20"/>
          <w:color w:val="auto"/>
        </w:rPr>
      </w:pPr>
    </w:p>
    <w:p>
      <w:pPr>
        <w:ind w:right="140" w:firstLine="674"/>
        <w:spacing w:after="0" w:line="287" w:lineRule="auto"/>
        <w:rPr>
          <w:sz w:val="20"/>
          <w:szCs w:val="20"/>
          <w:color w:val="auto"/>
        </w:rPr>
      </w:pPr>
      <w:r>
        <w:rPr>
          <w:rFonts w:ascii="Arial" w:cs="Arial" w:eastAsia="Arial" w:hAnsi="Arial"/>
          <w:sz w:val="16"/>
          <w:szCs w:val="16"/>
          <w:color w:val="auto"/>
        </w:rPr>
        <w:t>If we do not successfully develop and commercialize product candidates, we will not be able to generate product revenue which materially adversely affect our business, financial condition and results of operations.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65" w:lineRule="exact"/>
        <w:rPr>
          <w:sz w:val="20"/>
          <w:szCs w:val="20"/>
          <w:color w:val="auto"/>
        </w:rPr>
      </w:pPr>
    </w:p>
    <w:p>
      <w:pPr>
        <w:ind w:firstLine="674"/>
        <w:spacing w:after="0" w:line="280" w:lineRule="auto"/>
        <w:rPr>
          <w:sz w:val="20"/>
          <w:szCs w:val="20"/>
          <w:color w:val="auto"/>
        </w:rPr>
      </w:pPr>
      <w:r>
        <w:rPr>
          <w:rFonts w:ascii="Arial" w:cs="Arial" w:eastAsia="Arial" w:hAnsi="Arial"/>
          <w:sz w:val="15"/>
          <w:szCs w:val="15"/>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have submitted and received authorization to proceed under an IND for our lead product candidate, PC14586, we cannot be sure that we will be able to submit and receive authorizations to proceed under additional INDs or similar 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159" w:lineRule="exact"/>
        <w:rPr>
          <w:sz w:val="20"/>
          <w:szCs w:val="20"/>
          <w:color w:val="auto"/>
        </w:rPr>
      </w:pPr>
    </w:p>
    <w:p>
      <w:pPr>
        <w:ind w:right="80" w:firstLine="674"/>
        <w:spacing w:after="0" w:line="266"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3" w:lineRule="exact"/>
        <w:rPr>
          <w:sz w:val="20"/>
          <w:szCs w:val="20"/>
          <w:color w:val="auto"/>
        </w:rPr>
      </w:pPr>
    </w:p>
    <w:p>
      <w:pPr>
        <w:ind w:left="960" w:hanging="298"/>
        <w:spacing w:after="0"/>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inability to generate sufficient preclinical or other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data to support the initiation of clinical studies;</w:t>
      </w:r>
    </w:p>
    <w:p>
      <w:pPr>
        <w:spacing w:after="0" w:line="110" w:lineRule="exact"/>
        <w:rPr>
          <w:rFonts w:ascii="Arial" w:cs="Arial" w:eastAsia="Arial" w:hAnsi="Arial"/>
          <w:sz w:val="15"/>
          <w:szCs w:val="15"/>
          <w:color w:val="auto"/>
        </w:rPr>
      </w:pPr>
    </w:p>
    <w:p>
      <w:pPr>
        <w:ind w:left="960" w:right="20" w:hanging="298"/>
        <w:spacing w:after="0" w:line="277" w:lineRule="auto"/>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timely completion of preclinical laboratory tests, animal studies and formulation studies in accordance with FDA’s good laboratory practice requirements and other applicable regulations;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timely submission to the FDA of an IND, which must become effective before human clinical trials may begin;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approval by an independent Institutional Review Board, or IRB, ethics committee at each clinical site before each trial may be initiated;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33" w:name="page34"/>
    <w:bookmarkEnd w:id="33"/>
    <w:p>
      <w:pPr>
        <w:ind w:left="960" w:hanging="298"/>
        <w:spacing w:after="0"/>
        <w:tabs>
          <w:tab w:leader="none" w:pos="9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delays in reaching a consensus with regulatory agencies on study design and obtaining regulatory authorization to commence clinical trials;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obtaining sufficient quantities of our product candidates for use in preclinical studies and clinical trials from third-party suppliers on a timely basis.</w:t>
      </w:r>
    </w:p>
    <w:p>
      <w:pPr>
        <w:spacing w:after="0" w:line="204" w:lineRule="exact"/>
        <w:rPr>
          <w:sz w:val="20"/>
          <w:szCs w:val="20"/>
          <w:color w:val="auto"/>
        </w:rPr>
      </w:pPr>
    </w:p>
    <w:p>
      <w:pPr>
        <w:ind w:right="140" w:firstLine="674"/>
        <w:spacing w:after="0" w:line="298" w:lineRule="auto"/>
        <w:rPr>
          <w:sz w:val="20"/>
          <w:szCs w:val="20"/>
          <w:color w:val="auto"/>
        </w:rPr>
      </w:pPr>
      <w:r>
        <w:rPr>
          <w:rFonts w:ascii="Arial" w:cs="Arial" w:eastAsia="Arial" w:hAnsi="Arial"/>
          <w:sz w:val="15"/>
          <w:szCs w:val="15"/>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4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65" w:lineRule="exact"/>
        <w:rPr>
          <w:sz w:val="20"/>
          <w:szCs w:val="20"/>
          <w:color w:val="auto"/>
        </w:rPr>
      </w:pPr>
    </w:p>
    <w:p>
      <w:pPr>
        <w:ind w:firstLine="674"/>
        <w:spacing w:after="0" w:line="302" w:lineRule="auto"/>
        <w:rPr>
          <w:sz w:val="20"/>
          <w:szCs w:val="20"/>
          <w:color w:val="auto"/>
        </w:rPr>
      </w:pPr>
      <w:r>
        <w:rPr>
          <w:rFonts w:ascii="Arial" w:cs="Arial" w:eastAsia="Arial" w:hAnsi="Arial"/>
          <w:sz w:val="14"/>
          <w:szCs w:val="14"/>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48" w:lineRule="exact"/>
        <w:rPr>
          <w:sz w:val="20"/>
          <w:szCs w:val="20"/>
          <w:color w:val="auto"/>
        </w:rPr>
      </w:pPr>
    </w:p>
    <w:p>
      <w:pPr>
        <w:ind w:right="180" w:firstLine="674"/>
        <w:spacing w:after="0" w:line="287"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approval to market any of our product candidates.</w:t>
      </w:r>
    </w:p>
    <w:p>
      <w:pPr>
        <w:spacing w:after="0" w:line="150" w:lineRule="exact"/>
        <w:rPr>
          <w:sz w:val="20"/>
          <w:szCs w:val="20"/>
          <w:color w:val="auto"/>
        </w:rPr>
      </w:pPr>
    </w:p>
    <w:p>
      <w:pPr>
        <w:ind w:right="460" w:firstLine="674"/>
        <w:spacing w:after="0" w:line="287" w:lineRule="auto"/>
        <w:rPr>
          <w:sz w:val="20"/>
          <w:szCs w:val="20"/>
          <w:color w:val="auto"/>
        </w:rPr>
      </w:pPr>
      <w:r>
        <w:rPr>
          <w:rFonts w:ascii="Arial" w:cs="Arial" w:eastAsia="Arial" w:hAnsi="Arial"/>
          <w:sz w:val="16"/>
          <w:szCs w:val="16"/>
          <w:color w:val="auto"/>
        </w:rPr>
        <w:t>Even if we succeed in developing and commercializing our product candidates, we may never generate sufficient or sustainable revenue to enable us to be profitable.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experience as a company in conducting clinical trials.</w:t>
      </w:r>
    </w:p>
    <w:p>
      <w:pPr>
        <w:spacing w:after="0" w:line="111" w:lineRule="exact"/>
        <w:rPr>
          <w:sz w:val="20"/>
          <w:szCs w:val="20"/>
          <w:color w:val="auto"/>
        </w:rPr>
      </w:pPr>
    </w:p>
    <w:p>
      <w:pPr>
        <w:ind w:firstLine="681"/>
        <w:spacing w:after="0" w:line="281" w:lineRule="auto"/>
        <w:rPr>
          <w:sz w:val="20"/>
          <w:szCs w:val="20"/>
          <w:color w:val="auto"/>
        </w:rPr>
      </w:pPr>
      <w:r>
        <w:rPr>
          <w:rFonts w:ascii="Arial" w:cs="Arial" w:eastAsia="Arial" w:hAnsi="Arial"/>
          <w:sz w:val="15"/>
          <w:szCs w:val="15"/>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159" w:lineRule="exact"/>
        <w:rPr>
          <w:sz w:val="20"/>
          <w:szCs w:val="20"/>
          <w:color w:val="auto"/>
        </w:rPr>
      </w:pPr>
    </w:p>
    <w:p>
      <w:pPr>
        <w:jc w:val="both"/>
        <w:spacing w:after="0" w:line="327" w:lineRule="auto"/>
        <w:rPr>
          <w:sz w:val="20"/>
          <w:szCs w:val="20"/>
          <w:color w:val="auto"/>
        </w:rPr>
      </w:pPr>
      <w:r>
        <w:rPr>
          <w:rFonts w:ascii="Arial" w:cs="Arial" w:eastAsia="Arial" w:hAnsi="Arial"/>
          <w:sz w:val="14"/>
          <w:szCs w:val="14"/>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30" w:lineRule="exact"/>
        <w:rPr>
          <w:sz w:val="20"/>
          <w:szCs w:val="20"/>
          <w:color w:val="auto"/>
        </w:rPr>
      </w:pPr>
    </w:p>
    <w:p>
      <w:pPr>
        <w:ind w:right="40" w:firstLine="681"/>
        <w:spacing w:after="0" w:line="266" w:lineRule="auto"/>
        <w:rPr>
          <w:sz w:val="20"/>
          <w:szCs w:val="20"/>
          <w:color w:val="auto"/>
        </w:rPr>
      </w:pPr>
      <w:r>
        <w:rPr>
          <w:rFonts w:ascii="Arial" w:cs="Arial" w:eastAsia="Arial" w:hAnsi="Arial"/>
          <w:sz w:val="16"/>
          <w:szCs w:val="16"/>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4" w:name="page35"/>
    <w:bookmarkEnd w:id="34"/>
    <w:p>
      <w:pPr>
        <w:ind w:right="40" w:firstLine="674"/>
        <w:spacing w:after="0" w:line="298" w:lineRule="auto"/>
        <w:rPr>
          <w:sz w:val="20"/>
          <w:szCs w:val="20"/>
          <w:color w:val="auto"/>
        </w:rPr>
      </w:pPr>
      <w:r>
        <w:rPr>
          <w:rFonts w:ascii="Arial" w:cs="Arial" w:eastAsia="Arial" w:hAnsi="Arial"/>
          <w:sz w:val="15"/>
          <w:szCs w:val="15"/>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44" w:lineRule="exact"/>
        <w:rPr>
          <w:sz w:val="20"/>
          <w:szCs w:val="20"/>
          <w:color w:val="auto"/>
        </w:rPr>
      </w:pPr>
    </w:p>
    <w:p>
      <w:pPr>
        <w:ind w:right="80" w:firstLine="674"/>
        <w:spacing w:after="0" w:line="265" w:lineRule="auto"/>
        <w:rPr>
          <w:sz w:val="20"/>
          <w:szCs w:val="20"/>
          <w:color w:val="auto"/>
        </w:rPr>
      </w:pPr>
      <w:r>
        <w:rPr>
          <w:rFonts w:ascii="Arial" w:cs="Arial" w:eastAsia="Arial" w:hAnsi="Arial"/>
          <w:sz w:val="16"/>
          <w:szCs w:val="16"/>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68" w:lineRule="exact"/>
        <w:rPr>
          <w:sz w:val="20"/>
          <w:szCs w:val="20"/>
          <w:color w:val="auto"/>
        </w:rPr>
      </w:pPr>
    </w:p>
    <w:p>
      <w:pPr>
        <w:ind w:right="340" w:firstLine="674"/>
        <w:spacing w:after="0" w:line="271" w:lineRule="auto"/>
        <w:rPr>
          <w:sz w:val="20"/>
          <w:szCs w:val="20"/>
          <w:color w:val="auto"/>
        </w:rPr>
      </w:pPr>
      <w:r>
        <w:rPr>
          <w:rFonts w:ascii="Arial" w:cs="Arial" w:eastAsia="Arial" w:hAnsi="Arial"/>
          <w:sz w:val="16"/>
          <w:szCs w:val="16"/>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3" w:lineRule="exact"/>
        <w:rPr>
          <w:sz w:val="20"/>
          <w:szCs w:val="20"/>
          <w:color w:val="auto"/>
        </w:rPr>
      </w:pPr>
    </w:p>
    <w:p>
      <w:pPr>
        <w:ind w:right="140" w:firstLine="674"/>
        <w:spacing w:after="0" w:line="264" w:lineRule="auto"/>
        <w:rPr>
          <w:sz w:val="20"/>
          <w:szCs w:val="20"/>
          <w:color w:val="auto"/>
        </w:rPr>
      </w:pPr>
      <w:r>
        <w:rPr>
          <w:rFonts w:ascii="Arial" w:cs="Arial" w:eastAsia="Arial" w:hAnsi="Arial"/>
          <w:sz w:val="16"/>
          <w:szCs w:val="16"/>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73" w:lineRule="exact"/>
        <w:rPr>
          <w:sz w:val="20"/>
          <w:szCs w:val="20"/>
          <w:color w:val="auto"/>
        </w:rPr>
      </w:pPr>
    </w:p>
    <w:p>
      <w:pPr>
        <w:ind w:left="960" w:hanging="298"/>
        <w:spacing w:after="0" w:line="277" w:lineRule="auto"/>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development of our current product candidates and any future product candidates may be adversely affected if we are unable to appropriately select patients for enrollment in our clinical trials; and</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not be able to obtain approval of our current product candidates and any future product candidates that require companion diagnostics on a timely basis or at all.</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If any of these events were to occur, our business would be adversely impacted.</w:t>
      </w:r>
    </w:p>
    <w:p>
      <w:pPr>
        <w:spacing w:after="0" w:line="30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51" w:lineRule="exact"/>
        <w:rPr>
          <w:sz w:val="20"/>
          <w:szCs w:val="20"/>
          <w:color w:val="auto"/>
        </w:rPr>
      </w:pPr>
    </w:p>
    <w:p>
      <w:pPr>
        <w:ind w:right="60" w:firstLine="674"/>
        <w:spacing w:after="0" w:line="285" w:lineRule="auto"/>
        <w:rPr>
          <w:sz w:val="20"/>
          <w:szCs w:val="20"/>
          <w:color w:val="auto"/>
        </w:rPr>
      </w:pPr>
      <w:r>
        <w:rPr>
          <w:rFonts w:ascii="Arial" w:cs="Arial" w:eastAsia="Arial" w:hAnsi="Arial"/>
          <w:sz w:val="15"/>
          <w:szCs w:val="15"/>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55" w:lineRule="exact"/>
        <w:rPr>
          <w:sz w:val="20"/>
          <w:szCs w:val="20"/>
          <w:color w:val="auto"/>
        </w:rPr>
      </w:pPr>
    </w:p>
    <w:p>
      <w:pPr>
        <w:ind w:right="60" w:firstLine="674"/>
        <w:spacing w:after="0" w:line="280" w:lineRule="auto"/>
        <w:rPr>
          <w:sz w:val="20"/>
          <w:szCs w:val="20"/>
          <w:color w:val="auto"/>
        </w:rPr>
      </w:pPr>
      <w:r>
        <w:rPr>
          <w:rFonts w:ascii="Arial" w:cs="Arial" w:eastAsia="Arial" w:hAnsi="Arial"/>
          <w:sz w:val="15"/>
          <w:szCs w:val="15"/>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 pandemic, we may experience disruptions that could severely impact our business, preclinical studies and clinical trials, including:</w:t>
      </w:r>
    </w:p>
    <w:p>
      <w:pPr>
        <w:spacing w:after="0" w:line="65" w:lineRule="exact"/>
        <w:rPr>
          <w:sz w:val="20"/>
          <w:szCs w:val="20"/>
          <w:color w:val="auto"/>
        </w:rPr>
      </w:pPr>
    </w:p>
    <w:p>
      <w:pPr>
        <w:ind w:left="960" w:hanging="298"/>
        <w:spacing w:after="0"/>
        <w:tabs>
          <w:tab w:leader="none" w:pos="9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delays or difficulties in enrolling and retaining patients in our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delays or difficulties in clinical site initiation, including difficulties in recruiting clinical site investigators and clinical site staff;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35" w:name="page36"/>
    <w:bookmarkEnd w:id="35"/>
    <w:p>
      <w:pPr>
        <w:ind w:left="960" w:hanging="298"/>
        <w:spacing w:after="0" w:line="277" w:lineRule="auto"/>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diversion of healthcare resources away from the conduct of clinical trials, including the diversion of hospitals serving as our clinical trial sites and hospital staff supporting the conduct of our clinical trials;</w:t>
      </w:r>
    </w:p>
    <w:p>
      <w:pPr>
        <w:spacing w:after="0" w:line="68" w:lineRule="exact"/>
        <w:rPr>
          <w:rFonts w:ascii="Arial" w:cs="Arial" w:eastAsia="Arial" w:hAnsi="Arial"/>
          <w:sz w:val="15"/>
          <w:szCs w:val="15"/>
          <w:color w:val="auto"/>
        </w:rPr>
      </w:pPr>
    </w:p>
    <w:p>
      <w:pPr>
        <w:ind w:left="960" w:right="120" w:hanging="298"/>
        <w:spacing w:after="0" w:line="266" w:lineRule="auto"/>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7" w:lineRule="exact"/>
        <w:rPr>
          <w:rFonts w:ascii="Arial" w:cs="Arial" w:eastAsia="Arial" w:hAnsi="Arial"/>
          <w:sz w:val="15"/>
          <w:szCs w:val="15"/>
          <w:color w:val="auto"/>
        </w:rPr>
      </w:pPr>
    </w:p>
    <w:p>
      <w:pPr>
        <w:ind w:left="960" w:hanging="298"/>
        <w:spacing w:after="0"/>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or other regulatory authorities, which may impact review and approval timelines;</w:t>
      </w:r>
    </w:p>
    <w:p>
      <w:pPr>
        <w:spacing w:after="0" w:line="110" w:lineRule="exact"/>
        <w:rPr>
          <w:rFonts w:ascii="Arial" w:cs="Arial" w:eastAsia="Arial" w:hAnsi="Arial"/>
          <w:sz w:val="15"/>
          <w:szCs w:val="15"/>
          <w:color w:val="auto"/>
        </w:rPr>
      </w:pPr>
    </w:p>
    <w:p>
      <w:pPr>
        <w:ind w:left="960" w:right="140" w:hanging="298"/>
        <w:spacing w:after="0" w:line="277" w:lineRule="auto"/>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interruption of, or delays in receiving, supplies of our product candidates from our contract manufacturing organizations due to staffing shortages, production slowdowns or stoppages and disruptions in delivery systems;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interruptions in preclinical studies due to restricted or limited operations at our laboratory facility;</w:t>
      </w:r>
    </w:p>
    <w:p>
      <w:pPr>
        <w:spacing w:after="0" w:line="110" w:lineRule="exact"/>
        <w:rPr>
          <w:rFonts w:ascii="Arial" w:cs="Arial" w:eastAsia="Arial" w:hAnsi="Arial"/>
          <w:sz w:val="15"/>
          <w:szCs w:val="15"/>
          <w:color w:val="auto"/>
        </w:rPr>
      </w:pPr>
    </w:p>
    <w:p>
      <w:pPr>
        <w:ind w:left="960" w:right="60" w:hanging="298"/>
        <w:spacing w:after="0" w:line="277" w:lineRule="auto"/>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interruption or delays to our sourced discovery and clinical activities;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clinical site procedures and requirements as well as regulatory requirements for conducting clinical trials during the pandemic.</w:t>
      </w:r>
    </w:p>
    <w:p>
      <w:pPr>
        <w:spacing w:after="0" w:line="204" w:lineRule="exact"/>
        <w:rPr>
          <w:sz w:val="20"/>
          <w:szCs w:val="20"/>
          <w:color w:val="auto"/>
        </w:rPr>
      </w:pPr>
    </w:p>
    <w:p>
      <w:pPr>
        <w:ind w:right="20" w:firstLine="674"/>
        <w:spacing w:after="0" w:line="281" w:lineRule="auto"/>
        <w:rPr>
          <w:sz w:val="20"/>
          <w:szCs w:val="20"/>
          <w:color w:val="auto"/>
        </w:rPr>
      </w:pPr>
      <w:r>
        <w:rPr>
          <w:rFonts w:ascii="Arial" w:cs="Arial" w:eastAsia="Arial" w:hAnsi="Arial"/>
          <w:sz w:val="15"/>
          <w:szCs w:val="15"/>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59" w:lineRule="exact"/>
        <w:rPr>
          <w:sz w:val="20"/>
          <w:szCs w:val="20"/>
          <w:color w:val="auto"/>
        </w:rPr>
      </w:pPr>
    </w:p>
    <w:p>
      <w:pPr>
        <w:ind w:right="20" w:firstLine="674"/>
        <w:spacing w:after="0" w:line="266" w:lineRule="auto"/>
        <w:rPr>
          <w:sz w:val="20"/>
          <w:szCs w:val="20"/>
          <w:color w:val="auto"/>
        </w:rPr>
      </w:pPr>
      <w:r>
        <w:rPr>
          <w:rFonts w:ascii="Arial" w:cs="Arial" w:eastAsia="Arial" w:hAnsi="Arial"/>
          <w:sz w:val="16"/>
          <w:szCs w:val="16"/>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7" w:lineRule="exact"/>
        <w:rPr>
          <w:sz w:val="20"/>
          <w:szCs w:val="20"/>
          <w:color w:val="auto"/>
        </w:rPr>
      </w:pPr>
    </w:p>
    <w:p>
      <w:pPr>
        <w:ind w:right="40" w:firstLine="674"/>
        <w:spacing w:after="0" w:line="266" w:lineRule="auto"/>
        <w:rPr>
          <w:sz w:val="20"/>
          <w:szCs w:val="20"/>
          <w:color w:val="auto"/>
        </w:rPr>
      </w:pPr>
      <w:r>
        <w:rPr>
          <w:rFonts w:ascii="Arial" w:cs="Arial" w:eastAsia="Arial" w:hAnsi="Arial"/>
          <w:sz w:val="16"/>
          <w:szCs w:val="16"/>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67" w:lineRule="exact"/>
        <w:rPr>
          <w:sz w:val="20"/>
          <w:szCs w:val="20"/>
          <w:color w:val="auto"/>
        </w:rPr>
      </w:pPr>
    </w:p>
    <w:p>
      <w:pPr>
        <w:ind w:right="100" w:firstLine="674"/>
        <w:spacing w:after="0" w:line="264" w:lineRule="auto"/>
        <w:rPr>
          <w:sz w:val="20"/>
          <w:szCs w:val="20"/>
          <w:color w:val="auto"/>
        </w:rPr>
      </w:pPr>
      <w:r>
        <w:rPr>
          <w:rFonts w:ascii="Arial" w:cs="Arial" w:eastAsia="Arial" w:hAnsi="Arial"/>
          <w:sz w:val="16"/>
          <w:szCs w:val="16"/>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67" w:lineRule="exact"/>
        <w:rPr>
          <w:sz w:val="20"/>
          <w:szCs w:val="20"/>
          <w:color w:val="auto"/>
        </w:rPr>
      </w:pPr>
    </w:p>
    <w:p>
      <w:pPr>
        <w:ind w:right="20" w:firstLine="674"/>
        <w:spacing w:after="0" w:line="304" w:lineRule="auto"/>
        <w:rPr>
          <w:sz w:val="20"/>
          <w:szCs w:val="20"/>
          <w:color w:val="auto"/>
        </w:rPr>
      </w:pPr>
      <w:r>
        <w:rPr>
          <w:rFonts w:ascii="Arial" w:cs="Arial" w:eastAsia="Arial" w:hAnsi="Arial"/>
          <w:sz w:val="14"/>
          <w:szCs w:val="14"/>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6" w:name="page37"/>
    <w:bookmarkEnd w:id="36"/>
    <w:p>
      <w:pPr>
        <w:ind w:right="320"/>
        <w:spacing w:after="0" w:line="287" w:lineRule="auto"/>
        <w:rPr>
          <w:sz w:val="20"/>
          <w:szCs w:val="20"/>
          <w:color w:val="auto"/>
        </w:rPr>
      </w:pPr>
      <w:r>
        <w:rPr>
          <w:rFonts w:ascii="Arial" w:cs="Arial" w:eastAsia="Arial" w:hAnsi="Arial"/>
          <w:sz w:val="16"/>
          <w:szCs w:val="16"/>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51"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67" w:lineRule="exact"/>
        <w:rPr>
          <w:sz w:val="20"/>
          <w:szCs w:val="20"/>
          <w:color w:val="auto"/>
        </w:rPr>
      </w:pPr>
    </w:p>
    <w:p>
      <w:pPr>
        <w:ind w:right="220" w:firstLine="674"/>
        <w:spacing w:after="0" w:line="262" w:lineRule="auto"/>
        <w:rPr>
          <w:sz w:val="20"/>
          <w:szCs w:val="20"/>
          <w:color w:val="auto"/>
        </w:rPr>
      </w:pPr>
      <w:r>
        <w:rPr>
          <w:rFonts w:ascii="Arial" w:cs="Arial" w:eastAsia="Arial" w:hAnsi="Arial"/>
          <w:sz w:val="16"/>
          <w:szCs w:val="16"/>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71" w:lineRule="exact"/>
        <w:rPr>
          <w:sz w:val="20"/>
          <w:szCs w:val="20"/>
          <w:color w:val="auto"/>
        </w:rPr>
      </w:pPr>
    </w:p>
    <w:p>
      <w:pPr>
        <w:jc w:val="both"/>
        <w:ind w:right="100" w:firstLine="674"/>
        <w:spacing w:after="0" w:line="271" w:lineRule="auto"/>
        <w:rPr>
          <w:sz w:val="20"/>
          <w:szCs w:val="20"/>
          <w:color w:val="auto"/>
        </w:rPr>
      </w:pPr>
      <w:r>
        <w:rPr>
          <w:rFonts w:ascii="Arial" w:cs="Arial" w:eastAsia="Arial" w:hAnsi="Arial"/>
          <w:sz w:val="16"/>
          <w:szCs w:val="16"/>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9" w:lineRule="exact"/>
        <w:rPr>
          <w:sz w:val="20"/>
          <w:szCs w:val="20"/>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size and nature of the patient population;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severity of the disease under investigation;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availability and efficacy of approved drugs for the disease under investigation;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patient eligibility criteria for the trial in question as defined in the protocol;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perceived risks and benefits of the product candidate under study;</w:t>
      </w:r>
    </w:p>
    <w:p>
      <w:pPr>
        <w:spacing w:after="0" w:line="110" w:lineRule="exact"/>
        <w:rPr>
          <w:rFonts w:ascii="Arial" w:cs="Arial" w:eastAsia="Arial" w:hAnsi="Arial"/>
          <w:sz w:val="15"/>
          <w:szCs w:val="15"/>
          <w:color w:val="auto"/>
        </w:rPr>
      </w:pPr>
    </w:p>
    <w:p>
      <w:pPr>
        <w:ind w:left="960" w:right="100" w:hanging="298"/>
        <w:spacing w:after="0" w:line="277" w:lineRule="auto"/>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clinicians’ willingness to screen their patients for biomarkers to indicate which patients may be eligible for enrollment in our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delays in or temporary suspension of the enrollment of patients in our planned clinical trial due to the COVID-19 pandemic;</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ability to obtain and maintain patient consents;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patient referral practices of physicians;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proximity and availability of clinical trial sites for prospective patients; and</w:t>
      </w:r>
    </w:p>
    <w:p>
      <w:pPr>
        <w:spacing w:after="0" w:line="110" w:lineRule="exact"/>
        <w:rPr>
          <w:rFonts w:ascii="Arial" w:cs="Arial" w:eastAsia="Arial" w:hAnsi="Arial"/>
          <w:sz w:val="15"/>
          <w:szCs w:val="15"/>
          <w:color w:val="auto"/>
        </w:rPr>
      </w:pPr>
    </w:p>
    <w:p>
      <w:pPr>
        <w:ind w:left="960" w:right="100" w:hanging="298"/>
        <w:spacing w:after="0" w:line="277" w:lineRule="auto"/>
        <w:tabs>
          <w:tab w:leader="none" w:pos="9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3" w:lineRule="exact"/>
        <w:rPr>
          <w:sz w:val="20"/>
          <w:szCs w:val="20"/>
          <w:color w:val="auto"/>
        </w:rPr>
      </w:pPr>
    </w:p>
    <w:p>
      <w:pPr>
        <w:ind w:firstLine="674"/>
        <w:spacing w:after="0" w:line="285" w:lineRule="auto"/>
        <w:rPr>
          <w:sz w:val="20"/>
          <w:szCs w:val="20"/>
          <w:color w:val="auto"/>
        </w:rPr>
      </w:pPr>
      <w:r>
        <w:rPr>
          <w:rFonts w:ascii="Arial" w:cs="Arial" w:eastAsia="Arial" w:hAnsi="Arial"/>
          <w:sz w:val="15"/>
          <w:szCs w:val="15"/>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618"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111" w:lineRule="exact"/>
        <w:rPr>
          <w:sz w:val="20"/>
          <w:szCs w:val="20"/>
          <w:color w:val="auto"/>
        </w:rPr>
      </w:pPr>
    </w:p>
    <w:p>
      <w:pPr>
        <w:ind w:firstLine="674"/>
        <w:spacing w:after="0" w:line="261" w:lineRule="auto"/>
        <w:rPr>
          <w:sz w:val="20"/>
          <w:szCs w:val="20"/>
          <w:color w:val="auto"/>
        </w:rPr>
      </w:pPr>
      <w:r>
        <w:rPr>
          <w:rFonts w:ascii="Arial" w:cs="Arial" w:eastAsia="Arial" w:hAnsi="Arial"/>
          <w:sz w:val="16"/>
          <w:szCs w:val="16"/>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 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1" w:lineRule="exact"/>
        <w:rPr>
          <w:sz w:val="20"/>
          <w:szCs w:val="20"/>
          <w:color w:val="auto"/>
        </w:rPr>
      </w:pPr>
    </w:p>
    <w:p>
      <w:pPr>
        <w:ind w:right="140" w:firstLine="674"/>
        <w:spacing w:after="0" w:line="279" w:lineRule="auto"/>
        <w:rPr>
          <w:sz w:val="20"/>
          <w:szCs w:val="20"/>
          <w:color w:val="auto"/>
        </w:rPr>
      </w:pPr>
      <w:r>
        <w:rPr>
          <w:rFonts w:ascii="Arial" w:cs="Arial" w:eastAsia="Arial" w:hAnsi="Arial"/>
          <w:sz w:val="15"/>
          <w:szCs w:val="15"/>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61" w:lineRule="exact"/>
        <w:rPr>
          <w:sz w:val="20"/>
          <w:szCs w:val="20"/>
          <w:color w:val="auto"/>
        </w:rPr>
      </w:pPr>
    </w:p>
    <w:p>
      <w:pPr>
        <w:ind w:right="20" w:firstLine="674"/>
        <w:spacing w:after="0" w:line="281" w:lineRule="auto"/>
        <w:rPr>
          <w:sz w:val="20"/>
          <w:szCs w:val="20"/>
          <w:color w:val="auto"/>
        </w:rPr>
      </w:pPr>
      <w:r>
        <w:rPr>
          <w:rFonts w:ascii="Arial" w:cs="Arial" w:eastAsia="Arial" w:hAnsi="Arial"/>
          <w:sz w:val="15"/>
          <w:szCs w:val="15"/>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marketing our product candidates internationally may materially adversely affect our business.</w:t>
      </w:r>
    </w:p>
    <w:p>
      <w:pPr>
        <w:spacing w:after="0" w:line="111" w:lineRule="exact"/>
        <w:rPr>
          <w:sz w:val="20"/>
          <w:szCs w:val="20"/>
          <w:color w:val="auto"/>
        </w:rPr>
      </w:pPr>
    </w:p>
    <w:p>
      <w:pPr>
        <w:ind w:right="380" w:firstLine="674"/>
        <w:spacing w:after="0" w:line="287" w:lineRule="auto"/>
        <w:rPr>
          <w:sz w:val="20"/>
          <w:szCs w:val="20"/>
          <w:color w:val="auto"/>
        </w:rPr>
      </w:pPr>
      <w:r>
        <w:rPr>
          <w:rFonts w:ascii="Arial" w:cs="Arial" w:eastAsia="Arial" w:hAnsi="Arial"/>
          <w:sz w:val="16"/>
          <w:szCs w:val="16"/>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6" w:lineRule="exact"/>
        <w:rPr>
          <w:sz w:val="20"/>
          <w:szCs w:val="20"/>
          <w:color w:val="auto"/>
        </w:rPr>
      </w:pPr>
    </w:p>
    <w:p>
      <w:pPr>
        <w:ind w:left="960" w:hanging="298"/>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differing regulatory requirements in foreign countries;</w:t>
      </w:r>
    </w:p>
    <w:p>
      <w:pPr>
        <w:spacing w:after="0" w:line="110" w:lineRule="exact"/>
        <w:rPr>
          <w:rFonts w:ascii="Arial" w:cs="Arial" w:eastAsia="Arial" w:hAnsi="Arial"/>
          <w:sz w:val="15"/>
          <w:szCs w:val="15"/>
          <w:color w:val="auto"/>
        </w:rPr>
      </w:pPr>
    </w:p>
    <w:p>
      <w:pPr>
        <w:ind w:left="960" w:right="300" w:hanging="298"/>
        <w:spacing w:after="0" w:line="277" w:lineRule="auto"/>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foreign regulatory authorities may disagree with the design, implementation or results of our clinical trials or our interpretation of data from preclinical studies or clinical trials;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approval policies or regulations of foreign regulatory authorities may significantly change in a manner rendering our clinical data insufficient for approval;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impact of the COVID-19 pandemic on our ability to produce our product candidates and conduct clinical trials in foreign countries;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unexpected changes in tariffs, trade barriers, price and exchange controls and other regulatory requirements;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economic weakness, including inflation, or political instability in particular foreign economies and markets;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compliance with tax, employment, immigration and labor laws for employees living or traveling abroad;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38" w:name="page39"/>
    <w:bookmarkEnd w:id="38"/>
    <w:p>
      <w:pPr>
        <w:ind w:left="960" w:hanging="29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foreign taxes, including withholding of payroll taxes;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foreign currency fluctuations, which could result in increased operating expenses and reduced revenue, and other obligations incident to doing business in another country;</w:t>
      </w:r>
    </w:p>
    <w:p>
      <w:pPr>
        <w:spacing w:after="0" w:line="133" w:lineRule="exact"/>
        <w:rPr>
          <w:rFonts w:ascii="Arial" w:cs="Arial" w:eastAsia="Arial" w:hAnsi="Arial"/>
          <w:sz w:val="13"/>
          <w:szCs w:val="13"/>
          <w:color w:val="auto"/>
        </w:rPr>
      </w:pPr>
    </w:p>
    <w:p>
      <w:pPr>
        <w:ind w:left="960" w:hanging="29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difficulties staffing and managing foreign operations;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workforce uncertainty in countries where labor unrest is more common than in the United States;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liability under the Foreign Corrupt Practices Act of 1977 or comparable foreign regulations;</w:t>
      </w:r>
    </w:p>
    <w:p>
      <w:pPr>
        <w:spacing w:after="0" w:line="110" w:lineRule="exact"/>
        <w:rPr>
          <w:rFonts w:ascii="Arial" w:cs="Arial" w:eastAsia="Arial" w:hAnsi="Arial"/>
          <w:sz w:val="15"/>
          <w:szCs w:val="15"/>
          <w:color w:val="auto"/>
        </w:rPr>
      </w:pPr>
    </w:p>
    <w:p>
      <w:pPr>
        <w:ind w:left="960" w:right="300" w:hanging="298"/>
        <w:spacing w:after="0" w:line="277" w:lineRule="auto"/>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challenges enforcing our contractual and intellectual property rights, especially in those foreign countries that do not respect and protect intellectual property rights to the same extent as the United States;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production shortages resulting from any events affecting raw material supply or manufacturing capabilities abroad;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business interruptions resulting from geo-political actions, including war and terrorism.</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These and other risks associated with international operations may materially adversely affect our business, financial condition and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122"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67" w:lineRule="exact"/>
        <w:rPr>
          <w:sz w:val="20"/>
          <w:szCs w:val="20"/>
          <w:color w:val="auto"/>
        </w:rPr>
      </w:pPr>
    </w:p>
    <w:p>
      <w:pPr>
        <w:ind w:right="60" w:firstLine="674"/>
        <w:spacing w:after="0" w:line="262" w:lineRule="auto"/>
        <w:rPr>
          <w:sz w:val="20"/>
          <w:szCs w:val="20"/>
          <w:color w:val="auto"/>
        </w:rPr>
      </w:pPr>
      <w:r>
        <w:rPr>
          <w:rFonts w:ascii="Arial" w:cs="Arial" w:eastAsia="Arial" w:hAnsi="Arial"/>
          <w:sz w:val="16"/>
          <w:szCs w:val="16"/>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71" w:lineRule="exact"/>
        <w:rPr>
          <w:sz w:val="20"/>
          <w:szCs w:val="20"/>
          <w:color w:val="auto"/>
        </w:rPr>
      </w:pPr>
    </w:p>
    <w:p>
      <w:pPr>
        <w:jc w:val="both"/>
        <w:ind w:right="280" w:firstLine="674"/>
        <w:spacing w:after="0" w:line="327" w:lineRule="auto"/>
        <w:rPr>
          <w:sz w:val="20"/>
          <w:szCs w:val="20"/>
          <w:color w:val="auto"/>
        </w:rPr>
      </w:pPr>
      <w:r>
        <w:rPr>
          <w:rFonts w:ascii="Arial" w:cs="Arial" w:eastAsia="Arial" w:hAnsi="Arial"/>
          <w:sz w:val="14"/>
          <w:szCs w:val="14"/>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28" w:lineRule="exact"/>
        <w:rPr>
          <w:sz w:val="20"/>
          <w:szCs w:val="20"/>
          <w:color w:val="auto"/>
        </w:rPr>
      </w:pPr>
    </w:p>
    <w:p>
      <w:pPr>
        <w:ind w:right="80" w:firstLine="674"/>
        <w:spacing w:after="0" w:line="266" w:lineRule="auto"/>
        <w:rPr>
          <w:sz w:val="20"/>
          <w:szCs w:val="20"/>
          <w:color w:val="auto"/>
        </w:rPr>
      </w:pPr>
      <w:r>
        <w:rPr>
          <w:rFonts w:ascii="Arial" w:cs="Arial" w:eastAsia="Arial" w:hAnsi="Arial"/>
          <w:sz w:val="16"/>
          <w:szCs w:val="16"/>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67" w:lineRule="exact"/>
        <w:rPr>
          <w:sz w:val="20"/>
          <w:szCs w:val="20"/>
          <w:color w:val="auto"/>
        </w:rPr>
      </w:pPr>
    </w:p>
    <w:p>
      <w:pPr>
        <w:ind w:right="40" w:firstLine="674"/>
        <w:spacing w:after="0" w:line="266" w:lineRule="auto"/>
        <w:rPr>
          <w:sz w:val="20"/>
          <w:szCs w:val="20"/>
          <w:color w:val="auto"/>
        </w:rPr>
      </w:pPr>
      <w:r>
        <w:rPr>
          <w:rFonts w:ascii="Arial" w:cs="Arial" w:eastAsia="Arial" w:hAnsi="Arial"/>
          <w:sz w:val="16"/>
          <w:szCs w:val="16"/>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220" w:firstLine="674"/>
        <w:spacing w:after="0" w:line="289" w:lineRule="auto"/>
        <w:rPr>
          <w:sz w:val="20"/>
          <w:szCs w:val="20"/>
          <w:color w:val="auto"/>
        </w:rPr>
      </w:pPr>
      <w:r>
        <w:rPr>
          <w:rFonts w:ascii="Arial" w:cs="Arial" w:eastAsia="Arial" w:hAnsi="Arial"/>
          <w:sz w:val="15"/>
          <w:szCs w:val="15"/>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9" w:name="page40"/>
    <w:bookmarkEnd w:id="39"/>
    <w:p>
      <w:pPr>
        <w:ind w:right="60"/>
        <w:spacing w:after="0" w:line="262" w:lineRule="auto"/>
        <w:rPr>
          <w:sz w:val="20"/>
          <w:szCs w:val="20"/>
          <w:color w:val="auto"/>
        </w:rPr>
      </w:pPr>
      <w:r>
        <w:rPr>
          <w:rFonts w:ascii="Arial" w:cs="Arial" w:eastAsia="Arial" w:hAnsi="Arial"/>
          <w:sz w:val="16"/>
          <w:szCs w:val="16"/>
          <w:color w:val="auto"/>
        </w:rPr>
        <w:t>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71" w:lineRule="exact"/>
        <w:rPr>
          <w:sz w:val="20"/>
          <w:szCs w:val="20"/>
          <w:color w:val="auto"/>
        </w:rPr>
      </w:pPr>
    </w:p>
    <w:p>
      <w:pPr>
        <w:jc w:val="both"/>
        <w:ind w:right="200" w:firstLine="674"/>
        <w:spacing w:after="0" w:line="362" w:lineRule="auto"/>
        <w:rPr>
          <w:sz w:val="20"/>
          <w:szCs w:val="20"/>
          <w:color w:val="auto"/>
        </w:rPr>
      </w:pPr>
      <w:r>
        <w:rPr>
          <w:rFonts w:ascii="Arial" w:cs="Arial" w:eastAsia="Arial" w:hAnsi="Arial"/>
          <w:sz w:val="14"/>
          <w:szCs w:val="14"/>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202"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jc w:val="both"/>
        <w:ind w:right="80" w:firstLine="674"/>
        <w:spacing w:after="0" w:line="272"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61" w:lineRule="exact"/>
        <w:rPr>
          <w:sz w:val="20"/>
          <w:szCs w:val="20"/>
          <w:color w:val="auto"/>
        </w:rPr>
      </w:pPr>
    </w:p>
    <w:p>
      <w:pPr>
        <w:ind w:right="620" w:firstLine="674"/>
        <w:spacing w:after="0" w:line="287" w:lineRule="auto"/>
        <w:rPr>
          <w:sz w:val="20"/>
          <w:szCs w:val="20"/>
          <w:color w:val="auto"/>
        </w:rPr>
      </w:pPr>
      <w:r>
        <w:rPr>
          <w:rFonts w:ascii="Arial" w:cs="Arial" w:eastAsia="Arial" w:hAnsi="Arial"/>
          <w:sz w:val="16"/>
          <w:szCs w:val="16"/>
          <w:color w:val="auto"/>
        </w:rPr>
        <w:t>The success of future product candidates we may develop will depend on many factors, including the following and the other factors relating to product development described elsewhere in this “Risk Factors” section:</w:t>
      </w:r>
    </w:p>
    <w:p>
      <w:pPr>
        <w:spacing w:after="0" w:line="56" w:lineRule="exact"/>
        <w:rPr>
          <w:sz w:val="20"/>
          <w:szCs w:val="20"/>
          <w:color w:val="auto"/>
        </w:rPr>
      </w:pPr>
    </w:p>
    <w:p>
      <w:pPr>
        <w:ind w:left="960" w:hanging="29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generating sufficient data to support the initiation or continuation of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obtaining regulatory permission to initiate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contracting with the necessary parties to conduct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successful enrollment of patients in, and the completion of, clinical trials on a timely basis;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timely manufacture of sufficient quantities of the product candidate for use in clinical trials;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adverse events in the clinical trials.</w:t>
      </w:r>
    </w:p>
    <w:p>
      <w:pPr>
        <w:spacing w:after="0" w:line="204" w:lineRule="exact"/>
        <w:rPr>
          <w:sz w:val="20"/>
          <w:szCs w:val="20"/>
          <w:color w:val="auto"/>
        </w:rPr>
      </w:pPr>
    </w:p>
    <w:p>
      <w:pPr>
        <w:ind w:right="960" w:firstLine="674"/>
        <w:spacing w:after="0" w:line="362" w:lineRule="auto"/>
        <w:rPr>
          <w:sz w:val="20"/>
          <w:szCs w:val="20"/>
          <w:color w:val="auto"/>
        </w:rPr>
      </w:pPr>
      <w:r>
        <w:rPr>
          <w:rFonts w:ascii="Arial" w:cs="Arial" w:eastAsia="Arial" w:hAnsi="Arial"/>
          <w:sz w:val="14"/>
          <w:szCs w:val="14"/>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04" w:lineRule="exact"/>
        <w:rPr>
          <w:sz w:val="20"/>
          <w:szCs w:val="20"/>
          <w:color w:val="auto"/>
        </w:rPr>
      </w:pPr>
    </w:p>
    <w:p>
      <w:pPr>
        <w:ind w:right="220" w:firstLine="674"/>
        <w:spacing w:after="0" w:line="271" w:lineRule="auto"/>
        <w:rPr>
          <w:sz w:val="20"/>
          <w:szCs w:val="20"/>
          <w:color w:val="auto"/>
        </w:rPr>
      </w:pPr>
      <w:r>
        <w:rPr>
          <w:rFonts w:ascii="Arial" w:cs="Arial" w:eastAsia="Arial" w:hAnsi="Arial"/>
          <w:sz w:val="16"/>
          <w:szCs w:val="16"/>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61"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5" w:lineRule="exact"/>
        <w:rPr>
          <w:sz w:val="20"/>
          <w:szCs w:val="20"/>
          <w:color w:val="auto"/>
        </w:rPr>
      </w:pPr>
    </w:p>
    <w:p>
      <w:pPr>
        <w:ind w:firstLine="674"/>
        <w:spacing w:after="0" w:line="262" w:lineRule="auto"/>
        <w:rPr>
          <w:sz w:val="20"/>
          <w:szCs w:val="20"/>
          <w:color w:val="auto"/>
        </w:rPr>
      </w:pPr>
      <w:r>
        <w:rPr>
          <w:rFonts w:ascii="Arial" w:cs="Arial" w:eastAsia="Arial" w:hAnsi="Arial"/>
          <w:sz w:val="16"/>
          <w:szCs w:val="16"/>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0" w:name="page41"/>
    <w:bookmarkEnd w:id="40"/>
    <w:p>
      <w:pPr>
        <w:ind w:firstLine="674"/>
        <w:spacing w:after="0" w:line="301" w:lineRule="auto"/>
        <w:rPr>
          <w:sz w:val="20"/>
          <w:szCs w:val="20"/>
          <w:color w:val="auto"/>
        </w:rPr>
      </w:pPr>
      <w:r>
        <w:rPr>
          <w:rFonts w:ascii="Arial" w:cs="Arial" w:eastAsia="Arial" w:hAnsi="Arial"/>
          <w:sz w:val="14"/>
          <w:szCs w:val="14"/>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48" w:lineRule="exact"/>
        <w:rPr>
          <w:sz w:val="20"/>
          <w:szCs w:val="20"/>
          <w:color w:val="auto"/>
        </w:rPr>
      </w:pPr>
    </w:p>
    <w:p>
      <w:pPr>
        <w:ind w:firstLine="674"/>
        <w:spacing w:after="0" w:line="278" w:lineRule="auto"/>
        <w:rPr>
          <w:sz w:val="20"/>
          <w:szCs w:val="20"/>
          <w:color w:val="auto"/>
        </w:rPr>
      </w:pPr>
      <w:r>
        <w:rPr>
          <w:rFonts w:ascii="Arial" w:cs="Arial" w:eastAsia="Arial" w:hAnsi="Arial"/>
          <w:sz w:val="15"/>
          <w:szCs w:val="15"/>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develop our current or future product candidates in combination with other therapies, which exposes us to additional risks.</w:t>
      </w:r>
    </w:p>
    <w:p>
      <w:pPr>
        <w:spacing w:after="0" w:line="111" w:lineRule="exact"/>
        <w:rPr>
          <w:sz w:val="20"/>
          <w:szCs w:val="20"/>
          <w:color w:val="auto"/>
        </w:rPr>
      </w:pPr>
    </w:p>
    <w:p>
      <w:pPr>
        <w:ind w:right="20" w:firstLine="674"/>
        <w:spacing w:after="0" w:line="279" w:lineRule="auto"/>
        <w:rPr>
          <w:sz w:val="20"/>
          <w:szCs w:val="20"/>
          <w:color w:val="auto"/>
        </w:rPr>
      </w:pPr>
      <w:r>
        <w:rPr>
          <w:rFonts w:ascii="Arial" w:cs="Arial" w:eastAsia="Arial" w:hAnsi="Arial"/>
          <w:sz w:val="15"/>
          <w:szCs w:val="15"/>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61" w:lineRule="exact"/>
        <w:rPr>
          <w:sz w:val="20"/>
          <w:szCs w:val="20"/>
          <w:color w:val="auto"/>
        </w:rPr>
      </w:pPr>
    </w:p>
    <w:p>
      <w:pPr>
        <w:ind w:right="460" w:firstLine="674"/>
        <w:spacing w:after="0" w:line="271" w:lineRule="auto"/>
        <w:rPr>
          <w:sz w:val="20"/>
          <w:szCs w:val="20"/>
          <w:color w:val="auto"/>
        </w:rPr>
      </w:pPr>
      <w:r>
        <w:rPr>
          <w:rFonts w:ascii="Arial" w:cs="Arial" w:eastAsia="Arial" w:hAnsi="Arial"/>
          <w:sz w:val="16"/>
          <w:szCs w:val="16"/>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63" w:lineRule="exact"/>
        <w:rPr>
          <w:sz w:val="20"/>
          <w:szCs w:val="20"/>
          <w:color w:val="auto"/>
        </w:rPr>
      </w:pPr>
    </w:p>
    <w:p>
      <w:pPr>
        <w:ind w:firstLine="674"/>
        <w:spacing w:after="0" w:line="283" w:lineRule="auto"/>
        <w:rPr>
          <w:sz w:val="20"/>
          <w:szCs w:val="20"/>
          <w:color w:val="auto"/>
        </w:rPr>
      </w:pPr>
      <w:r>
        <w:rPr>
          <w:rFonts w:ascii="Arial" w:cs="Arial" w:eastAsia="Arial" w:hAnsi="Arial"/>
          <w:sz w:val="15"/>
          <w:szCs w:val="15"/>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1" w:name="page42"/>
    <w:bookmarkEnd w:id="41"/>
    <w:p>
      <w:pPr>
        <w:ind w:right="460"/>
        <w:spacing w:after="0" w:line="287" w:lineRule="auto"/>
        <w:rPr>
          <w:sz w:val="20"/>
          <w:szCs w:val="20"/>
          <w:color w:val="auto"/>
        </w:rPr>
      </w:pPr>
      <w:r>
        <w:rPr>
          <w:rFonts w:ascii="Arial" w:cs="Arial" w:eastAsia="Arial" w:hAnsi="Arial"/>
          <w:sz w:val="16"/>
          <w:szCs w:val="16"/>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674"/>
        <w:spacing w:after="0" w:line="261"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2" w:lineRule="exact"/>
        <w:rPr>
          <w:sz w:val="20"/>
          <w:szCs w:val="20"/>
          <w:color w:val="auto"/>
        </w:rPr>
      </w:pPr>
    </w:p>
    <w:p>
      <w:pPr>
        <w:ind w:right="80" w:firstLine="674"/>
        <w:spacing w:after="0" w:line="289" w:lineRule="auto"/>
        <w:rPr>
          <w:sz w:val="20"/>
          <w:szCs w:val="20"/>
          <w:color w:val="auto"/>
        </w:rPr>
      </w:pPr>
      <w:r>
        <w:rPr>
          <w:rFonts w:ascii="Arial" w:cs="Arial" w:eastAsia="Arial" w:hAnsi="Arial"/>
          <w:sz w:val="15"/>
          <w:szCs w:val="15"/>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52" w:lineRule="exact"/>
        <w:rPr>
          <w:sz w:val="20"/>
          <w:szCs w:val="20"/>
          <w:color w:val="auto"/>
        </w:rPr>
      </w:pPr>
    </w:p>
    <w:p>
      <w:pPr>
        <w:ind w:firstLine="674"/>
        <w:spacing w:after="0" w:line="26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1" w:lineRule="exact"/>
        <w:rPr>
          <w:sz w:val="20"/>
          <w:szCs w:val="20"/>
          <w:color w:val="auto"/>
        </w:rPr>
      </w:pPr>
    </w:p>
    <w:p>
      <w:pPr>
        <w:ind w:right="120" w:firstLine="674"/>
        <w:spacing w:after="0" w:line="362" w:lineRule="auto"/>
        <w:rPr>
          <w:sz w:val="20"/>
          <w:szCs w:val="20"/>
          <w:color w:val="auto"/>
        </w:rPr>
      </w:pPr>
      <w:r>
        <w:rPr>
          <w:rFonts w:ascii="Arial" w:cs="Arial" w:eastAsia="Arial" w:hAnsi="Arial"/>
          <w:sz w:val="14"/>
          <w:szCs w:val="14"/>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10" w:lineRule="exact"/>
        <w:rPr>
          <w:sz w:val="20"/>
          <w:szCs w:val="20"/>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physicians, hospitals, cancer treatment centers and patients considering our product candidates as a safe and effective treatment;</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potential and perceived advantages of our product candidates over alternative treatments;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demonstrate the advantages of our product candidates over other cancer medicines;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prevalence and severity of any side effects;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prevalence and severity of any side effects for other precision medicines and public perception of other precision medicines;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product labeling or product insert requirements of the FDA or other regulatory authorities;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limitations or warnings contained in the labeling approved by the FDA;</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timing of market introduction of our product candidates as well as competitive products;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cost of treatment in relation to alternative treatments;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availability of adequate coverage, reimbursement and pricing by third-party payors and government authorities;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willingness of patients to pay out-of-pocket in the absence of coverage by third-party payors and government authorities;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relative convenience and ease of administration, including as compared to alternative treatments and competitive therapies;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effectiveness of our sales and marketing efforts.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42" w:name="page43"/>
    <w:bookmarkEnd w:id="42"/>
    <w:p>
      <w:pPr>
        <w:ind w:right="460" w:firstLine="674"/>
        <w:spacing w:after="0" w:line="287" w:lineRule="auto"/>
        <w:rPr>
          <w:sz w:val="20"/>
          <w:szCs w:val="20"/>
          <w:color w:val="auto"/>
        </w:rPr>
      </w:pPr>
      <w:r>
        <w:rPr>
          <w:rFonts w:ascii="Arial" w:cs="Arial" w:eastAsia="Arial" w:hAnsi="Arial"/>
          <w:sz w:val="16"/>
          <w:szCs w:val="16"/>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50" w:lineRule="exact"/>
        <w:rPr>
          <w:sz w:val="20"/>
          <w:szCs w:val="20"/>
          <w:color w:val="auto"/>
        </w:rPr>
      </w:pPr>
    </w:p>
    <w:p>
      <w:pPr>
        <w:jc w:val="both"/>
        <w:ind w:right="80" w:firstLine="674"/>
        <w:spacing w:after="0" w:line="266" w:lineRule="auto"/>
        <w:rPr>
          <w:sz w:val="20"/>
          <w:szCs w:val="20"/>
          <w:color w:val="auto"/>
        </w:rPr>
      </w:pPr>
      <w:r>
        <w:rPr>
          <w:rFonts w:ascii="Arial" w:cs="Arial" w:eastAsia="Arial" w:hAnsi="Arial"/>
          <w:sz w:val="16"/>
          <w:szCs w:val="16"/>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67" w:lineRule="exact"/>
        <w:rPr>
          <w:sz w:val="20"/>
          <w:szCs w:val="20"/>
          <w:color w:val="auto"/>
        </w:rPr>
      </w:pPr>
    </w:p>
    <w:p>
      <w:pPr>
        <w:ind w:firstLine="674"/>
        <w:spacing w:after="0" w:line="287" w:lineRule="auto"/>
        <w:rPr>
          <w:sz w:val="20"/>
          <w:szCs w:val="20"/>
          <w:color w:val="auto"/>
        </w:rPr>
      </w:pPr>
      <w:r>
        <w:rPr>
          <w:rFonts w:ascii="Arial" w:cs="Arial" w:eastAsia="Arial" w:hAnsi="Arial"/>
          <w:sz w:val="16"/>
          <w:szCs w:val="16"/>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48"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167" w:lineRule="exact"/>
        <w:rPr>
          <w:sz w:val="20"/>
          <w:szCs w:val="20"/>
          <w:color w:val="auto"/>
        </w:rPr>
      </w:pPr>
    </w:p>
    <w:p>
      <w:pPr>
        <w:ind w:right="20" w:firstLine="674"/>
        <w:spacing w:after="0" w:line="287" w:lineRule="auto"/>
        <w:rPr>
          <w:sz w:val="20"/>
          <w:szCs w:val="20"/>
          <w:color w:val="auto"/>
        </w:rPr>
      </w:pPr>
      <w:r>
        <w:rPr>
          <w:rFonts w:ascii="Arial" w:cs="Arial" w:eastAsia="Arial" w:hAnsi="Arial"/>
          <w:sz w:val="15"/>
          <w:szCs w:val="15"/>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53" w:lineRule="exact"/>
        <w:rPr>
          <w:sz w:val="20"/>
          <w:szCs w:val="20"/>
          <w:color w:val="auto"/>
        </w:rPr>
      </w:pPr>
    </w:p>
    <w:p>
      <w:pPr>
        <w:ind w:right="60" w:firstLine="674"/>
        <w:spacing w:after="0" w:line="299" w:lineRule="auto"/>
        <w:rPr>
          <w:sz w:val="20"/>
          <w:szCs w:val="20"/>
          <w:color w:val="auto"/>
        </w:rPr>
      </w:pPr>
      <w:r>
        <w:rPr>
          <w:rFonts w:ascii="Arial" w:cs="Arial" w:eastAsia="Arial" w:hAnsi="Arial"/>
          <w:sz w:val="14"/>
          <w:szCs w:val="14"/>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54" w:lineRule="exact"/>
        <w:rPr>
          <w:sz w:val="20"/>
          <w:szCs w:val="20"/>
          <w:color w:val="auto"/>
        </w:rPr>
      </w:pPr>
    </w:p>
    <w:p>
      <w:pPr>
        <w:ind w:left="960" w:hanging="298"/>
        <w:spacing w:after="0"/>
        <w:tabs>
          <w:tab w:leader="none" w:pos="9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covered benefit under its health plan;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safe, effective and medically necessary;</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appropriate for the specific patient;</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cost-effective;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neither experimental nor investigational.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3" w:name="page44"/>
    <w:bookmarkEnd w:id="43"/>
    <w:p>
      <w:pPr>
        <w:ind w:right="20" w:firstLine="674"/>
        <w:spacing w:after="0" w:line="283" w:lineRule="auto"/>
        <w:rPr>
          <w:sz w:val="20"/>
          <w:szCs w:val="20"/>
          <w:color w:val="auto"/>
        </w:rPr>
      </w:pPr>
      <w:r>
        <w:rPr>
          <w:rFonts w:ascii="Arial" w:cs="Arial" w:eastAsia="Arial" w:hAnsi="Arial"/>
          <w:sz w:val="15"/>
          <w:szCs w:val="15"/>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55" w:lineRule="exact"/>
        <w:rPr>
          <w:sz w:val="20"/>
          <w:szCs w:val="20"/>
          <w:color w:val="auto"/>
        </w:rPr>
      </w:pPr>
    </w:p>
    <w:p>
      <w:pPr>
        <w:ind w:firstLine="674"/>
        <w:spacing w:after="0" w:line="279" w:lineRule="auto"/>
        <w:rPr>
          <w:sz w:val="20"/>
          <w:szCs w:val="20"/>
          <w:color w:val="auto"/>
        </w:rPr>
      </w:pPr>
      <w:r>
        <w:rPr>
          <w:rFonts w:ascii="Arial" w:cs="Arial" w:eastAsia="Arial" w:hAnsi="Arial"/>
          <w:sz w:val="15"/>
          <w:szCs w:val="15"/>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57" w:lineRule="exact"/>
        <w:rPr>
          <w:sz w:val="20"/>
          <w:szCs w:val="20"/>
          <w:color w:val="auto"/>
        </w:rPr>
      </w:pPr>
    </w:p>
    <w:p>
      <w:pPr>
        <w:ind w:right="100" w:firstLine="674"/>
        <w:spacing w:after="0" w:line="289" w:lineRule="auto"/>
        <w:rPr>
          <w:sz w:val="20"/>
          <w:szCs w:val="20"/>
          <w:color w:val="auto"/>
        </w:rPr>
      </w:pPr>
      <w:r>
        <w:rPr>
          <w:rFonts w:ascii="Arial" w:cs="Arial" w:eastAsia="Arial" w:hAnsi="Arial"/>
          <w:sz w:val="15"/>
          <w:szCs w:val="15"/>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52" w:lineRule="exact"/>
        <w:rPr>
          <w:sz w:val="20"/>
          <w:szCs w:val="20"/>
          <w:color w:val="auto"/>
        </w:rPr>
      </w:pPr>
    </w:p>
    <w:p>
      <w:pPr>
        <w:ind w:right="80" w:firstLine="674"/>
        <w:spacing w:after="0" w:line="260"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4" w:lineRule="exact"/>
        <w:rPr>
          <w:sz w:val="20"/>
          <w:szCs w:val="20"/>
          <w:color w:val="auto"/>
        </w:rPr>
      </w:pPr>
    </w:p>
    <w:p>
      <w:pPr>
        <w:ind w:right="100" w:firstLine="674"/>
        <w:spacing w:after="0" w:line="304" w:lineRule="auto"/>
        <w:rPr>
          <w:sz w:val="20"/>
          <w:szCs w:val="20"/>
          <w:color w:val="auto"/>
        </w:rPr>
      </w:pPr>
      <w:r>
        <w:rPr>
          <w:rFonts w:ascii="Arial" w:cs="Arial" w:eastAsia="Arial" w:hAnsi="Arial"/>
          <w:sz w:val="14"/>
          <w:szCs w:val="14"/>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34" w:lineRule="exact"/>
        <w:rPr>
          <w:sz w:val="20"/>
          <w:szCs w:val="20"/>
          <w:color w:val="auto"/>
        </w:rPr>
      </w:pPr>
    </w:p>
    <w:p>
      <w:pPr>
        <w:ind w:right="120" w:firstLine="674"/>
        <w:spacing w:after="0" w:line="261" w:lineRule="auto"/>
        <w:rPr>
          <w:sz w:val="20"/>
          <w:szCs w:val="20"/>
          <w:color w:val="auto"/>
        </w:rPr>
      </w:pPr>
      <w:r>
        <w:rPr>
          <w:rFonts w:ascii="Arial" w:cs="Arial" w:eastAsia="Arial" w:hAnsi="Arial"/>
          <w:sz w:val="16"/>
          <w:szCs w:val="16"/>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8" w:lineRule="exact"/>
        <w:rPr>
          <w:sz w:val="20"/>
          <w:szCs w:val="20"/>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decreased demand for our product candidates or products that we may develop;</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injury to our reputation;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initiation of investigations by regulators;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costs to defend the related litigation;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diversion of management’s time and our resources;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product recalls, withdrawals or labeling, marketing or promotional restrictions;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exhaustion of any available insurance and our capital resources;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inability to commercialize any product candidate;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decline in our share price.</w:t>
      </w:r>
    </w:p>
    <w:p>
      <w:pPr>
        <w:spacing w:after="0" w:line="204" w:lineRule="exact"/>
        <w:rPr>
          <w:sz w:val="20"/>
          <w:szCs w:val="20"/>
          <w:color w:val="auto"/>
        </w:rPr>
      </w:pPr>
    </w:p>
    <w:p>
      <w:pPr>
        <w:ind w:right="100" w:firstLine="674"/>
        <w:spacing w:after="0" w:line="262" w:lineRule="auto"/>
        <w:rPr>
          <w:sz w:val="20"/>
          <w:szCs w:val="20"/>
          <w:color w:val="auto"/>
        </w:rPr>
      </w:pPr>
      <w:r>
        <w:rPr>
          <w:rFonts w:ascii="Arial" w:cs="Arial" w:eastAsia="Arial" w:hAnsi="Arial"/>
          <w:sz w:val="16"/>
          <w:szCs w:val="16"/>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6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ind w:firstLine="674"/>
        <w:spacing w:after="0" w:line="259"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45" w:name="page46"/>
    <w:bookmarkEnd w:id="45"/>
    <w:p>
      <w:pPr>
        <w:jc w:val="both"/>
        <w:ind w:right="100"/>
        <w:spacing w:after="0" w:line="287" w:lineRule="auto"/>
        <w:rPr>
          <w:sz w:val="20"/>
          <w:szCs w:val="20"/>
          <w:color w:val="auto"/>
        </w:rPr>
      </w:pPr>
      <w:r>
        <w:rPr>
          <w:rFonts w:ascii="Arial" w:cs="Arial" w:eastAsia="Arial" w:hAnsi="Arial"/>
          <w:sz w:val="16"/>
          <w:szCs w:val="16"/>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51" w:lineRule="exact"/>
        <w:rPr>
          <w:sz w:val="20"/>
          <w:szCs w:val="20"/>
          <w:color w:val="auto"/>
        </w:rPr>
      </w:pPr>
    </w:p>
    <w:p>
      <w:pPr>
        <w:jc w:val="both"/>
        <w:ind w:right="100" w:firstLine="674"/>
        <w:spacing w:after="0" w:line="327" w:lineRule="auto"/>
        <w:rPr>
          <w:sz w:val="20"/>
          <w:szCs w:val="20"/>
          <w:color w:val="auto"/>
        </w:rPr>
      </w:pPr>
      <w:r>
        <w:rPr>
          <w:rFonts w:ascii="Arial" w:cs="Arial" w:eastAsia="Arial" w:hAnsi="Arial"/>
          <w:sz w:val="14"/>
          <w:szCs w:val="14"/>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28" w:lineRule="exact"/>
        <w:rPr>
          <w:sz w:val="20"/>
          <w:szCs w:val="20"/>
          <w:color w:val="auto"/>
        </w:rPr>
      </w:pPr>
    </w:p>
    <w:p>
      <w:pPr>
        <w:ind w:right="180" w:firstLine="674"/>
        <w:spacing w:after="0" w:line="261"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70" w:lineRule="exact"/>
        <w:rPr>
          <w:sz w:val="20"/>
          <w:szCs w:val="20"/>
          <w:color w:val="auto"/>
        </w:rPr>
      </w:pPr>
    </w:p>
    <w:p>
      <w:pPr>
        <w:ind w:right="140"/>
        <w:spacing w:after="0" w:line="362" w:lineRule="auto"/>
        <w:rPr>
          <w:sz w:val="20"/>
          <w:szCs w:val="20"/>
          <w:color w:val="auto"/>
        </w:rPr>
      </w:pPr>
      <w:r>
        <w:rPr>
          <w:rFonts w:ascii="Arial" w:cs="Arial" w:eastAsia="Arial" w:hAnsi="Arial"/>
          <w:sz w:val="14"/>
          <w:szCs w:val="14"/>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 w:lineRule="exact"/>
        <w:rPr>
          <w:sz w:val="20"/>
          <w:szCs w:val="20"/>
          <w:color w:val="auto"/>
        </w:rPr>
      </w:pPr>
    </w:p>
    <w:p>
      <w:pPr>
        <w:ind w:right="100" w:firstLine="674"/>
        <w:spacing w:after="0" w:line="287" w:lineRule="auto"/>
        <w:rPr>
          <w:sz w:val="20"/>
          <w:szCs w:val="20"/>
          <w:color w:val="auto"/>
        </w:rPr>
      </w:pPr>
      <w:r>
        <w:rPr>
          <w:rFonts w:ascii="Arial" w:cs="Arial" w:eastAsia="Arial" w:hAnsi="Arial"/>
          <w:sz w:val="16"/>
          <w:szCs w:val="16"/>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51" w:lineRule="exact"/>
        <w:rPr>
          <w:sz w:val="20"/>
          <w:szCs w:val="20"/>
          <w:color w:val="auto"/>
        </w:rPr>
      </w:pPr>
    </w:p>
    <w:p>
      <w:pPr>
        <w:ind w:right="20" w:firstLine="674"/>
        <w:spacing w:after="0" w:line="283" w:lineRule="auto"/>
        <w:rPr>
          <w:sz w:val="20"/>
          <w:szCs w:val="20"/>
          <w:color w:val="auto"/>
        </w:rPr>
      </w:pPr>
      <w:r>
        <w:rPr>
          <w:rFonts w:ascii="Arial" w:cs="Arial" w:eastAsia="Arial" w:hAnsi="Arial"/>
          <w:sz w:val="15"/>
          <w:szCs w:val="15"/>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55" w:lineRule="exact"/>
        <w:rPr>
          <w:sz w:val="20"/>
          <w:szCs w:val="20"/>
          <w:color w:val="auto"/>
        </w:rPr>
      </w:pPr>
    </w:p>
    <w:p>
      <w:pPr>
        <w:ind w:right="420" w:firstLine="674"/>
        <w:spacing w:after="0" w:line="287" w:lineRule="auto"/>
        <w:rPr>
          <w:sz w:val="20"/>
          <w:szCs w:val="20"/>
          <w:color w:val="auto"/>
        </w:rPr>
      </w:pPr>
      <w:r>
        <w:rPr>
          <w:rFonts w:ascii="Arial" w:cs="Arial" w:eastAsia="Arial" w:hAnsi="Arial"/>
          <w:sz w:val="16"/>
          <w:szCs w:val="16"/>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Regulatory Process and Other Legal Compliance Matters</w:t>
      </w:r>
    </w:p>
    <w:p>
      <w:pPr>
        <w:spacing w:after="0" w:line="213"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44" w:lineRule="exact"/>
        <w:rPr>
          <w:sz w:val="20"/>
          <w:szCs w:val="20"/>
          <w:color w:val="auto"/>
        </w:rPr>
      </w:pPr>
    </w:p>
    <w:p>
      <w:pPr>
        <w:ind w:firstLine="674"/>
        <w:spacing w:after="0" w:line="289" w:lineRule="auto"/>
        <w:rPr>
          <w:sz w:val="20"/>
          <w:szCs w:val="20"/>
          <w:color w:val="auto"/>
        </w:rPr>
      </w:pPr>
      <w:r>
        <w:rPr>
          <w:rFonts w:ascii="Arial" w:cs="Arial" w:eastAsia="Arial" w:hAnsi="Arial"/>
          <w:sz w:val="15"/>
          <w:szCs w:val="15"/>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52" w:lineRule="exact"/>
        <w:rPr>
          <w:sz w:val="20"/>
          <w:szCs w:val="20"/>
          <w:color w:val="auto"/>
        </w:rPr>
      </w:pPr>
    </w:p>
    <w:p>
      <w:pPr>
        <w:ind w:right="20" w:firstLine="674"/>
        <w:spacing w:after="0" w:line="271" w:lineRule="auto"/>
        <w:rPr>
          <w:sz w:val="20"/>
          <w:szCs w:val="20"/>
          <w:color w:val="auto"/>
        </w:rPr>
      </w:pPr>
      <w:r>
        <w:rPr>
          <w:rFonts w:ascii="Arial" w:cs="Arial" w:eastAsia="Arial" w:hAnsi="Arial"/>
          <w:sz w:val="16"/>
          <w:szCs w:val="16"/>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618" w:right="359" w:bottom="1440" w:gutter="0" w:footer="0" w:header="0"/>
        </w:sectPr>
      </w:pPr>
    </w:p>
    <w:bookmarkStart w:id="46" w:name="page47"/>
    <w:bookmarkEnd w:id="46"/>
    <w:p>
      <w:pPr>
        <w:ind w:right="40" w:firstLine="674"/>
        <w:spacing w:after="0" w:line="260" w:lineRule="auto"/>
        <w:rPr>
          <w:sz w:val="20"/>
          <w:szCs w:val="20"/>
          <w:color w:val="auto"/>
        </w:rPr>
      </w:pPr>
      <w:r>
        <w:rPr>
          <w:rFonts w:ascii="Arial" w:cs="Arial" w:eastAsia="Arial" w:hAnsi="Arial"/>
          <w:sz w:val="16"/>
          <w:szCs w:val="16"/>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77" w:lineRule="exact"/>
        <w:rPr>
          <w:sz w:val="20"/>
          <w:szCs w:val="20"/>
          <w:color w:val="auto"/>
        </w:rPr>
      </w:pPr>
    </w:p>
    <w:p>
      <w:pPr>
        <w:ind w:left="960" w:right="260" w:hanging="298"/>
        <w:spacing w:after="0" w:line="266"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7" w:lineRule="exact"/>
        <w:rPr>
          <w:rFonts w:ascii="Arial" w:cs="Arial" w:eastAsia="Arial" w:hAnsi="Arial"/>
          <w:sz w:val="15"/>
          <w:szCs w:val="15"/>
          <w:color w:val="auto"/>
        </w:rPr>
      </w:pPr>
    </w:p>
    <w:p>
      <w:pPr>
        <w:ind w:left="960" w:hanging="298"/>
        <w:spacing w:after="0"/>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tumor-agnostic development strategy;</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population studied in the clinical trial may not be sufficiently broad or representative to assure efficacy and safety in the full population for which we seek approval;</w:t>
      </w:r>
    </w:p>
    <w:p>
      <w:pPr>
        <w:spacing w:after="0" w:line="121" w:lineRule="exact"/>
        <w:rPr>
          <w:rFonts w:ascii="Arial" w:cs="Arial" w:eastAsia="Arial" w:hAnsi="Arial"/>
          <w:sz w:val="14"/>
          <w:szCs w:val="14"/>
          <w:color w:val="auto"/>
        </w:rPr>
      </w:pPr>
    </w:p>
    <w:p>
      <w:pPr>
        <w:ind w:left="960" w:right="440" w:hanging="298"/>
        <w:spacing w:after="0" w:line="277"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other comparable regulatory authorities may fail to approve companion diagnostic tests that may be required for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results of clinical trials may not meet the level of statistical significance required by the FDA or comparable foreign regulatory authorities for approval;</w:t>
      </w:r>
    </w:p>
    <w:p>
      <w:pPr>
        <w:spacing w:after="0" w:line="110" w:lineRule="exact"/>
        <w:rPr>
          <w:rFonts w:ascii="Arial" w:cs="Arial" w:eastAsia="Arial" w:hAnsi="Arial"/>
          <w:sz w:val="15"/>
          <w:szCs w:val="15"/>
          <w:color w:val="auto"/>
        </w:rPr>
      </w:pPr>
    </w:p>
    <w:p>
      <w:pPr>
        <w:ind w:left="960" w:hanging="298"/>
        <w:spacing w:after="0" w:line="277"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be unable to demonstrate that a product candidate’s clinical and other benefits outweigh its safety risks, or that a product candidate has an acceptable benefit-risk ratio for its proposed indication;</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interpretation of data from preclinical studies or clinical trials;</w:t>
      </w:r>
    </w:p>
    <w:p>
      <w:pPr>
        <w:spacing w:after="0" w:line="110" w:lineRule="exact"/>
        <w:rPr>
          <w:rFonts w:ascii="Arial" w:cs="Arial" w:eastAsia="Arial" w:hAnsi="Arial"/>
          <w:sz w:val="15"/>
          <w:szCs w:val="15"/>
          <w:color w:val="auto"/>
        </w:rPr>
      </w:pPr>
    </w:p>
    <w:p>
      <w:pPr>
        <w:ind w:left="960" w:right="500" w:hanging="298"/>
        <w:spacing w:after="0" w:line="277"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data collected from clinical trials of our product candidates may not be sufficient to support the submission of an NDA or other submission or to obtain regulatory approval in the United States or elsewhere;</w:t>
      </w:r>
    </w:p>
    <w:p>
      <w:pPr>
        <w:spacing w:after="0" w:line="68" w:lineRule="exact"/>
        <w:rPr>
          <w:rFonts w:ascii="Arial" w:cs="Arial" w:eastAsia="Arial" w:hAnsi="Arial"/>
          <w:sz w:val="15"/>
          <w:szCs w:val="15"/>
          <w:color w:val="auto"/>
        </w:rPr>
      </w:pPr>
    </w:p>
    <w:p>
      <w:pPr>
        <w:ind w:left="960" w:right="840" w:hanging="298"/>
        <w:spacing w:after="0" w:line="277"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68" w:lineRule="exact"/>
        <w:rPr>
          <w:rFonts w:ascii="Arial" w:cs="Arial" w:eastAsia="Arial" w:hAnsi="Arial"/>
          <w:sz w:val="15"/>
          <w:szCs w:val="15"/>
          <w:color w:val="auto"/>
        </w:rPr>
      </w:pPr>
    </w:p>
    <w:p>
      <w:pPr>
        <w:ind w:left="960" w:right="120" w:hanging="298"/>
        <w:spacing w:after="0" w:line="277"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otherwise fail or be unable to adequately perform their obligations to allow for the conduct of our planned or future clinical studies; and</w:t>
      </w:r>
    </w:p>
    <w:p>
      <w:pPr>
        <w:spacing w:after="0" w:line="68" w:lineRule="exact"/>
        <w:rPr>
          <w:rFonts w:ascii="Arial" w:cs="Arial" w:eastAsia="Arial" w:hAnsi="Arial"/>
          <w:sz w:val="15"/>
          <w:szCs w:val="15"/>
          <w:color w:val="auto"/>
        </w:rPr>
      </w:pPr>
    </w:p>
    <w:p>
      <w:pPr>
        <w:ind w:left="960" w:right="100" w:hanging="298"/>
        <w:spacing w:after="0" w:line="277" w:lineRule="auto"/>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approval policies or regulations of the FDA or comparable foreign regulatory authorities may significantly change in a manner rendering our clinical data insufficient for approval.</w:t>
      </w:r>
    </w:p>
    <w:p>
      <w:pPr>
        <w:spacing w:after="0" w:line="163" w:lineRule="exact"/>
        <w:rPr>
          <w:sz w:val="20"/>
          <w:szCs w:val="20"/>
          <w:color w:val="auto"/>
        </w:rPr>
      </w:pPr>
    </w:p>
    <w:p>
      <w:pPr>
        <w:ind w:right="40" w:firstLine="674"/>
        <w:spacing w:after="0" w:line="271" w:lineRule="auto"/>
        <w:rPr>
          <w:sz w:val="20"/>
          <w:szCs w:val="20"/>
          <w:color w:val="auto"/>
        </w:rPr>
      </w:pPr>
      <w:r>
        <w:rPr>
          <w:rFonts w:ascii="Arial" w:cs="Arial" w:eastAsia="Arial" w:hAnsi="Arial"/>
          <w:sz w:val="16"/>
          <w:szCs w:val="16"/>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63" w:lineRule="exact"/>
        <w:rPr>
          <w:sz w:val="20"/>
          <w:szCs w:val="20"/>
          <w:color w:val="auto"/>
        </w:rPr>
      </w:pPr>
    </w:p>
    <w:p>
      <w:pPr>
        <w:ind w:right="40" w:firstLine="674"/>
        <w:spacing w:after="0" w:line="264" w:lineRule="auto"/>
        <w:rPr>
          <w:sz w:val="20"/>
          <w:szCs w:val="20"/>
          <w:color w:val="auto"/>
        </w:rPr>
      </w:pPr>
      <w:r>
        <w:rPr>
          <w:rFonts w:ascii="Arial" w:cs="Arial" w:eastAsia="Arial" w:hAnsi="Arial"/>
          <w:sz w:val="16"/>
          <w:szCs w:val="16"/>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7" w:name="page48"/>
    <w:bookmarkEnd w:id="47"/>
    <w:p>
      <w:pPr>
        <w:ind w:right="260"/>
        <w:spacing w:after="0" w:line="362" w:lineRule="auto"/>
        <w:rPr>
          <w:sz w:val="20"/>
          <w:szCs w:val="20"/>
          <w:color w:val="auto"/>
        </w:rPr>
      </w:pPr>
      <w:r>
        <w:rPr>
          <w:rFonts w:ascii="Arial" w:cs="Arial" w:eastAsia="Arial" w:hAnsi="Arial"/>
          <w:sz w:val="14"/>
          <w:szCs w:val="14"/>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6" w:lineRule="exact"/>
        <w:rPr>
          <w:sz w:val="20"/>
          <w:szCs w:val="20"/>
          <w:color w:val="auto"/>
        </w:rPr>
      </w:pPr>
    </w:p>
    <w:p>
      <w:pPr>
        <w:ind w:right="120" w:firstLine="674"/>
        <w:spacing w:after="0" w:line="261" w:lineRule="auto"/>
        <w:rPr>
          <w:sz w:val="20"/>
          <w:szCs w:val="20"/>
          <w:color w:val="auto"/>
        </w:rPr>
      </w:pPr>
      <w:r>
        <w:rPr>
          <w:rFonts w:ascii="Arial" w:cs="Arial" w:eastAsia="Arial" w:hAnsi="Arial"/>
          <w:sz w:val="16"/>
          <w:szCs w:val="16"/>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72" w:lineRule="exact"/>
        <w:rPr>
          <w:sz w:val="20"/>
          <w:szCs w:val="20"/>
          <w:color w:val="auto"/>
        </w:rPr>
      </w:pPr>
    </w:p>
    <w:p>
      <w:pPr>
        <w:ind w:right="60" w:firstLine="674"/>
        <w:spacing w:after="0" w:line="260"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4" w:lineRule="exact"/>
        <w:rPr>
          <w:sz w:val="20"/>
          <w:szCs w:val="20"/>
          <w:color w:val="auto"/>
        </w:rPr>
      </w:pPr>
    </w:p>
    <w:p>
      <w:pPr>
        <w:ind w:right="60" w:firstLine="674"/>
        <w:spacing w:after="0" w:line="278" w:lineRule="auto"/>
        <w:rPr>
          <w:sz w:val="20"/>
          <w:szCs w:val="20"/>
          <w:color w:val="auto"/>
        </w:rPr>
      </w:pPr>
      <w:r>
        <w:rPr>
          <w:rFonts w:ascii="Arial" w:cs="Arial" w:eastAsia="Arial" w:hAnsi="Arial"/>
          <w:sz w:val="15"/>
          <w:szCs w:val="15"/>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64" w:lineRule="exact"/>
        <w:rPr>
          <w:sz w:val="20"/>
          <w:szCs w:val="20"/>
          <w:color w:val="auto"/>
        </w:rPr>
      </w:pPr>
    </w:p>
    <w:p>
      <w:pPr>
        <w:spacing w:after="0" w:line="327" w:lineRule="auto"/>
        <w:rPr>
          <w:sz w:val="20"/>
          <w:szCs w:val="20"/>
          <w:color w:val="auto"/>
        </w:rPr>
      </w:pPr>
      <w:r>
        <w:rPr>
          <w:rFonts w:ascii="Arial" w:cs="Arial" w:eastAsia="Arial" w:hAnsi="Arial"/>
          <w:sz w:val="14"/>
          <w:szCs w:val="14"/>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128" w:lineRule="exact"/>
        <w:rPr>
          <w:sz w:val="20"/>
          <w:szCs w:val="20"/>
          <w:color w:val="auto"/>
        </w:rPr>
      </w:pPr>
    </w:p>
    <w:p>
      <w:pPr>
        <w:ind w:right="20" w:firstLine="674"/>
        <w:spacing w:after="0" w:line="262" w:lineRule="auto"/>
        <w:rPr>
          <w:sz w:val="20"/>
          <w:szCs w:val="20"/>
          <w:color w:val="auto"/>
        </w:rPr>
      </w:pPr>
      <w:r>
        <w:rPr>
          <w:rFonts w:ascii="Arial" w:cs="Arial" w:eastAsia="Arial" w:hAnsi="Arial"/>
          <w:sz w:val="16"/>
          <w:szCs w:val="16"/>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PC14586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PC14596,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1" w:lineRule="exact"/>
        <w:rPr>
          <w:sz w:val="20"/>
          <w:szCs w:val="20"/>
          <w:color w:val="auto"/>
        </w:rPr>
      </w:pPr>
    </w:p>
    <w:p>
      <w:pPr>
        <w:ind w:right="60" w:firstLine="674"/>
        <w:spacing w:after="0" w:line="266" w:lineRule="auto"/>
        <w:rPr>
          <w:sz w:val="20"/>
          <w:szCs w:val="20"/>
          <w:color w:val="auto"/>
        </w:rPr>
      </w:pPr>
      <w:r>
        <w:rPr>
          <w:rFonts w:ascii="Arial" w:cs="Arial" w:eastAsia="Arial" w:hAnsi="Arial"/>
          <w:sz w:val="16"/>
          <w:szCs w:val="16"/>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48" w:name="page49"/>
    <w:bookmarkEnd w:id="48"/>
    <w:p>
      <w:pPr>
        <w:ind w:right="40"/>
        <w:spacing w:after="0" w:line="264" w:lineRule="auto"/>
        <w:rPr>
          <w:sz w:val="20"/>
          <w:szCs w:val="20"/>
          <w:color w:val="auto"/>
        </w:rPr>
      </w:pPr>
      <w:r>
        <w:rPr>
          <w:rFonts w:ascii="Arial" w:cs="Arial" w:eastAsia="Arial" w:hAnsi="Arial"/>
          <w:sz w:val="16"/>
          <w:szCs w:val="16"/>
          <w:color w:val="auto"/>
        </w:rPr>
        <w:t>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67" w:lineRule="exact"/>
        <w:rPr>
          <w:sz w:val="20"/>
          <w:szCs w:val="20"/>
          <w:color w:val="auto"/>
        </w:rPr>
      </w:pPr>
    </w:p>
    <w:p>
      <w:pPr>
        <w:ind w:firstLine="674"/>
        <w:spacing w:after="0" w:line="278" w:lineRule="auto"/>
        <w:rPr>
          <w:sz w:val="20"/>
          <w:szCs w:val="20"/>
          <w:color w:val="auto"/>
        </w:rPr>
      </w:pPr>
      <w:r>
        <w:rPr>
          <w:rFonts w:ascii="Arial" w:cs="Arial" w:eastAsia="Arial" w:hAnsi="Arial"/>
          <w:sz w:val="15"/>
          <w:szCs w:val="15"/>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262" w:lineRule="exact"/>
        <w:rPr>
          <w:sz w:val="20"/>
          <w:szCs w:val="20"/>
          <w:color w:val="auto"/>
        </w:rPr>
      </w:pPr>
    </w:p>
    <w:p>
      <w:pPr>
        <w:ind w:right="600"/>
        <w:spacing w:after="0" w:line="287" w:lineRule="auto"/>
        <w:rPr>
          <w:sz w:val="20"/>
          <w:szCs w:val="20"/>
          <w:color w:val="auto"/>
        </w:rPr>
      </w:pPr>
      <w:r>
        <w:rPr>
          <w:rFonts w:ascii="Arial" w:cs="Arial" w:eastAsia="Arial" w:hAnsi="Arial"/>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60" w:firstLine="681"/>
        <w:spacing w:after="0" w:line="26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6" w:lineRule="exact"/>
        <w:rPr>
          <w:sz w:val="20"/>
          <w:szCs w:val="20"/>
          <w:color w:val="auto"/>
        </w:rPr>
      </w:pPr>
    </w:p>
    <w:p>
      <w:pPr>
        <w:ind w:firstLine="681"/>
        <w:spacing w:after="0" w:line="285" w:lineRule="auto"/>
        <w:rPr>
          <w:sz w:val="20"/>
          <w:szCs w:val="20"/>
          <w:color w:val="auto"/>
        </w:rPr>
      </w:pPr>
      <w:r>
        <w:rPr>
          <w:rFonts w:ascii="Arial" w:cs="Arial" w:eastAsia="Arial" w:hAnsi="Arial"/>
          <w:sz w:val="15"/>
          <w:szCs w:val="15"/>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155"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4" w:lineRule="exact"/>
        <w:rPr>
          <w:sz w:val="20"/>
          <w:szCs w:val="20"/>
          <w:color w:val="auto"/>
        </w:rPr>
      </w:pPr>
    </w:p>
    <w:p>
      <w:pPr>
        <w:ind w:right="80" w:firstLine="681"/>
        <w:spacing w:after="0" w:line="281" w:lineRule="auto"/>
        <w:rPr>
          <w:sz w:val="20"/>
          <w:szCs w:val="20"/>
          <w:color w:val="auto"/>
        </w:rPr>
      </w:pPr>
      <w:r>
        <w:rPr>
          <w:rFonts w:ascii="Arial" w:cs="Arial" w:eastAsia="Arial" w:hAnsi="Arial"/>
          <w:sz w:val="15"/>
          <w:szCs w:val="15"/>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to obtain marketing approval of their product candidates. Our preclinical studies and future clinical trials may not be successful.</w:t>
      </w:r>
    </w:p>
    <w:p>
      <w:pPr>
        <w:spacing w:after="0" w:line="209" w:lineRule="exact"/>
        <w:rPr>
          <w:sz w:val="20"/>
          <w:szCs w:val="20"/>
          <w:color w:val="auto"/>
        </w:rPr>
      </w:pPr>
    </w:p>
    <w:p>
      <w:pPr>
        <w:ind w:firstLine="674"/>
        <w:spacing w:after="0" w:line="262" w:lineRule="auto"/>
        <w:rPr>
          <w:sz w:val="20"/>
          <w:szCs w:val="20"/>
          <w:color w:val="auto"/>
        </w:rPr>
      </w:pPr>
      <w:r>
        <w:rPr>
          <w:rFonts w:ascii="Arial" w:cs="Arial" w:eastAsia="Arial" w:hAnsi="Arial"/>
          <w:sz w:val="16"/>
          <w:szCs w:val="16"/>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1" w:lineRule="exact"/>
        <w:rPr>
          <w:sz w:val="20"/>
          <w:szCs w:val="20"/>
          <w:color w:val="auto"/>
        </w:rPr>
      </w:pPr>
    </w:p>
    <w:p>
      <w:pPr>
        <w:ind w:right="120" w:firstLine="674"/>
        <w:spacing w:after="0" w:line="279" w:lineRule="auto"/>
        <w:rPr>
          <w:sz w:val="20"/>
          <w:szCs w:val="20"/>
          <w:color w:val="auto"/>
        </w:rPr>
      </w:pPr>
      <w:r>
        <w:rPr>
          <w:rFonts w:ascii="Arial" w:cs="Arial" w:eastAsia="Arial" w:hAnsi="Arial"/>
          <w:sz w:val="15"/>
          <w:szCs w:val="15"/>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61" w:lineRule="exact"/>
        <w:rPr>
          <w:sz w:val="20"/>
          <w:szCs w:val="20"/>
          <w:color w:val="auto"/>
        </w:rPr>
      </w:pPr>
    </w:p>
    <w:p>
      <w:pPr>
        <w:ind w:right="20" w:firstLine="674"/>
        <w:spacing w:after="0" w:line="266" w:lineRule="auto"/>
        <w:rPr>
          <w:sz w:val="20"/>
          <w:szCs w:val="20"/>
          <w:color w:val="auto"/>
        </w:rPr>
      </w:pPr>
      <w:r>
        <w:rPr>
          <w:rFonts w:ascii="Arial" w:cs="Arial" w:eastAsia="Arial" w:hAnsi="Arial"/>
          <w:sz w:val="16"/>
          <w:szCs w:val="16"/>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3" w:lineRule="exact"/>
        <w:rPr>
          <w:sz w:val="20"/>
          <w:szCs w:val="20"/>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availability of financial resources to commence and complete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disagreeing as to the design or implementation of our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disagreeing with our tumor-agnostic development strategy;</w:t>
      </w:r>
    </w:p>
    <w:p>
      <w:pPr>
        <w:spacing w:after="0" w:line="110" w:lineRule="exact"/>
        <w:rPr>
          <w:rFonts w:ascii="Arial" w:cs="Arial" w:eastAsia="Arial" w:hAnsi="Arial"/>
          <w:sz w:val="15"/>
          <w:szCs w:val="15"/>
          <w:color w:val="auto"/>
        </w:rPr>
      </w:pPr>
    </w:p>
    <w:p>
      <w:pPr>
        <w:ind w:left="960" w:right="140" w:hanging="298"/>
        <w:spacing w:after="0" w:line="277" w:lineRule="auto"/>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delays in obtaining regulatory approval or authorization to commence a clinical trial, including delays or issues relating to any future companion diagnostics which we may develop;</w:t>
      </w:r>
    </w:p>
    <w:p>
      <w:pPr>
        <w:spacing w:after="0" w:line="68" w:lineRule="exact"/>
        <w:rPr>
          <w:rFonts w:ascii="Arial" w:cs="Arial" w:eastAsia="Arial" w:hAnsi="Arial"/>
          <w:sz w:val="15"/>
          <w:szCs w:val="15"/>
          <w:color w:val="auto"/>
        </w:rPr>
      </w:pPr>
    </w:p>
    <w:p>
      <w:pPr>
        <w:ind w:left="960" w:right="80" w:hanging="298"/>
        <w:spacing w:after="0" w:line="277" w:lineRule="auto"/>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obtaining IRB or ethics committee approval at each clinical trial site;</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recruiting an adequate number of suitable patients to participate in a clinical trial;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number of patients required for clinical trials of our product candidates may be larger than we anticipate;</w:t>
      </w:r>
    </w:p>
    <w:p>
      <w:pPr>
        <w:spacing w:after="0" w:line="110" w:lineRule="exact"/>
        <w:rPr>
          <w:rFonts w:ascii="Arial" w:cs="Arial" w:eastAsia="Arial" w:hAnsi="Arial"/>
          <w:sz w:val="15"/>
          <w:szCs w:val="15"/>
          <w:color w:val="auto"/>
        </w:rPr>
      </w:pPr>
    </w:p>
    <w:p>
      <w:pPr>
        <w:ind w:left="960" w:right="380" w:hanging="298"/>
        <w:spacing w:after="0" w:line="356" w:lineRule="auto"/>
        <w:tabs>
          <w:tab w:leader="none" w:pos="9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23" w:lineRule="exact"/>
        <w:rPr>
          <w:rFonts w:ascii="Arial" w:cs="Arial" w:eastAsia="Arial" w:hAnsi="Arial"/>
          <w:sz w:val="13"/>
          <w:szCs w:val="13"/>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having subjects complete a clinical trial or return for post-treatment follow-up;</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clinical trial sites deviating from clinical trial protocol or dropping out of a clinical trial;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having third-party contractors fail to complete their obligations in a timely manner or failing to comply with applicable regulatory requirements;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addressing subject safety concerns that arise during the course of a clinical trial;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adding a sufficient number of clinical trial sites; or</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obtaining sufficient product supply of product candidate for use in preclinical studies or clinical trials from third-party suppliers.</w:t>
      </w:r>
    </w:p>
    <w:p>
      <w:pPr>
        <w:spacing w:after="0" w:line="204" w:lineRule="exact"/>
        <w:rPr>
          <w:sz w:val="20"/>
          <w:szCs w:val="20"/>
          <w:color w:val="auto"/>
        </w:rPr>
      </w:pPr>
    </w:p>
    <w:p>
      <w:pPr>
        <w:ind w:firstLine="674"/>
        <w:spacing w:after="0" w:line="271"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50" w:name="page51"/>
    <w:bookmarkEnd w:id="50"/>
    <w:p>
      <w:pPr>
        <w:ind w:right="40"/>
        <w:spacing w:after="0" w:line="262" w:lineRule="auto"/>
        <w:rPr>
          <w:sz w:val="20"/>
          <w:szCs w:val="20"/>
          <w:color w:val="auto"/>
        </w:rPr>
      </w:pPr>
      <w:r>
        <w:rPr>
          <w:rFonts w:ascii="Arial" w:cs="Arial" w:eastAsia="Arial" w:hAnsi="Arial"/>
          <w:sz w:val="16"/>
          <w:szCs w:val="16"/>
          <w:color w:val="auto"/>
        </w:rPr>
        <w:t>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71" w:lineRule="exact"/>
        <w:rPr>
          <w:sz w:val="20"/>
          <w:szCs w:val="20"/>
          <w:color w:val="auto"/>
        </w:rPr>
      </w:pPr>
    </w:p>
    <w:p>
      <w:pPr>
        <w:ind w:firstLine="674"/>
        <w:spacing w:after="0" w:line="261" w:lineRule="auto"/>
        <w:rPr>
          <w:sz w:val="20"/>
          <w:szCs w:val="20"/>
          <w:color w:val="auto"/>
        </w:rPr>
      </w:pPr>
      <w:r>
        <w:rPr>
          <w:rFonts w:ascii="Arial" w:cs="Arial" w:eastAsia="Arial" w:hAnsi="Arial"/>
          <w:sz w:val="16"/>
          <w:szCs w:val="16"/>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2" w:lineRule="exact"/>
        <w:rPr>
          <w:sz w:val="20"/>
          <w:szCs w:val="20"/>
          <w:color w:val="auto"/>
        </w:rPr>
      </w:pPr>
    </w:p>
    <w:p>
      <w:pPr>
        <w:ind w:right="180" w:firstLine="674"/>
        <w:spacing w:after="0" w:line="260" w:lineRule="auto"/>
        <w:rPr>
          <w:sz w:val="20"/>
          <w:szCs w:val="20"/>
          <w:color w:val="auto"/>
        </w:rPr>
      </w:pPr>
      <w:r>
        <w:rPr>
          <w:rFonts w:ascii="Arial" w:cs="Arial" w:eastAsia="Arial" w:hAnsi="Arial"/>
          <w:sz w:val="16"/>
          <w:szCs w:val="16"/>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67"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67" w:lineRule="exact"/>
        <w:rPr>
          <w:sz w:val="20"/>
          <w:szCs w:val="20"/>
          <w:color w:val="auto"/>
        </w:rPr>
      </w:pPr>
    </w:p>
    <w:p>
      <w:pPr>
        <w:ind w:right="20" w:firstLine="674"/>
        <w:spacing w:after="0" w:line="278" w:lineRule="auto"/>
        <w:rPr>
          <w:sz w:val="20"/>
          <w:szCs w:val="20"/>
          <w:color w:val="auto"/>
        </w:rPr>
      </w:pPr>
      <w:r>
        <w:rPr>
          <w:rFonts w:ascii="Arial" w:cs="Arial" w:eastAsia="Arial" w:hAnsi="Arial"/>
          <w:sz w:val="15"/>
          <w:szCs w:val="15"/>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51" w:name="page52"/>
    <w:bookmarkEnd w:id="51"/>
    <w:p>
      <w:pPr>
        <w:ind w:right="240"/>
        <w:spacing w:after="0" w:line="271" w:lineRule="auto"/>
        <w:rPr>
          <w:sz w:val="20"/>
          <w:szCs w:val="20"/>
          <w:color w:val="auto"/>
        </w:rPr>
      </w:pPr>
      <w:r>
        <w:rPr>
          <w:rFonts w:ascii="Arial" w:cs="Arial" w:eastAsia="Arial" w:hAnsi="Arial"/>
          <w:sz w:val="16"/>
          <w:szCs w:val="16"/>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63" w:lineRule="exact"/>
        <w:rPr>
          <w:sz w:val="20"/>
          <w:szCs w:val="20"/>
          <w:color w:val="auto"/>
        </w:rPr>
      </w:pPr>
    </w:p>
    <w:p>
      <w:pPr>
        <w:ind w:right="60" w:firstLine="674"/>
        <w:spacing w:after="0" w:line="27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63" w:lineRule="exact"/>
        <w:rPr>
          <w:sz w:val="20"/>
          <w:szCs w:val="20"/>
          <w:color w:val="auto"/>
        </w:rPr>
      </w:pPr>
    </w:p>
    <w:p>
      <w:pPr>
        <w:ind w:right="20" w:firstLine="674"/>
        <w:spacing w:after="0" w:line="281" w:lineRule="auto"/>
        <w:rPr>
          <w:sz w:val="20"/>
          <w:szCs w:val="20"/>
          <w:color w:val="auto"/>
        </w:rPr>
      </w:pPr>
      <w:r>
        <w:rPr>
          <w:rFonts w:ascii="Arial" w:cs="Arial" w:eastAsia="Arial" w:hAnsi="Arial"/>
          <w:sz w:val="15"/>
          <w:szCs w:val="15"/>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68" w:lineRule="exact"/>
        <w:rPr>
          <w:sz w:val="20"/>
          <w:szCs w:val="20"/>
          <w:color w:val="auto"/>
        </w:rPr>
      </w:pPr>
    </w:p>
    <w:p>
      <w:pPr>
        <w:ind w:left="960" w:hanging="298"/>
        <w:spacing w:after="0"/>
        <w:tabs>
          <w:tab w:leader="none" w:pos="9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our product candidates, withdrawal of the product from the market or voluntary or mandatory product recalls;</w:t>
      </w:r>
    </w:p>
    <w:p>
      <w:pPr>
        <w:spacing w:after="0" w:line="121" w:lineRule="exact"/>
        <w:rPr>
          <w:rFonts w:ascii="Arial" w:cs="Arial" w:eastAsia="Arial" w:hAnsi="Arial"/>
          <w:sz w:val="14"/>
          <w:szCs w:val="14"/>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manufacturing delays and supply disruptions where regulatory inspections identify observations of noncompliance requiring remediation;</w:t>
      </w:r>
    </w:p>
    <w:p>
      <w:pPr>
        <w:spacing w:after="0" w:line="110" w:lineRule="exact"/>
        <w:rPr>
          <w:rFonts w:ascii="Arial" w:cs="Arial" w:eastAsia="Arial" w:hAnsi="Arial"/>
          <w:sz w:val="15"/>
          <w:szCs w:val="15"/>
          <w:color w:val="auto"/>
        </w:rPr>
      </w:pPr>
    </w:p>
    <w:p>
      <w:pPr>
        <w:ind w:left="960" w:right="580" w:hanging="298"/>
        <w:spacing w:after="0" w:line="277" w:lineRule="auto"/>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revisions to the labeling, including limitation on approved uses or the addition of additional warnings, contraindications or other safety information, including boxed warnings;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imposition of a REMS, which may include distribution or use restrictions;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requirements to conduct additional post-market clinical trials to assess the safety of the product;</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fines, warning or untitled letters or holds on clinical trials;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refusal by the FDA to approve pending applications or supplements to approved applications filed by us or suspension or revocation of approvals;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product seizure or detention, or refusal to permit the import or export of our product candidates;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204" w:lineRule="exact"/>
        <w:rPr>
          <w:sz w:val="20"/>
          <w:szCs w:val="20"/>
          <w:color w:val="auto"/>
        </w:rPr>
      </w:pPr>
    </w:p>
    <w:p>
      <w:pPr>
        <w:ind w:firstLine="674"/>
        <w:spacing w:after="0" w:line="279"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1"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The occurrence of any event or penalty described above may inhibit our ability to commercialize our product candidates, if approved, and generate revenue.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11" w:lineRule="exact"/>
        <w:rPr>
          <w:sz w:val="20"/>
          <w:szCs w:val="20"/>
          <w:color w:val="auto"/>
        </w:rPr>
      </w:pPr>
    </w:p>
    <w:p>
      <w:pPr>
        <w:ind w:firstLine="674"/>
        <w:spacing w:after="0" w:line="285" w:lineRule="auto"/>
        <w:rPr>
          <w:sz w:val="20"/>
          <w:szCs w:val="20"/>
          <w:color w:val="auto"/>
        </w:rPr>
      </w:pPr>
      <w:r>
        <w:rPr>
          <w:rFonts w:ascii="Arial" w:cs="Arial" w:eastAsia="Arial" w:hAnsi="Arial"/>
          <w:sz w:val="15"/>
          <w:szCs w:val="15"/>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57" w:lineRule="exact"/>
        <w:rPr>
          <w:sz w:val="20"/>
          <w:szCs w:val="20"/>
          <w:color w:val="auto"/>
        </w:rPr>
      </w:pPr>
    </w:p>
    <w:p>
      <w:pPr>
        <w:ind w:firstLine="674"/>
        <w:spacing w:after="0" w:line="26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sz w:val="20"/>
          <w:szCs w:val="20"/>
          <w:color w:val="auto"/>
        </w:rPr>
      </w:pPr>
    </w:p>
    <w:p>
      <w:pPr>
        <w:ind w:right="100" w:firstLine="674"/>
        <w:spacing w:after="0" w:line="278" w:lineRule="auto"/>
        <w:rPr>
          <w:sz w:val="20"/>
          <w:szCs w:val="20"/>
          <w:color w:val="auto"/>
        </w:rPr>
      </w:pPr>
      <w:r>
        <w:rPr>
          <w:rFonts w:ascii="Arial" w:cs="Arial" w:eastAsia="Arial" w:hAnsi="Arial"/>
          <w:sz w:val="15"/>
          <w:szCs w:val="15"/>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62" w:lineRule="exact"/>
        <w:rPr>
          <w:sz w:val="20"/>
          <w:szCs w:val="20"/>
          <w:color w:val="auto"/>
        </w:rPr>
      </w:pPr>
    </w:p>
    <w:p>
      <w:pPr>
        <w:ind w:right="40" w:firstLine="674"/>
        <w:spacing w:after="0" w:line="281" w:lineRule="auto"/>
        <w:rPr>
          <w:sz w:val="20"/>
          <w:szCs w:val="20"/>
          <w:color w:val="auto"/>
        </w:rPr>
      </w:pPr>
      <w:r>
        <w:rPr>
          <w:rFonts w:ascii="Arial" w:cs="Arial" w:eastAsia="Arial" w:hAnsi="Arial"/>
          <w:sz w:val="15"/>
          <w:szCs w:val="15"/>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53" w:name="page54"/>
    <w:bookmarkEnd w:id="53"/>
    <w:p>
      <w:pPr>
        <w:ind w:firstLine="674"/>
        <w:spacing w:after="0" w:line="276" w:lineRule="auto"/>
        <w:rPr>
          <w:sz w:val="20"/>
          <w:szCs w:val="20"/>
          <w:color w:val="auto"/>
        </w:rPr>
      </w:pPr>
      <w:r>
        <w:rPr>
          <w:rFonts w:ascii="Arial" w:cs="Arial" w:eastAsia="Arial" w:hAnsi="Arial"/>
          <w:sz w:val="15"/>
          <w:szCs w:val="15"/>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71" w:lineRule="exact"/>
        <w:rPr>
          <w:sz w:val="20"/>
          <w:szCs w:val="20"/>
          <w:color w:val="auto"/>
        </w:rPr>
      </w:pPr>
    </w:p>
    <w:p>
      <w:pPr>
        <w:ind w:right="60" w:firstLine="674"/>
        <w:spacing w:after="0" w:line="304" w:lineRule="auto"/>
        <w:rPr>
          <w:sz w:val="20"/>
          <w:szCs w:val="20"/>
          <w:color w:val="auto"/>
        </w:rPr>
      </w:pPr>
      <w:r>
        <w:rPr>
          <w:rFonts w:ascii="Arial" w:cs="Arial" w:eastAsia="Arial" w:hAnsi="Arial"/>
          <w:sz w:val="14"/>
          <w:szCs w:val="14"/>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49" w:lineRule="exact"/>
        <w:rPr>
          <w:sz w:val="20"/>
          <w:szCs w:val="20"/>
          <w:color w:val="auto"/>
        </w:rPr>
      </w:pPr>
    </w:p>
    <w:p>
      <w:pPr>
        <w:ind w:right="20" w:firstLine="674"/>
        <w:spacing w:after="0" w:line="289" w:lineRule="auto"/>
        <w:rPr>
          <w:sz w:val="20"/>
          <w:szCs w:val="20"/>
          <w:color w:val="auto"/>
        </w:rPr>
      </w:pPr>
      <w:r>
        <w:rPr>
          <w:rFonts w:ascii="Arial" w:cs="Arial" w:eastAsia="Arial" w:hAnsi="Arial"/>
          <w:sz w:val="15"/>
          <w:szCs w:val="15"/>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54" w:lineRule="exact"/>
        <w:rPr>
          <w:sz w:val="20"/>
          <w:szCs w:val="20"/>
          <w:color w:val="auto"/>
        </w:rPr>
      </w:pPr>
    </w:p>
    <w:p>
      <w:pPr>
        <w:ind w:right="80" w:firstLine="674"/>
        <w:spacing w:after="0" w:line="281" w:lineRule="auto"/>
        <w:rPr>
          <w:sz w:val="20"/>
          <w:szCs w:val="20"/>
          <w:color w:val="auto"/>
        </w:rPr>
      </w:pPr>
      <w:r>
        <w:rPr>
          <w:rFonts w:ascii="Arial" w:cs="Arial" w:eastAsia="Arial" w:hAnsi="Arial"/>
          <w:sz w:val="15"/>
          <w:szCs w:val="15"/>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60" w:lineRule="exact"/>
        <w:rPr>
          <w:sz w:val="20"/>
          <w:szCs w:val="20"/>
          <w:color w:val="auto"/>
        </w:rPr>
      </w:pPr>
    </w:p>
    <w:p>
      <w:pPr>
        <w:jc w:val="both"/>
        <w:ind w:right="20" w:firstLine="674"/>
        <w:spacing w:after="0" w:line="27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5" w:lineRule="exact"/>
        <w:rPr>
          <w:sz w:val="20"/>
          <w:szCs w:val="20"/>
          <w:color w:val="auto"/>
        </w:rPr>
      </w:pPr>
    </w:p>
    <w:p>
      <w:pPr>
        <w:ind w:right="60" w:firstLine="674"/>
        <w:spacing w:after="0" w:line="27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4" w:name="page55"/>
    <w:bookmarkEnd w:id="54"/>
    <w:p>
      <w:pPr>
        <w:ind w:right="240"/>
        <w:spacing w:after="0" w:line="287" w:lineRule="auto"/>
        <w:rPr>
          <w:sz w:val="20"/>
          <w:szCs w:val="20"/>
          <w:color w:val="auto"/>
        </w:rPr>
      </w:pPr>
      <w:r>
        <w:rPr>
          <w:rFonts w:ascii="Arial" w:cs="Arial" w:eastAsia="Arial" w:hAnsi="Arial"/>
          <w:sz w:val="16"/>
          <w:szCs w:val="16"/>
          <w:color w:val="auto"/>
        </w:rPr>
        <w:t>continuing efforts of the government, insurance companies, managed care organizations and other payors of healthcare services to contain or reduce costs of healthcare and/or impose price controls may adversely affect:</w:t>
      </w:r>
    </w:p>
    <w:p>
      <w:pPr>
        <w:spacing w:after="0" w:line="56" w:lineRule="exact"/>
        <w:rPr>
          <w:sz w:val="20"/>
          <w:szCs w:val="20"/>
          <w:color w:val="auto"/>
        </w:rPr>
      </w:pPr>
    </w:p>
    <w:p>
      <w:pPr>
        <w:ind w:left="960" w:hanging="29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demand for our product candidates, if we obtain regulatory approval;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set a price that we believe is fair for our products;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obtain coverage and reimbursement approval for a product;</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generate revenue and achieve or maintain profitability;</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level of taxes that we are required to pay;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availability of capital.</w:t>
      </w:r>
    </w:p>
    <w:p>
      <w:pPr>
        <w:spacing w:after="0" w:line="106" w:lineRule="exact"/>
        <w:rPr>
          <w:sz w:val="20"/>
          <w:szCs w:val="20"/>
          <w:color w:val="auto"/>
        </w:rPr>
      </w:pPr>
    </w:p>
    <w:p>
      <w:pPr>
        <w:ind w:right="200" w:firstLine="674"/>
        <w:spacing w:after="0" w:line="287" w:lineRule="auto"/>
        <w:rPr>
          <w:sz w:val="20"/>
          <w:szCs w:val="20"/>
          <w:color w:val="auto"/>
        </w:rPr>
      </w:pPr>
      <w:r>
        <w:rPr>
          <w:rFonts w:ascii="Arial" w:cs="Arial" w:eastAsia="Arial" w:hAnsi="Arial"/>
          <w:sz w:val="16"/>
          <w:szCs w:val="16"/>
          <w:color w:val="auto"/>
        </w:rPr>
        <w:t>Any reduction in reimbursement from Medicare or other government programs may result in a similar reduction in payments from private payors, which may adversely affect our future profitability.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w:t>
      </w:r>
    </w:p>
    <w:p>
      <w:pPr>
        <w:spacing w:after="0" w:line="111" w:lineRule="exact"/>
        <w:rPr>
          <w:sz w:val="20"/>
          <w:szCs w:val="20"/>
          <w:color w:val="auto"/>
        </w:rPr>
      </w:pPr>
    </w:p>
    <w:p>
      <w:pPr>
        <w:ind w:right="20" w:firstLine="674"/>
        <w:spacing w:after="0" w:line="302" w:lineRule="auto"/>
        <w:rPr>
          <w:sz w:val="20"/>
          <w:szCs w:val="20"/>
          <w:color w:val="auto"/>
        </w:rPr>
      </w:pPr>
      <w:r>
        <w:rPr>
          <w:rFonts w:ascii="Arial" w:cs="Arial" w:eastAsia="Arial" w:hAnsi="Arial"/>
          <w:sz w:val="14"/>
          <w:szCs w:val="14"/>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4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674"/>
        <w:spacing w:after="0" w:line="277" w:lineRule="auto"/>
        <w:rPr>
          <w:sz w:val="20"/>
          <w:szCs w:val="20"/>
          <w:color w:val="auto"/>
        </w:rPr>
      </w:pPr>
      <w:r>
        <w:rPr>
          <w:rFonts w:ascii="Arial" w:cs="Arial" w:eastAsia="Arial" w:hAnsi="Arial"/>
          <w:sz w:val="15"/>
          <w:szCs w:val="15"/>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5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140" w:firstLine="674"/>
        <w:spacing w:after="0" w:line="287" w:lineRule="auto"/>
        <w:rPr>
          <w:sz w:val="20"/>
          <w:szCs w:val="20"/>
          <w:color w:val="auto"/>
        </w:rPr>
      </w:pPr>
      <w:r>
        <w:rPr>
          <w:rFonts w:ascii="Arial" w:cs="Arial" w:eastAsia="Arial" w:hAnsi="Arial"/>
          <w:sz w:val="16"/>
          <w:szCs w:val="16"/>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55" w:name="page56"/>
    <w:bookmarkEnd w:id="55"/>
    <w:p>
      <w:pPr>
        <w:ind w:right="500"/>
        <w:spacing w:after="0" w:line="287" w:lineRule="auto"/>
        <w:rPr>
          <w:sz w:val="20"/>
          <w:szCs w:val="20"/>
          <w:color w:val="auto"/>
        </w:rPr>
      </w:pPr>
      <w:r>
        <w:rPr>
          <w:rFonts w:ascii="Arial" w:cs="Arial" w:eastAsia="Arial" w:hAnsi="Arial"/>
          <w:sz w:val="16"/>
          <w:szCs w:val="16"/>
          <w:color w:val="auto"/>
        </w:rPr>
        <w:t>which we conduct our operations, including how we research, market, sell and distribute our product candidates, if approved. The laws that may affect our ability to operate include, but are not limited to:</w:t>
      </w:r>
    </w:p>
    <w:p>
      <w:pPr>
        <w:spacing w:after="0" w:line="56" w:lineRule="exact"/>
        <w:rPr>
          <w:sz w:val="20"/>
          <w:szCs w:val="20"/>
          <w:color w:val="auto"/>
        </w:rPr>
      </w:pPr>
    </w:p>
    <w:p>
      <w:pPr>
        <w:ind w:left="960" w:right="40" w:hanging="298"/>
        <w:spacing w:after="0" w:line="307" w:lineRule="auto"/>
        <w:tabs>
          <w:tab w:leader="none" w:pos="9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56" w:lineRule="exact"/>
        <w:rPr>
          <w:rFonts w:ascii="Arial" w:cs="Arial" w:eastAsia="Arial" w:hAnsi="Arial"/>
          <w:sz w:val="13"/>
          <w:szCs w:val="13"/>
          <w:color w:val="auto"/>
        </w:rPr>
      </w:pPr>
    </w:p>
    <w:p>
      <w:pPr>
        <w:ind w:left="960" w:hanging="298"/>
        <w:spacing w:after="0" w:line="279" w:lineRule="auto"/>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69" w:lineRule="exact"/>
        <w:rPr>
          <w:rFonts w:ascii="Arial" w:cs="Arial" w:eastAsia="Arial" w:hAnsi="Arial"/>
          <w:sz w:val="14"/>
          <w:szCs w:val="14"/>
          <w:color w:val="auto"/>
        </w:rPr>
      </w:pPr>
    </w:p>
    <w:p>
      <w:pPr>
        <w:ind w:left="960" w:right="40" w:hanging="298"/>
        <w:spacing w:after="0" w:line="282" w:lineRule="auto"/>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68" w:lineRule="exact"/>
        <w:rPr>
          <w:rFonts w:ascii="Arial" w:cs="Arial" w:eastAsia="Arial" w:hAnsi="Arial"/>
          <w:sz w:val="14"/>
          <w:szCs w:val="14"/>
          <w:color w:val="auto"/>
        </w:rPr>
      </w:pPr>
    </w:p>
    <w:p>
      <w:pPr>
        <w:ind w:left="960" w:right="140" w:hanging="298"/>
        <w:spacing w:after="0" w:line="316" w:lineRule="auto"/>
        <w:tabs>
          <w:tab w:leader="none" w:pos="9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47" w:lineRule="exact"/>
        <w:rPr>
          <w:rFonts w:ascii="Arial" w:cs="Arial" w:eastAsia="Arial" w:hAnsi="Arial"/>
          <w:sz w:val="13"/>
          <w:szCs w:val="13"/>
          <w:color w:val="auto"/>
        </w:rPr>
      </w:pPr>
    </w:p>
    <w:p>
      <w:pPr>
        <w:ind w:left="960" w:right="800" w:hanging="298"/>
        <w:spacing w:after="0" w:line="277"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these reporting obligations will extend to include payments and transfers of value made to certain non-physician providers such as physician assistants and nurse practitioners;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federal consumer protection and unfair competition laws, which broadly regulate marketplace activities and activities that potentially harm consumers; and</w:t>
      </w:r>
    </w:p>
    <w:p>
      <w:pPr>
        <w:spacing w:after="0" w:line="110" w:lineRule="exact"/>
        <w:rPr>
          <w:rFonts w:ascii="Arial" w:cs="Arial" w:eastAsia="Arial" w:hAnsi="Arial"/>
          <w:sz w:val="15"/>
          <w:szCs w:val="15"/>
          <w:color w:val="auto"/>
        </w:rPr>
      </w:pPr>
    </w:p>
    <w:p>
      <w:pPr>
        <w:ind w:left="960" w:right="60" w:hanging="298"/>
        <w:spacing w:after="0" w:line="281" w:lineRule="auto"/>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6" w:name="page57"/>
    <w:bookmarkEnd w:id="56"/>
    <w:p>
      <w:pPr>
        <w:ind w:firstLine="674"/>
        <w:spacing w:after="0" w:line="277" w:lineRule="auto"/>
        <w:rPr>
          <w:sz w:val="20"/>
          <w:szCs w:val="20"/>
          <w:color w:val="auto"/>
        </w:rPr>
      </w:pPr>
      <w:r>
        <w:rPr>
          <w:rFonts w:ascii="Arial" w:cs="Arial" w:eastAsia="Arial" w:hAnsi="Arial"/>
          <w:sz w:val="15"/>
          <w:szCs w:val="15"/>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11" w:lineRule="exact"/>
        <w:rPr>
          <w:sz w:val="20"/>
          <w:szCs w:val="20"/>
          <w:color w:val="auto"/>
        </w:rPr>
      </w:pPr>
    </w:p>
    <w:p>
      <w:pPr>
        <w:ind w:right="20" w:firstLine="674"/>
        <w:spacing w:after="0" w:line="300" w:lineRule="auto"/>
        <w:rPr>
          <w:sz w:val="20"/>
          <w:szCs w:val="20"/>
          <w:color w:val="auto"/>
        </w:rPr>
      </w:pPr>
      <w:r>
        <w:rPr>
          <w:rFonts w:ascii="Arial" w:cs="Arial" w:eastAsia="Arial" w:hAnsi="Arial"/>
          <w:sz w:val="14"/>
          <w:szCs w:val="14"/>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352" w:lineRule="exact"/>
        <w:rPr>
          <w:sz w:val="20"/>
          <w:szCs w:val="20"/>
          <w:color w:val="auto"/>
        </w:rPr>
      </w:pPr>
    </w:p>
    <w:p>
      <w:pPr>
        <w:ind w:right="140" w:firstLine="674"/>
        <w:spacing w:after="0" w:line="277" w:lineRule="auto"/>
        <w:rPr>
          <w:sz w:val="20"/>
          <w:szCs w:val="20"/>
          <w:color w:val="auto"/>
        </w:rPr>
      </w:pPr>
      <w:r>
        <w:rPr>
          <w:rFonts w:ascii="Arial" w:cs="Arial" w:eastAsia="Arial" w:hAnsi="Arial"/>
          <w:sz w:val="15"/>
          <w:szCs w:val="15"/>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7" w:name="page58"/>
    <w:bookmarkEnd w:id="57"/>
    <w:p>
      <w:pPr>
        <w:ind w:firstLine="674"/>
        <w:spacing w:after="0" w:line="260" w:lineRule="auto"/>
        <w:rPr>
          <w:sz w:val="20"/>
          <w:szCs w:val="20"/>
          <w:color w:val="auto"/>
        </w:rPr>
      </w:pPr>
      <w:r>
        <w:rPr>
          <w:rFonts w:ascii="Arial" w:cs="Arial" w:eastAsia="Arial" w:hAnsi="Arial"/>
          <w:sz w:val="16"/>
          <w:szCs w:val="16"/>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73" w:lineRule="exact"/>
        <w:rPr>
          <w:sz w:val="20"/>
          <w:szCs w:val="20"/>
          <w:color w:val="auto"/>
        </w:rPr>
      </w:pPr>
    </w:p>
    <w:p>
      <w:pPr>
        <w:ind w:right="40" w:firstLine="674"/>
        <w:spacing w:after="0" w:line="281" w:lineRule="auto"/>
        <w:rPr>
          <w:sz w:val="20"/>
          <w:szCs w:val="20"/>
          <w:color w:val="auto"/>
        </w:rPr>
      </w:pPr>
      <w:r>
        <w:rPr>
          <w:rFonts w:ascii="Arial" w:cs="Arial" w:eastAsia="Arial" w:hAnsi="Arial"/>
          <w:sz w:val="15"/>
          <w:szCs w:val="15"/>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5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674"/>
        <w:spacing w:after="0" w:line="280"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1" w:lineRule="exact"/>
        <w:rPr>
          <w:sz w:val="20"/>
          <w:szCs w:val="20"/>
          <w:color w:val="auto"/>
        </w:rPr>
      </w:pPr>
    </w:p>
    <w:p>
      <w:pPr>
        <w:ind w:right="360" w:firstLine="674"/>
        <w:spacing w:after="0" w:line="27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research and development activities could be affected or delayed as a result of possible restrictions on animal testing.</w:t>
      </w:r>
    </w:p>
    <w:p>
      <w:pPr>
        <w:spacing w:after="0" w:line="111" w:lineRule="exact"/>
        <w:rPr>
          <w:sz w:val="20"/>
          <w:szCs w:val="20"/>
          <w:color w:val="auto"/>
        </w:rPr>
      </w:pPr>
    </w:p>
    <w:p>
      <w:pPr>
        <w:ind w:right="60" w:firstLine="674"/>
        <w:spacing w:after="0" w:line="266"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40" w:firstLine="674"/>
        <w:spacing w:after="0" w:line="262"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58" w:name="page59"/>
    <w:bookmarkEnd w:id="58"/>
    <w:p>
      <w:pPr>
        <w:ind w:right="40"/>
        <w:spacing w:after="0" w:line="298" w:lineRule="auto"/>
        <w:rPr>
          <w:sz w:val="20"/>
          <w:szCs w:val="20"/>
          <w:color w:val="auto"/>
        </w:rPr>
      </w:pPr>
      <w:r>
        <w:rPr>
          <w:rFonts w:ascii="Arial" w:cs="Arial" w:eastAsia="Arial" w:hAnsi="Arial"/>
          <w:sz w:val="15"/>
          <w:szCs w:val="15"/>
          <w:color w:val="auto"/>
        </w:rPr>
        <w:t>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Employee Matters, Managing Our Growth and Other Risks Related to Our Business</w:t>
      </w: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140" w:firstLine="674"/>
        <w:spacing w:after="0" w:line="285" w:lineRule="auto"/>
        <w:rPr>
          <w:sz w:val="20"/>
          <w:szCs w:val="20"/>
          <w:color w:val="auto"/>
        </w:rPr>
      </w:pPr>
      <w:r>
        <w:rPr>
          <w:rFonts w:ascii="Arial" w:cs="Arial" w:eastAsia="Arial" w:hAnsi="Arial"/>
          <w:sz w:val="15"/>
          <w:szCs w:val="15"/>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57"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69" w:lineRule="exact"/>
        <w:rPr>
          <w:sz w:val="20"/>
          <w:szCs w:val="20"/>
          <w:color w:val="auto"/>
        </w:rPr>
      </w:pPr>
    </w:p>
    <w:p>
      <w:pPr>
        <w:ind w:firstLine="674"/>
        <w:spacing w:after="0" w:line="306" w:lineRule="auto"/>
        <w:rPr>
          <w:sz w:val="20"/>
          <w:szCs w:val="20"/>
          <w:color w:val="auto"/>
        </w:rPr>
      </w:pPr>
      <w:r>
        <w:rPr>
          <w:rFonts w:ascii="Arial" w:cs="Arial" w:eastAsia="Arial" w:hAnsi="Arial"/>
          <w:sz w:val="14"/>
          <w:szCs w:val="14"/>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242"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60" w:firstLine="674"/>
        <w:spacing w:after="0" w:line="327" w:lineRule="auto"/>
        <w:rPr>
          <w:sz w:val="20"/>
          <w:szCs w:val="20"/>
          <w:color w:val="auto"/>
        </w:rPr>
      </w:pPr>
      <w:r>
        <w:rPr>
          <w:rFonts w:ascii="Arial" w:cs="Arial" w:eastAsia="Arial" w:hAnsi="Arial"/>
          <w:sz w:val="14"/>
          <w:szCs w:val="14"/>
          <w:color w:val="auto"/>
        </w:rPr>
        <w:t>As of September 30, 2020, we had 39 full-time employees, including 32 employees engaged in research and development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34" w:lineRule="exact"/>
        <w:rPr>
          <w:sz w:val="20"/>
          <w:szCs w:val="20"/>
          <w:color w:val="auto"/>
        </w:rPr>
      </w:pPr>
    </w:p>
    <w:p>
      <w:pPr>
        <w:ind w:left="960" w:hanging="298"/>
        <w:spacing w:after="0"/>
        <w:tabs>
          <w:tab w:leader="none" w:pos="9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identifying, recruiting, integrating, maintaining and motivating additional employees;</w:t>
      </w:r>
    </w:p>
    <w:p>
      <w:pPr>
        <w:spacing w:after="0" w:line="110" w:lineRule="exact"/>
        <w:rPr>
          <w:rFonts w:ascii="Arial" w:cs="Arial" w:eastAsia="Arial" w:hAnsi="Arial"/>
          <w:sz w:val="15"/>
          <w:szCs w:val="15"/>
          <w:color w:val="auto"/>
        </w:rPr>
      </w:pPr>
    </w:p>
    <w:p>
      <w:pPr>
        <w:ind w:left="960" w:right="200" w:hanging="298"/>
        <w:spacing w:after="0" w:line="277" w:lineRule="auto"/>
        <w:tabs>
          <w:tab w:leader="none" w:pos="9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improving our operational, financial and management controls, reporting systems and procedures.</w:t>
      </w:r>
    </w:p>
    <w:p>
      <w:pPr>
        <w:spacing w:after="0" w:line="106" w:lineRule="exact"/>
        <w:rPr>
          <w:sz w:val="20"/>
          <w:szCs w:val="20"/>
          <w:color w:val="auto"/>
        </w:rPr>
      </w:pPr>
    </w:p>
    <w:p>
      <w:pPr>
        <w:ind w:right="20" w:firstLine="674"/>
        <w:spacing w:after="0" w:line="27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9" w:name="page60"/>
    <w:bookmarkEnd w:id="59"/>
    <w:p>
      <w:pPr>
        <w:ind w:right="160" w:firstLine="674"/>
        <w:spacing w:after="0" w:line="26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73" w:lineRule="exact"/>
        <w:rPr>
          <w:sz w:val="20"/>
          <w:szCs w:val="20"/>
          <w:color w:val="auto"/>
        </w:rPr>
      </w:pPr>
    </w:p>
    <w:p>
      <w:pPr>
        <w:ind w:right="140" w:firstLine="674"/>
        <w:spacing w:after="0" w:line="271" w:lineRule="auto"/>
        <w:rPr>
          <w:sz w:val="20"/>
          <w:szCs w:val="20"/>
          <w:color w:val="auto"/>
        </w:rPr>
      </w:pPr>
      <w:r>
        <w:rPr>
          <w:rFonts w:ascii="Arial" w:cs="Arial" w:eastAsia="Arial" w:hAnsi="Arial"/>
          <w:sz w:val="16"/>
          <w:szCs w:val="16"/>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163" w:lineRule="exact"/>
        <w:rPr>
          <w:sz w:val="20"/>
          <w:szCs w:val="20"/>
          <w:color w:val="auto"/>
        </w:rPr>
      </w:pPr>
    </w:p>
    <w:p>
      <w:pPr>
        <w:spacing w:after="0" w:line="327" w:lineRule="auto"/>
        <w:rPr>
          <w:sz w:val="20"/>
          <w:szCs w:val="20"/>
          <w:color w:val="auto"/>
        </w:rPr>
      </w:pPr>
      <w:r>
        <w:rPr>
          <w:rFonts w:ascii="Arial" w:cs="Arial" w:eastAsia="Arial" w:hAnsi="Arial"/>
          <w:sz w:val="14"/>
          <w:szCs w:val="14"/>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30" w:lineRule="exact"/>
        <w:rPr>
          <w:sz w:val="20"/>
          <w:szCs w:val="20"/>
          <w:color w:val="auto"/>
        </w:rPr>
      </w:pPr>
    </w:p>
    <w:p>
      <w:pPr>
        <w:ind w:right="20" w:firstLine="681"/>
        <w:spacing w:after="0" w:line="277" w:lineRule="auto"/>
        <w:rPr>
          <w:sz w:val="20"/>
          <w:szCs w:val="20"/>
          <w:color w:val="auto"/>
        </w:rPr>
      </w:pPr>
      <w:r>
        <w:rPr>
          <w:rFonts w:ascii="Arial" w:cs="Arial" w:eastAsia="Arial" w:hAnsi="Arial"/>
          <w:sz w:val="15"/>
          <w:szCs w:val="15"/>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67" w:lineRule="exact"/>
        <w:rPr>
          <w:sz w:val="20"/>
          <w:szCs w:val="20"/>
          <w:color w:val="auto"/>
        </w:rPr>
      </w:pPr>
    </w:p>
    <w:p>
      <w:pPr>
        <w:ind w:firstLine="681"/>
        <w:spacing w:after="0" w:line="281" w:lineRule="auto"/>
        <w:rPr>
          <w:sz w:val="20"/>
          <w:szCs w:val="20"/>
          <w:color w:val="auto"/>
        </w:rPr>
      </w:pPr>
      <w:r>
        <w:rPr>
          <w:rFonts w:ascii="Arial" w:cs="Arial" w:eastAsia="Arial" w:hAnsi="Arial"/>
          <w:sz w:val="15"/>
          <w:szCs w:val="15"/>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0" w:name="page61"/>
    <w:bookmarkEnd w:id="60"/>
    <w:p>
      <w:pPr>
        <w:ind w:right="40"/>
        <w:spacing w:after="0" w:line="287" w:lineRule="auto"/>
        <w:rPr>
          <w:sz w:val="20"/>
          <w:szCs w:val="20"/>
          <w:color w:val="auto"/>
        </w:rPr>
      </w:pPr>
      <w:r>
        <w:rPr>
          <w:rFonts w:ascii="Arial" w:cs="Arial" w:eastAsia="Arial" w:hAnsi="Arial"/>
          <w:sz w:val="16"/>
          <w:szCs w:val="16"/>
          <w:color w:val="auto"/>
        </w:rPr>
        <w:t>product candidates could be delayed, and we could be subject to significant fines or penalties for any noncompliance with certain state, federal and/or international privacy and security laws.</w:t>
      </w:r>
    </w:p>
    <w:p>
      <w:pPr>
        <w:spacing w:after="0" w:line="51" w:lineRule="exact"/>
        <w:rPr>
          <w:sz w:val="20"/>
          <w:szCs w:val="20"/>
          <w:color w:val="auto"/>
        </w:rPr>
      </w:pPr>
    </w:p>
    <w:p>
      <w:pPr>
        <w:ind w:right="20" w:firstLine="674"/>
        <w:spacing w:after="0" w:line="277"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disruptions could materially adversely affect our future revenue and financial condition and increase our costs and expenses.</w:t>
      </w:r>
    </w:p>
    <w:p>
      <w:pPr>
        <w:spacing w:after="0" w:line="111" w:lineRule="exact"/>
        <w:rPr>
          <w:sz w:val="20"/>
          <w:szCs w:val="20"/>
          <w:color w:val="auto"/>
        </w:rPr>
      </w:pPr>
    </w:p>
    <w:p>
      <w:pPr>
        <w:ind w:right="80" w:firstLine="674"/>
        <w:spacing w:after="0" w:line="285" w:lineRule="auto"/>
        <w:rPr>
          <w:sz w:val="20"/>
          <w:szCs w:val="20"/>
          <w:color w:val="auto"/>
        </w:rPr>
      </w:pPr>
      <w:r>
        <w:rPr>
          <w:rFonts w:ascii="Arial" w:cs="Arial" w:eastAsia="Arial" w:hAnsi="Arial"/>
          <w:sz w:val="15"/>
          <w:szCs w:val="15"/>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to offset future taxable income may be limited.</w:t>
      </w:r>
    </w:p>
    <w:p>
      <w:pPr>
        <w:spacing w:after="0" w:line="111" w:lineRule="exact"/>
        <w:rPr>
          <w:sz w:val="20"/>
          <w:szCs w:val="20"/>
          <w:color w:val="auto"/>
        </w:rPr>
      </w:pPr>
    </w:p>
    <w:p>
      <w:pPr>
        <w:ind w:right="40" w:firstLine="674"/>
        <w:spacing w:after="0" w:line="264" w:lineRule="auto"/>
        <w:rPr>
          <w:sz w:val="20"/>
          <w:szCs w:val="20"/>
          <w:color w:val="auto"/>
        </w:rPr>
      </w:pPr>
      <w:r>
        <w:rPr>
          <w:rFonts w:ascii="Arial" w:cs="Arial" w:eastAsia="Arial" w:hAnsi="Arial"/>
          <w:sz w:val="16"/>
          <w:szCs w:val="16"/>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69" w:lineRule="exact"/>
        <w:rPr>
          <w:sz w:val="20"/>
          <w:szCs w:val="20"/>
          <w:color w:val="auto"/>
        </w:rPr>
      </w:pPr>
    </w:p>
    <w:p>
      <w:pPr>
        <w:ind w:firstLine="674"/>
        <w:spacing w:after="0" w:line="262" w:lineRule="auto"/>
        <w:rPr>
          <w:sz w:val="20"/>
          <w:szCs w:val="20"/>
          <w:color w:val="auto"/>
        </w:rPr>
      </w:pPr>
      <w:r>
        <w:rPr>
          <w:rFonts w:ascii="Arial" w:cs="Arial" w:eastAsia="Arial" w:hAnsi="Arial"/>
          <w:sz w:val="16"/>
          <w:szCs w:val="16"/>
          <w:color w:val="auto"/>
        </w:rPr>
        <w:t>As of December 31, 2018 and 2019, we had federal NOL carryforwards of $43.0 million and $66.4 million, respectively. As of December 31, 2018, we had state NOL carryforwards for New Jersey, California and Massachusetts of approximately $38.8 million, $4.9 million and $0.4 million, respectively. As of December 31, 2019, we had state NOL carryforwards for New Jersey, California and Massachusetts of approximately $61.5 million, $4.9 million and $0.9 million, respectively. The federal and state NOL carryforwards expire beginning in the year 2033. We also had federal and state research and development credit carryforwards of approximately $1.7 million and $2.2 million, respectively, as of December 31, 2018 and 2019. The federal credits will begin to expire in 2034 if not utilized. The California state credits carryforward indefinitely and the New Jersey state credits expire starting in 2021.</w:t>
      </w:r>
    </w:p>
    <w:p>
      <w:pPr>
        <w:spacing w:after="0" w:line="72" w:lineRule="exact"/>
        <w:rPr>
          <w:sz w:val="20"/>
          <w:szCs w:val="20"/>
          <w:color w:val="auto"/>
        </w:rPr>
      </w:pPr>
    </w:p>
    <w:p>
      <w:pPr>
        <w:ind w:right="20" w:firstLine="674"/>
        <w:spacing w:after="0" w:line="260" w:lineRule="auto"/>
        <w:rPr>
          <w:sz w:val="20"/>
          <w:szCs w:val="20"/>
          <w:color w:val="auto"/>
        </w:rPr>
      </w:pPr>
      <w:r>
        <w:rPr>
          <w:rFonts w:ascii="Arial" w:cs="Arial" w:eastAsia="Arial" w:hAnsi="Arial"/>
          <w:sz w:val="16"/>
          <w:szCs w:val="16"/>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74"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5"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1" w:name="page62"/>
    <w:bookmarkEnd w:id="61"/>
    <w:p>
      <w:pPr>
        <w:spacing w:after="0" w:line="280" w:lineRule="auto"/>
        <w:rPr>
          <w:sz w:val="20"/>
          <w:szCs w:val="20"/>
          <w:color w:val="auto"/>
        </w:rPr>
      </w:pPr>
      <w:r>
        <w:rPr>
          <w:rFonts w:ascii="Arial" w:cs="Arial" w:eastAsia="Arial" w:hAnsi="Arial"/>
          <w:sz w:val="15"/>
          <w:szCs w:val="15"/>
          <w:color w:val="auto"/>
        </w:rPr>
        <w:t>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Reliance on Third Parties</w:t>
      </w:r>
    </w:p>
    <w:p>
      <w:pPr>
        <w:spacing w:after="0" w:line="21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5" w:lineRule="exact"/>
        <w:rPr>
          <w:sz w:val="20"/>
          <w:szCs w:val="20"/>
          <w:color w:val="auto"/>
        </w:rPr>
      </w:pPr>
    </w:p>
    <w:p>
      <w:pPr>
        <w:ind w:right="200" w:firstLine="674"/>
        <w:spacing w:after="0" w:line="266" w:lineRule="auto"/>
        <w:rPr>
          <w:sz w:val="20"/>
          <w:szCs w:val="20"/>
          <w:color w:val="auto"/>
        </w:rPr>
      </w:pPr>
      <w:r>
        <w:rPr>
          <w:rFonts w:ascii="Arial" w:cs="Arial" w:eastAsia="Arial" w:hAnsi="Arial"/>
          <w:sz w:val="16"/>
          <w:szCs w:val="16"/>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69" w:lineRule="exact"/>
        <w:rPr>
          <w:sz w:val="20"/>
          <w:szCs w:val="20"/>
          <w:color w:val="auto"/>
        </w:rPr>
      </w:pPr>
    </w:p>
    <w:p>
      <w:pPr>
        <w:ind w:right="20" w:firstLine="674"/>
        <w:spacing w:after="0" w:line="301" w:lineRule="auto"/>
        <w:rPr>
          <w:sz w:val="20"/>
          <w:szCs w:val="20"/>
          <w:color w:val="auto"/>
        </w:rPr>
      </w:pPr>
      <w:r>
        <w:rPr>
          <w:rFonts w:ascii="Arial" w:cs="Arial" w:eastAsia="Arial" w:hAnsi="Arial"/>
          <w:sz w:val="14"/>
          <w:szCs w:val="14"/>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49" w:lineRule="exact"/>
        <w:rPr>
          <w:sz w:val="20"/>
          <w:szCs w:val="20"/>
          <w:color w:val="auto"/>
        </w:rPr>
      </w:pPr>
    </w:p>
    <w:p>
      <w:pPr>
        <w:ind w:right="20" w:firstLine="674"/>
        <w:spacing w:after="0" w:line="260" w:lineRule="auto"/>
        <w:rPr>
          <w:sz w:val="20"/>
          <w:szCs w:val="20"/>
          <w:color w:val="auto"/>
        </w:rPr>
      </w:pPr>
      <w:r>
        <w:rPr>
          <w:rFonts w:ascii="Arial" w:cs="Arial" w:eastAsia="Arial" w:hAnsi="Arial"/>
          <w:sz w:val="16"/>
          <w:szCs w:val="16"/>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76" w:lineRule="exact"/>
        <w:rPr>
          <w:sz w:val="20"/>
          <w:szCs w:val="20"/>
          <w:color w:val="auto"/>
        </w:rPr>
      </w:pPr>
    </w:p>
    <w:p>
      <w:pPr>
        <w:ind w:right="160" w:firstLine="674"/>
        <w:spacing w:after="0" w:line="271" w:lineRule="auto"/>
        <w:rPr>
          <w:sz w:val="20"/>
          <w:szCs w:val="20"/>
          <w:color w:val="auto"/>
        </w:rPr>
      </w:pPr>
      <w:r>
        <w:rPr>
          <w:rFonts w:ascii="Arial" w:cs="Arial" w:eastAsia="Arial" w:hAnsi="Arial"/>
          <w:sz w:val="16"/>
          <w:szCs w:val="16"/>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62" w:name="page63"/>
    <w:bookmarkEnd w:id="62"/>
    <w:p>
      <w:pPr>
        <w:ind w:right="20"/>
        <w:spacing w:after="0" w:line="266" w:lineRule="auto"/>
        <w:rPr>
          <w:sz w:val="20"/>
          <w:szCs w:val="20"/>
          <w:color w:val="auto"/>
        </w:rPr>
      </w:pPr>
      <w:r>
        <w:rPr>
          <w:rFonts w:ascii="Arial" w:cs="Arial" w:eastAsia="Arial" w:hAnsi="Arial"/>
          <w:sz w:val="16"/>
          <w:szCs w:val="16"/>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69" w:lineRule="exact"/>
        <w:rPr>
          <w:sz w:val="20"/>
          <w:szCs w:val="20"/>
          <w:color w:val="auto"/>
        </w:rPr>
      </w:pPr>
    </w:p>
    <w:p>
      <w:pPr>
        <w:ind w:right="60" w:firstLine="674"/>
        <w:spacing w:after="0" w:line="264" w:lineRule="auto"/>
        <w:rPr>
          <w:sz w:val="20"/>
          <w:szCs w:val="20"/>
          <w:color w:val="auto"/>
        </w:rPr>
      </w:pPr>
      <w:r>
        <w:rPr>
          <w:rFonts w:ascii="Arial" w:cs="Arial" w:eastAsia="Arial" w:hAnsi="Arial"/>
          <w:sz w:val="16"/>
          <w:szCs w:val="16"/>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69" w:lineRule="exact"/>
        <w:rPr>
          <w:sz w:val="20"/>
          <w:szCs w:val="20"/>
          <w:color w:val="auto"/>
        </w:rPr>
      </w:pPr>
    </w:p>
    <w:p>
      <w:pPr>
        <w:ind w:firstLine="674"/>
        <w:spacing w:after="0" w:line="259"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anticipated reliance on a limited number of third-party manufacturers exposes us to a number of risks, including the following:</w:t>
      </w:r>
    </w:p>
    <w:p>
      <w:pPr>
        <w:spacing w:after="0" w:line="115" w:lineRule="exact"/>
        <w:rPr>
          <w:sz w:val="20"/>
          <w:szCs w:val="20"/>
          <w:color w:val="auto"/>
        </w:rPr>
      </w:pPr>
    </w:p>
    <w:p>
      <w:pPr>
        <w:ind w:left="960" w:right="780" w:hanging="298"/>
        <w:spacing w:after="0" w:line="277"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new manufacturer would have to be educated in, or develop substantially equivalent processes for, the production of our product candidates;</w:t>
      </w:r>
    </w:p>
    <w:p>
      <w:pPr>
        <w:spacing w:after="0" w:line="110" w:lineRule="exact"/>
        <w:rPr>
          <w:rFonts w:ascii="Arial" w:cs="Arial" w:eastAsia="Arial" w:hAnsi="Arial"/>
          <w:sz w:val="15"/>
          <w:szCs w:val="15"/>
          <w:color w:val="auto"/>
        </w:rPr>
      </w:pPr>
    </w:p>
    <w:p>
      <w:pPr>
        <w:ind w:left="960" w:right="40" w:hanging="298"/>
        <w:spacing w:after="0" w:line="277"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third-party manufacturers might be unable to timely manufacture our product candidates or produce the quantity and quality required to meet our clinical and commercial needs, if any;</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contract manufacturers may not be able to execute our manufacturing procedures and other logistical support requirements appropriately;</w:t>
      </w:r>
    </w:p>
    <w:p>
      <w:pPr>
        <w:spacing w:after="0" w:line="110" w:lineRule="exact"/>
        <w:rPr>
          <w:rFonts w:ascii="Arial" w:cs="Arial" w:eastAsia="Arial" w:hAnsi="Arial"/>
          <w:sz w:val="15"/>
          <w:szCs w:val="15"/>
          <w:color w:val="auto"/>
        </w:rPr>
      </w:pPr>
    </w:p>
    <w:p>
      <w:pPr>
        <w:ind w:left="960" w:right="100" w:hanging="298"/>
        <w:spacing w:after="0" w:line="277"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8" w:lineRule="exact"/>
        <w:rPr>
          <w:rFonts w:ascii="Arial" w:cs="Arial" w:eastAsia="Arial" w:hAnsi="Arial"/>
          <w:sz w:val="15"/>
          <w:szCs w:val="15"/>
          <w:color w:val="auto"/>
        </w:rPr>
      </w:pPr>
    </w:p>
    <w:p>
      <w:pPr>
        <w:jc w:val="both"/>
        <w:ind w:left="960" w:right="460" w:hanging="298"/>
        <w:spacing w:after="0" w:line="356" w:lineRule="auto"/>
        <w:tabs>
          <w:tab w:leader="none" w:pos="9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23" w:lineRule="exact"/>
        <w:rPr>
          <w:rFonts w:ascii="Arial" w:cs="Arial" w:eastAsia="Arial" w:hAnsi="Arial"/>
          <w:sz w:val="13"/>
          <w:szCs w:val="13"/>
          <w:color w:val="auto"/>
        </w:rPr>
      </w:pPr>
    </w:p>
    <w:p>
      <w:pPr>
        <w:ind w:left="960" w:right="360" w:hanging="298"/>
        <w:spacing w:after="0" w:line="277"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not own, or may have to share, the intellectual property rights to any improvements made by our third-party manufacturers in the manufacturing process for our product candidates;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third-party manufacturers could breach or terminate their agreements with us;</w:t>
      </w:r>
    </w:p>
    <w:p>
      <w:pPr>
        <w:spacing w:after="0" w:line="110" w:lineRule="exact"/>
        <w:rPr>
          <w:rFonts w:ascii="Arial" w:cs="Arial" w:eastAsia="Arial" w:hAnsi="Arial"/>
          <w:sz w:val="15"/>
          <w:szCs w:val="15"/>
          <w:color w:val="auto"/>
        </w:rPr>
      </w:pPr>
    </w:p>
    <w:p>
      <w:pPr>
        <w:ind w:left="960" w:right="440" w:hanging="298"/>
        <w:spacing w:after="0" w:line="277"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contract manufacturers and critical reagent suppliers may be subject to inclement weather, as well as natural or man-made disasters; and</w:t>
      </w:r>
    </w:p>
    <w:p>
      <w:pPr>
        <w:spacing w:after="0" w:line="110" w:lineRule="exact"/>
        <w:rPr>
          <w:rFonts w:ascii="Arial" w:cs="Arial" w:eastAsia="Arial" w:hAnsi="Arial"/>
          <w:sz w:val="15"/>
          <w:szCs w:val="15"/>
          <w:color w:val="auto"/>
        </w:rPr>
      </w:pPr>
    </w:p>
    <w:p>
      <w:pPr>
        <w:ind w:left="960" w:right="220" w:hanging="298"/>
        <w:spacing w:after="0" w:line="277"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63" w:name="page64"/>
    <w:bookmarkEnd w:id="63"/>
    <w:p>
      <w:pPr>
        <w:ind w:firstLine="674"/>
        <w:spacing w:after="0" w:line="285" w:lineRule="auto"/>
        <w:rPr>
          <w:sz w:val="20"/>
          <w:szCs w:val="20"/>
          <w:color w:val="auto"/>
        </w:rPr>
      </w:pPr>
      <w:r>
        <w:rPr>
          <w:rFonts w:ascii="Arial" w:cs="Arial" w:eastAsia="Arial" w:hAnsi="Arial"/>
          <w:sz w:val="15"/>
          <w:szCs w:val="15"/>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53" w:lineRule="exact"/>
        <w:rPr>
          <w:sz w:val="20"/>
          <w:szCs w:val="20"/>
          <w:color w:val="auto"/>
        </w:rPr>
      </w:pPr>
    </w:p>
    <w:p>
      <w:pPr>
        <w:ind w:right="580"/>
        <w:spacing w:after="0" w:line="287" w:lineRule="auto"/>
        <w:rPr>
          <w:sz w:val="20"/>
          <w:szCs w:val="20"/>
          <w:color w:val="auto"/>
        </w:rPr>
      </w:pPr>
      <w:r>
        <w:rPr>
          <w:rFonts w:ascii="Arial" w:cs="Arial" w:eastAsia="Arial" w:hAnsi="Arial"/>
          <w:sz w:val="16"/>
          <w:szCs w:val="16"/>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51" w:lineRule="exact"/>
        <w:rPr>
          <w:sz w:val="20"/>
          <w:szCs w:val="20"/>
          <w:color w:val="auto"/>
        </w:rPr>
      </w:pPr>
    </w:p>
    <w:p>
      <w:pPr>
        <w:ind w:right="40" w:firstLine="674"/>
        <w:spacing w:after="0" w:line="279" w:lineRule="auto"/>
        <w:rPr>
          <w:sz w:val="20"/>
          <w:szCs w:val="20"/>
          <w:color w:val="auto"/>
        </w:rPr>
      </w:pPr>
      <w:r>
        <w:rPr>
          <w:rFonts w:ascii="Arial" w:cs="Arial" w:eastAsia="Arial" w:hAnsi="Arial"/>
          <w:sz w:val="15"/>
          <w:szCs w:val="15"/>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62" w:lineRule="exact"/>
        <w:rPr>
          <w:sz w:val="20"/>
          <w:szCs w:val="20"/>
          <w:color w:val="auto"/>
        </w:rPr>
      </w:pPr>
    </w:p>
    <w:p>
      <w:pPr>
        <w:ind w:right="160" w:firstLine="674"/>
        <w:spacing w:after="0" w:line="261" w:lineRule="auto"/>
        <w:rPr>
          <w:sz w:val="20"/>
          <w:szCs w:val="20"/>
          <w:color w:val="auto"/>
        </w:rPr>
      </w:pPr>
      <w:r>
        <w:rPr>
          <w:rFonts w:ascii="Arial" w:cs="Arial" w:eastAsia="Arial" w:hAnsi="Arial"/>
          <w:sz w:val="16"/>
          <w:szCs w:val="16"/>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third-party manufacturers use hazardous and biological materials in a manner that causes injury or violates applicable law, we may be liable for damages.</w:t>
      </w:r>
    </w:p>
    <w:p>
      <w:pPr>
        <w:spacing w:after="0" w:line="134" w:lineRule="exact"/>
        <w:rPr>
          <w:sz w:val="20"/>
          <w:szCs w:val="20"/>
          <w:color w:val="auto"/>
        </w:rPr>
      </w:pPr>
    </w:p>
    <w:p>
      <w:pPr>
        <w:ind w:right="20" w:firstLine="674"/>
        <w:spacing w:after="0" w:line="260" w:lineRule="auto"/>
        <w:rPr>
          <w:sz w:val="20"/>
          <w:szCs w:val="20"/>
          <w:color w:val="auto"/>
        </w:rPr>
      </w:pPr>
      <w:r>
        <w:rPr>
          <w:rFonts w:ascii="Arial" w:cs="Arial" w:eastAsia="Arial" w:hAnsi="Arial"/>
          <w:sz w:val="16"/>
          <w:szCs w:val="16"/>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70"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5" w:lineRule="exact"/>
        <w:rPr>
          <w:sz w:val="20"/>
          <w:szCs w:val="20"/>
          <w:color w:val="auto"/>
        </w:rPr>
      </w:pPr>
    </w:p>
    <w:p>
      <w:pPr>
        <w:ind w:right="80" w:firstLine="674"/>
        <w:spacing w:after="0" w:line="262" w:lineRule="auto"/>
        <w:rPr>
          <w:sz w:val="20"/>
          <w:szCs w:val="20"/>
          <w:color w:val="auto"/>
        </w:rPr>
      </w:pPr>
      <w:r>
        <w:rPr>
          <w:rFonts w:ascii="Arial" w:cs="Arial" w:eastAsia="Arial" w:hAnsi="Arial"/>
          <w:sz w:val="16"/>
          <w:szCs w:val="16"/>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4" w:name="page65"/>
    <w:bookmarkEnd w:id="64"/>
    <w:p>
      <w:pPr>
        <w:ind w:right="80"/>
        <w:spacing w:after="0" w:line="264" w:lineRule="auto"/>
        <w:rPr>
          <w:sz w:val="20"/>
          <w:szCs w:val="20"/>
          <w:color w:val="auto"/>
        </w:rPr>
      </w:pPr>
      <w:r>
        <w:rPr>
          <w:rFonts w:ascii="Arial" w:cs="Arial" w:eastAsia="Arial" w:hAnsi="Arial"/>
          <w:sz w:val="16"/>
          <w:szCs w:val="16"/>
          <w:color w:val="auto"/>
        </w:rPr>
        <w:t>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66" w:lineRule="exact"/>
        <w:rPr>
          <w:sz w:val="20"/>
          <w:szCs w:val="20"/>
          <w:color w:val="auto"/>
        </w:rPr>
      </w:pPr>
    </w:p>
    <w:p>
      <w:pPr>
        <w:ind w:right="920"/>
        <w:spacing w:after="0" w:line="287" w:lineRule="auto"/>
        <w:rPr>
          <w:sz w:val="20"/>
          <w:szCs w:val="20"/>
          <w:color w:val="auto"/>
        </w:rPr>
      </w:pPr>
      <w:r>
        <w:rPr>
          <w:rFonts w:ascii="Arial" w:cs="Arial" w:eastAsia="Arial" w:hAnsi="Arial"/>
          <w:sz w:val="16"/>
          <w:szCs w:val="16"/>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51" w:lineRule="exact"/>
        <w:rPr>
          <w:sz w:val="20"/>
          <w:szCs w:val="20"/>
          <w:color w:val="auto"/>
        </w:rPr>
      </w:pPr>
    </w:p>
    <w:p>
      <w:pPr>
        <w:ind w:right="60" w:firstLine="674"/>
        <w:spacing w:after="0" w:line="266" w:lineRule="auto"/>
        <w:rPr>
          <w:sz w:val="20"/>
          <w:szCs w:val="20"/>
          <w:color w:val="auto"/>
        </w:rPr>
      </w:pPr>
      <w:r>
        <w:rPr>
          <w:rFonts w:ascii="Arial" w:cs="Arial" w:eastAsia="Arial" w:hAnsi="Arial"/>
          <w:sz w:val="16"/>
          <w:szCs w:val="16"/>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69" w:lineRule="exact"/>
        <w:rPr>
          <w:sz w:val="20"/>
          <w:szCs w:val="20"/>
          <w:color w:val="auto"/>
        </w:rPr>
      </w:pPr>
    </w:p>
    <w:p>
      <w:pPr>
        <w:ind w:firstLine="674"/>
        <w:spacing w:after="0" w:line="266"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Further, collaborations involving our product candidates are subject to numerous risks, which may include the following:</w:t>
      </w:r>
    </w:p>
    <w:p>
      <w:pPr>
        <w:spacing w:after="0" w:line="115" w:lineRule="exact"/>
        <w:rPr>
          <w:sz w:val="20"/>
          <w:szCs w:val="20"/>
          <w:color w:val="auto"/>
        </w:rPr>
      </w:pPr>
    </w:p>
    <w:p>
      <w:pPr>
        <w:ind w:left="960" w:hanging="298"/>
        <w:spacing w:after="0"/>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a collaboration;</w:t>
      </w:r>
    </w:p>
    <w:p>
      <w:pPr>
        <w:spacing w:after="0" w:line="110" w:lineRule="exact"/>
        <w:rPr>
          <w:rFonts w:ascii="Arial" w:cs="Arial" w:eastAsia="Arial" w:hAnsi="Arial"/>
          <w:sz w:val="15"/>
          <w:szCs w:val="15"/>
          <w:color w:val="auto"/>
        </w:rPr>
      </w:pPr>
    </w:p>
    <w:p>
      <w:pPr>
        <w:ind w:left="960" w:right="120" w:hanging="298"/>
        <w:spacing w:after="0" w:line="266" w:lineRule="auto"/>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7" w:lineRule="exact"/>
        <w:rPr>
          <w:rFonts w:ascii="Arial" w:cs="Arial" w:eastAsia="Arial" w:hAnsi="Arial"/>
          <w:sz w:val="15"/>
          <w:szCs w:val="15"/>
          <w:color w:val="auto"/>
        </w:rPr>
      </w:pPr>
    </w:p>
    <w:p>
      <w:pPr>
        <w:ind w:left="960" w:right="20" w:hanging="298"/>
        <w:spacing w:after="0" w:line="277" w:lineRule="auto"/>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products may not commit sufficient resources to their marketing and distribution;</w:t>
      </w:r>
    </w:p>
    <w:p>
      <w:pPr>
        <w:spacing w:after="0" w:line="110" w:lineRule="exact"/>
        <w:rPr>
          <w:rFonts w:ascii="Arial" w:cs="Arial" w:eastAsia="Arial" w:hAnsi="Arial"/>
          <w:sz w:val="15"/>
          <w:szCs w:val="15"/>
          <w:color w:val="auto"/>
        </w:rPr>
      </w:pPr>
    </w:p>
    <w:p>
      <w:pPr>
        <w:ind w:left="960" w:right="200" w:hanging="298"/>
        <w:spacing w:after="0" w:line="313" w:lineRule="auto"/>
        <w:tabs>
          <w:tab w:leader="none" w:pos="9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46" w:lineRule="exact"/>
        <w:rPr>
          <w:rFonts w:ascii="Arial" w:cs="Arial" w:eastAsia="Arial" w:hAnsi="Arial"/>
          <w:sz w:val="14"/>
          <w:szCs w:val="14"/>
          <w:color w:val="auto"/>
        </w:rPr>
      </w:pPr>
    </w:p>
    <w:p>
      <w:pPr>
        <w:ind w:left="960" w:right="300" w:hanging="298"/>
        <w:spacing w:after="0" w:line="277" w:lineRule="auto"/>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8" w:lineRule="exact"/>
        <w:rPr>
          <w:rFonts w:ascii="Arial" w:cs="Arial" w:eastAsia="Arial" w:hAnsi="Arial"/>
          <w:sz w:val="15"/>
          <w:szCs w:val="15"/>
          <w:color w:val="auto"/>
        </w:rPr>
      </w:pPr>
    </w:p>
    <w:p>
      <w:pPr>
        <w:ind w:left="960" w:right="100" w:hanging="298"/>
        <w:spacing w:after="0" w:line="277" w:lineRule="auto"/>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collaborations may be terminated and, if terminated, may result in a need for additional capital to pursue further development or commercialization of the applicable product candidates; and</w:t>
      </w:r>
    </w:p>
    <w:p>
      <w:pPr>
        <w:spacing w:after="0" w:line="68" w:lineRule="exact"/>
        <w:rPr>
          <w:rFonts w:ascii="Arial" w:cs="Arial" w:eastAsia="Arial" w:hAnsi="Arial"/>
          <w:sz w:val="15"/>
          <w:szCs w:val="15"/>
          <w:color w:val="auto"/>
        </w:rPr>
      </w:pPr>
    </w:p>
    <w:p>
      <w:pPr>
        <w:ind w:left="960" w:right="560" w:hanging="298"/>
        <w:spacing w:after="0" w:line="277" w:lineRule="auto"/>
        <w:tabs>
          <w:tab w:leader="none" w:pos="9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64" w:lineRule="exact"/>
        <w:rPr>
          <w:sz w:val="20"/>
          <w:szCs w:val="20"/>
          <w:color w:val="auto"/>
        </w:rPr>
      </w:pPr>
    </w:p>
    <w:p>
      <w:pPr>
        <w:ind w:right="20" w:firstLine="674"/>
        <w:spacing w:after="0" w:line="262" w:lineRule="auto"/>
        <w:rPr>
          <w:sz w:val="20"/>
          <w:szCs w:val="20"/>
          <w:color w:val="auto"/>
        </w:rPr>
      </w:pPr>
      <w:r>
        <w:rPr>
          <w:rFonts w:ascii="Arial" w:cs="Arial" w:eastAsia="Arial" w:hAnsi="Arial"/>
          <w:sz w:val="16"/>
          <w:szCs w:val="16"/>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5" w:name="page66"/>
    <w:bookmarkEnd w:id="65"/>
    <w:p>
      <w:pPr>
        <w:spacing w:after="0" w:line="287" w:lineRule="auto"/>
        <w:rPr>
          <w:sz w:val="20"/>
          <w:szCs w:val="20"/>
          <w:color w:val="auto"/>
        </w:rPr>
      </w:pPr>
      <w:r>
        <w:rPr>
          <w:rFonts w:ascii="Arial" w:cs="Arial" w:eastAsia="Arial" w:hAnsi="Arial"/>
          <w:sz w:val="16"/>
          <w:szCs w:val="16"/>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51" w:lineRule="exact"/>
        <w:rPr>
          <w:sz w:val="20"/>
          <w:szCs w:val="20"/>
          <w:color w:val="auto"/>
        </w:rPr>
      </w:pPr>
    </w:p>
    <w:p>
      <w:pPr>
        <w:ind w:right="120" w:firstLine="674"/>
        <w:spacing w:after="0" w:line="266"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9" w:lineRule="exact"/>
        <w:rPr>
          <w:sz w:val="20"/>
          <w:szCs w:val="20"/>
          <w:color w:val="auto"/>
        </w:rPr>
      </w:pPr>
    </w:p>
    <w:p>
      <w:pPr>
        <w:ind w:firstLine="674"/>
        <w:spacing w:after="0" w:line="283" w:lineRule="auto"/>
        <w:rPr>
          <w:sz w:val="20"/>
          <w:szCs w:val="20"/>
          <w:color w:val="auto"/>
        </w:rPr>
      </w:pPr>
      <w:r>
        <w:rPr>
          <w:rFonts w:ascii="Arial" w:cs="Arial" w:eastAsia="Arial" w:hAnsi="Arial"/>
          <w:sz w:val="15"/>
          <w:szCs w:val="15"/>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1" w:lineRule="exact"/>
        <w:rPr>
          <w:sz w:val="20"/>
          <w:szCs w:val="20"/>
          <w:color w:val="auto"/>
        </w:rPr>
      </w:pPr>
    </w:p>
    <w:p>
      <w:pPr>
        <w:jc w:val="both"/>
        <w:ind w:right="20" w:firstLine="674"/>
        <w:spacing w:after="0" w:line="271" w:lineRule="auto"/>
        <w:rPr>
          <w:sz w:val="20"/>
          <w:szCs w:val="20"/>
          <w:color w:val="auto"/>
        </w:rPr>
      </w:pPr>
      <w:r>
        <w:rPr>
          <w:rFonts w:ascii="Arial" w:cs="Arial" w:eastAsia="Arial" w:hAnsi="Arial"/>
          <w:sz w:val="16"/>
          <w:szCs w:val="16"/>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5" w:lineRule="exact"/>
        <w:rPr>
          <w:sz w:val="20"/>
          <w:szCs w:val="20"/>
          <w:color w:val="auto"/>
        </w:rPr>
      </w:pPr>
    </w:p>
    <w:p>
      <w:pPr>
        <w:ind w:right="60" w:firstLine="674"/>
        <w:spacing w:after="0" w:line="262" w:lineRule="auto"/>
        <w:rPr>
          <w:sz w:val="20"/>
          <w:szCs w:val="20"/>
          <w:color w:val="auto"/>
        </w:rPr>
      </w:pPr>
      <w:r>
        <w:rPr>
          <w:rFonts w:ascii="Arial" w:cs="Arial" w:eastAsia="Arial" w:hAnsi="Arial"/>
          <w:sz w:val="16"/>
          <w:szCs w:val="16"/>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6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51" w:lineRule="exact"/>
        <w:rPr>
          <w:sz w:val="20"/>
          <w:szCs w:val="20"/>
          <w:color w:val="auto"/>
        </w:rPr>
      </w:pPr>
    </w:p>
    <w:p>
      <w:pPr>
        <w:ind w:right="40" w:firstLine="674"/>
        <w:spacing w:after="0" w:line="261"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70"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740" w:firstLine="674"/>
        <w:spacing w:after="0" w:line="322" w:lineRule="auto"/>
        <w:rPr>
          <w:sz w:val="20"/>
          <w:szCs w:val="20"/>
          <w:color w:val="auto"/>
        </w:rPr>
      </w:pPr>
      <w:r>
        <w:rPr>
          <w:rFonts w:ascii="Arial" w:cs="Arial" w:eastAsia="Arial" w:hAnsi="Arial"/>
          <w:sz w:val="15"/>
          <w:szCs w:val="15"/>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33" w:lineRule="exact"/>
        <w:rPr>
          <w:sz w:val="20"/>
          <w:szCs w:val="20"/>
          <w:color w:val="auto"/>
        </w:rPr>
      </w:pPr>
    </w:p>
    <w:p>
      <w:pPr>
        <w:ind w:left="960" w:hanging="298"/>
        <w:spacing w:after="0"/>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increased operating expenses and cash requirements;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assumption of additional indebtedness or contingent liabilities;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issuance of our equity securities;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assimilation of operations, intellectual property and products of an acquired company, including difficulties associated with integrating new personnel;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66" w:name="page67"/>
    <w:bookmarkEnd w:id="66"/>
    <w:p>
      <w:pPr>
        <w:ind w:left="960" w:hanging="298"/>
        <w:spacing w:after="0"/>
        <w:tabs>
          <w:tab w:leader="none" w:pos="9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diversion of our management’s attention from our existing programs and initiatives in pursuing such a strategic merger or acquisition;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retention of key employees, the loss of key personnel and uncertainties in our ability to maintain key business relationships;</w:t>
      </w:r>
    </w:p>
    <w:p>
      <w:pPr>
        <w:spacing w:after="0" w:line="110" w:lineRule="exact"/>
        <w:rPr>
          <w:rFonts w:ascii="Arial" w:cs="Arial" w:eastAsia="Arial" w:hAnsi="Arial"/>
          <w:sz w:val="15"/>
          <w:szCs w:val="15"/>
          <w:color w:val="auto"/>
        </w:rPr>
      </w:pPr>
    </w:p>
    <w:p>
      <w:pPr>
        <w:ind w:left="960" w:right="520" w:hanging="298"/>
        <w:spacing w:after="0" w:line="277" w:lineRule="auto"/>
        <w:tabs>
          <w:tab w:leader="none" w:pos="9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risks and uncertainties associated with the other party to such a transaction, including the prospects of that party and their existing products or product candidates and marketing approvals; and</w:t>
      </w:r>
    </w:p>
    <w:p>
      <w:pPr>
        <w:spacing w:after="0" w:line="68" w:lineRule="exact"/>
        <w:rPr>
          <w:rFonts w:ascii="Arial" w:cs="Arial" w:eastAsia="Arial" w:hAnsi="Arial"/>
          <w:sz w:val="15"/>
          <w:szCs w:val="15"/>
          <w:color w:val="auto"/>
        </w:rPr>
      </w:pPr>
    </w:p>
    <w:p>
      <w:pPr>
        <w:ind w:left="960" w:right="260" w:hanging="298"/>
        <w:spacing w:after="0" w:line="277" w:lineRule="auto"/>
        <w:tabs>
          <w:tab w:leader="none" w:pos="9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inability to generate revenue from acquired technology and/or products sufficient to meet our objectives in undertaking the acquisition or even to offset the associated acquisition and maintenance costs.</w:t>
      </w:r>
    </w:p>
    <w:p>
      <w:pPr>
        <w:spacing w:after="0" w:line="64" w:lineRule="exact"/>
        <w:rPr>
          <w:sz w:val="20"/>
          <w:szCs w:val="20"/>
          <w:color w:val="auto"/>
        </w:rPr>
      </w:pPr>
    </w:p>
    <w:p>
      <w:pPr>
        <w:ind w:right="100" w:firstLine="674"/>
        <w:spacing w:after="0" w:line="287" w:lineRule="auto"/>
        <w:rPr>
          <w:sz w:val="20"/>
          <w:szCs w:val="20"/>
          <w:color w:val="auto"/>
        </w:rPr>
      </w:pPr>
      <w:r>
        <w:rPr>
          <w:rFonts w:ascii="Arial" w:cs="Arial" w:eastAsia="Arial" w:hAnsi="Arial"/>
          <w:sz w:val="16"/>
          <w:szCs w:val="16"/>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1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5" w:lineRule="exact"/>
        <w:rPr>
          <w:sz w:val="20"/>
          <w:szCs w:val="20"/>
          <w:color w:val="auto"/>
        </w:rPr>
      </w:pPr>
    </w:p>
    <w:p>
      <w:pPr>
        <w:ind w:right="100" w:firstLine="674"/>
        <w:spacing w:after="0" w:line="289" w:lineRule="auto"/>
        <w:rPr>
          <w:sz w:val="20"/>
          <w:szCs w:val="20"/>
          <w:color w:val="auto"/>
        </w:rPr>
      </w:pPr>
      <w:r>
        <w:rPr>
          <w:rFonts w:ascii="Arial" w:cs="Arial" w:eastAsia="Arial" w:hAnsi="Arial"/>
          <w:sz w:val="15"/>
          <w:szCs w:val="15"/>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54" w:lineRule="exact"/>
        <w:rPr>
          <w:sz w:val="20"/>
          <w:szCs w:val="20"/>
          <w:color w:val="auto"/>
        </w:rPr>
      </w:pPr>
    </w:p>
    <w:p>
      <w:pPr>
        <w:ind w:right="120" w:firstLine="674"/>
        <w:spacing w:after="0" w:line="262" w:lineRule="auto"/>
        <w:rPr>
          <w:sz w:val="20"/>
          <w:szCs w:val="20"/>
          <w:color w:val="auto"/>
        </w:rPr>
      </w:pPr>
      <w:r>
        <w:rPr>
          <w:rFonts w:ascii="Arial" w:cs="Arial" w:eastAsia="Arial" w:hAnsi="Arial"/>
          <w:sz w:val="16"/>
          <w:szCs w:val="16"/>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72" w:lineRule="exact"/>
        <w:rPr>
          <w:sz w:val="20"/>
          <w:szCs w:val="20"/>
          <w:color w:val="auto"/>
        </w:rPr>
      </w:pPr>
    </w:p>
    <w:p>
      <w:pPr>
        <w:ind w:right="120" w:firstLine="674"/>
        <w:spacing w:after="0" w:line="283" w:lineRule="auto"/>
        <w:rPr>
          <w:sz w:val="20"/>
          <w:szCs w:val="20"/>
          <w:color w:val="auto"/>
        </w:rPr>
      </w:pPr>
      <w:r>
        <w:rPr>
          <w:rFonts w:ascii="Arial" w:cs="Arial" w:eastAsia="Arial" w:hAnsi="Arial"/>
          <w:sz w:val="15"/>
          <w:szCs w:val="15"/>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61" w:lineRule="exact"/>
        <w:rPr>
          <w:sz w:val="20"/>
          <w:szCs w:val="20"/>
          <w:color w:val="auto"/>
        </w:rPr>
      </w:pPr>
    </w:p>
    <w:p>
      <w:pPr>
        <w:ind w:firstLine="674"/>
        <w:spacing w:after="0" w:line="278" w:lineRule="auto"/>
        <w:rPr>
          <w:sz w:val="20"/>
          <w:szCs w:val="20"/>
          <w:color w:val="auto"/>
        </w:rPr>
      </w:pPr>
      <w:r>
        <w:rPr>
          <w:rFonts w:ascii="Arial" w:cs="Arial" w:eastAsia="Arial" w:hAnsi="Arial"/>
          <w:sz w:val="15"/>
          <w:szCs w:val="15"/>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67" w:name="page68"/>
    <w:bookmarkEnd w:id="67"/>
    <w:p>
      <w:pPr>
        <w:ind w:right="80"/>
        <w:spacing w:after="0" w:line="266" w:lineRule="auto"/>
        <w:rPr>
          <w:sz w:val="20"/>
          <w:szCs w:val="20"/>
          <w:color w:val="auto"/>
        </w:rPr>
      </w:pPr>
      <w:r>
        <w:rPr>
          <w:rFonts w:ascii="Arial" w:cs="Arial" w:eastAsia="Arial" w:hAnsi="Arial"/>
          <w:sz w:val="16"/>
          <w:szCs w:val="16"/>
          <w:color w:val="auto"/>
        </w:rPr>
        <w:t>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51" w:lineRule="exact"/>
        <w:rPr>
          <w:sz w:val="20"/>
          <w:szCs w:val="20"/>
          <w:color w:val="auto"/>
        </w:rPr>
      </w:pPr>
    </w:p>
    <w:p>
      <w:pPr>
        <w:ind w:right="40" w:firstLine="674"/>
        <w:spacing w:after="0" w:line="264" w:lineRule="auto"/>
        <w:rPr>
          <w:sz w:val="20"/>
          <w:szCs w:val="20"/>
          <w:color w:val="auto"/>
        </w:rPr>
      </w:pPr>
      <w:r>
        <w:rPr>
          <w:rFonts w:ascii="Arial" w:cs="Arial" w:eastAsia="Arial" w:hAnsi="Arial"/>
          <w:sz w:val="16"/>
          <w:szCs w:val="16"/>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69" w:lineRule="exact"/>
        <w:rPr>
          <w:sz w:val="20"/>
          <w:szCs w:val="20"/>
          <w:color w:val="auto"/>
        </w:rPr>
      </w:pPr>
    </w:p>
    <w:p>
      <w:pPr>
        <w:ind w:right="120" w:firstLine="674"/>
        <w:spacing w:after="0" w:line="272"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63" w:lineRule="exact"/>
        <w:rPr>
          <w:sz w:val="20"/>
          <w:szCs w:val="20"/>
          <w:color w:val="auto"/>
        </w:rPr>
      </w:pPr>
    </w:p>
    <w:p>
      <w:pPr>
        <w:ind w:right="20" w:firstLine="674"/>
        <w:spacing w:after="0" w:line="283" w:lineRule="auto"/>
        <w:rPr>
          <w:sz w:val="20"/>
          <w:szCs w:val="20"/>
          <w:color w:val="auto"/>
        </w:rPr>
      </w:pPr>
      <w:r>
        <w:rPr>
          <w:rFonts w:ascii="Arial" w:cs="Arial" w:eastAsia="Arial" w:hAnsi="Arial"/>
          <w:sz w:val="15"/>
          <w:szCs w:val="15"/>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57" w:lineRule="exact"/>
        <w:rPr>
          <w:sz w:val="20"/>
          <w:szCs w:val="20"/>
          <w:color w:val="auto"/>
        </w:rPr>
      </w:pPr>
    </w:p>
    <w:p>
      <w:pPr>
        <w:ind w:firstLine="677"/>
        <w:spacing w:after="0" w:line="283" w:lineRule="auto"/>
        <w:rPr>
          <w:sz w:val="20"/>
          <w:szCs w:val="20"/>
          <w:color w:val="auto"/>
        </w:rPr>
      </w:pPr>
      <w:r>
        <w:rPr>
          <w:rFonts w:ascii="Arial" w:cs="Arial" w:eastAsia="Arial" w:hAnsi="Arial"/>
          <w:sz w:val="15"/>
          <w:szCs w:val="15"/>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57" w:lineRule="exact"/>
        <w:rPr>
          <w:sz w:val="20"/>
          <w:szCs w:val="20"/>
          <w:color w:val="auto"/>
        </w:rPr>
      </w:pPr>
    </w:p>
    <w:p>
      <w:pPr>
        <w:ind w:right="60" w:firstLine="677"/>
        <w:spacing w:after="0" w:line="278" w:lineRule="auto"/>
        <w:rPr>
          <w:sz w:val="20"/>
          <w:szCs w:val="20"/>
          <w:color w:val="auto"/>
        </w:rPr>
      </w:pPr>
      <w:r>
        <w:rPr>
          <w:rFonts w:ascii="Arial" w:cs="Arial" w:eastAsia="Arial" w:hAnsi="Arial"/>
          <w:sz w:val="15"/>
          <w:szCs w:val="15"/>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68" w:name="page69"/>
    <w:bookmarkEnd w:id="68"/>
    <w:p>
      <w:pPr>
        <w:ind w:right="220" w:firstLine="674"/>
        <w:spacing w:after="0" w:line="262" w:lineRule="auto"/>
        <w:rPr>
          <w:sz w:val="20"/>
          <w:szCs w:val="20"/>
          <w:color w:val="auto"/>
        </w:rPr>
      </w:pPr>
      <w:r>
        <w:rPr>
          <w:rFonts w:ascii="Arial" w:cs="Arial" w:eastAsia="Arial" w:hAnsi="Arial"/>
          <w:sz w:val="16"/>
          <w:szCs w:val="16"/>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2" w:lineRule="exact"/>
        <w:rPr>
          <w:sz w:val="20"/>
          <w:szCs w:val="20"/>
          <w:color w:val="auto"/>
        </w:rPr>
      </w:pPr>
    </w:p>
    <w:p>
      <w:pPr>
        <w:ind w:right="80" w:firstLine="681"/>
        <w:spacing w:after="0" w:line="285" w:lineRule="auto"/>
        <w:rPr>
          <w:sz w:val="20"/>
          <w:szCs w:val="20"/>
          <w:color w:val="auto"/>
        </w:rPr>
      </w:pPr>
      <w:r>
        <w:rPr>
          <w:rFonts w:ascii="Arial" w:cs="Arial" w:eastAsia="Arial" w:hAnsi="Arial"/>
          <w:sz w:val="15"/>
          <w:szCs w:val="15"/>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7" w:lineRule="exact"/>
        <w:rPr>
          <w:sz w:val="20"/>
          <w:szCs w:val="20"/>
          <w:color w:val="auto"/>
        </w:rPr>
      </w:pPr>
    </w:p>
    <w:p>
      <w:pPr>
        <w:ind w:right="340" w:firstLine="681"/>
        <w:spacing w:after="0" w:line="298" w:lineRule="auto"/>
        <w:rPr>
          <w:sz w:val="20"/>
          <w:szCs w:val="20"/>
          <w:color w:val="auto"/>
        </w:rPr>
      </w:pPr>
      <w:r>
        <w:rPr>
          <w:rFonts w:ascii="Arial" w:cs="Arial" w:eastAsia="Arial" w:hAnsi="Arial"/>
          <w:sz w:val="15"/>
          <w:szCs w:val="15"/>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45" w:lineRule="exact"/>
        <w:rPr>
          <w:sz w:val="20"/>
          <w:szCs w:val="20"/>
          <w:color w:val="auto"/>
        </w:rPr>
      </w:pPr>
    </w:p>
    <w:p>
      <w:pPr>
        <w:ind w:right="60" w:firstLine="681"/>
        <w:spacing w:after="0" w:line="278" w:lineRule="auto"/>
        <w:rPr>
          <w:sz w:val="20"/>
          <w:szCs w:val="20"/>
          <w:color w:val="auto"/>
        </w:rPr>
      </w:pPr>
      <w:r>
        <w:rPr>
          <w:rFonts w:ascii="Arial" w:cs="Arial" w:eastAsia="Arial" w:hAnsi="Arial"/>
          <w:sz w:val="15"/>
          <w:szCs w:val="15"/>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62" w:lineRule="exact"/>
        <w:rPr>
          <w:sz w:val="20"/>
          <w:szCs w:val="20"/>
          <w:color w:val="auto"/>
        </w:rPr>
      </w:pPr>
    </w:p>
    <w:p>
      <w:pPr>
        <w:ind w:right="20" w:firstLine="681"/>
        <w:spacing w:after="0" w:line="282" w:lineRule="auto"/>
        <w:rPr>
          <w:sz w:val="20"/>
          <w:szCs w:val="20"/>
          <w:color w:val="auto"/>
        </w:rPr>
      </w:pPr>
      <w:r>
        <w:rPr>
          <w:rFonts w:ascii="Arial" w:cs="Arial" w:eastAsia="Arial" w:hAnsi="Arial"/>
          <w:sz w:val="15"/>
          <w:szCs w:val="15"/>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61" w:lineRule="exact"/>
        <w:rPr>
          <w:sz w:val="20"/>
          <w:szCs w:val="20"/>
          <w:color w:val="auto"/>
        </w:rPr>
      </w:pPr>
    </w:p>
    <w:p>
      <w:pPr>
        <w:ind w:firstLine="681"/>
        <w:spacing w:after="0" w:line="262"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9" w:name="page70"/>
    <w:bookmarkEnd w:id="69"/>
    <w:p>
      <w:pPr>
        <w:ind w:right="280" w:firstLine="674"/>
        <w:spacing w:after="0" w:line="264" w:lineRule="auto"/>
        <w:rPr>
          <w:sz w:val="20"/>
          <w:szCs w:val="20"/>
          <w:color w:val="auto"/>
        </w:rPr>
      </w:pPr>
      <w:r>
        <w:rPr>
          <w:rFonts w:ascii="Arial" w:cs="Arial" w:eastAsia="Arial" w:hAnsi="Arial"/>
          <w:sz w:val="16"/>
          <w:szCs w:val="16"/>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69" w:lineRule="exact"/>
        <w:rPr>
          <w:sz w:val="20"/>
          <w:szCs w:val="20"/>
          <w:color w:val="auto"/>
        </w:rPr>
      </w:pPr>
    </w:p>
    <w:p>
      <w:pPr>
        <w:ind w:right="20" w:firstLine="674"/>
        <w:spacing w:after="0" w:line="26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73" w:lineRule="exact"/>
        <w:rPr>
          <w:sz w:val="20"/>
          <w:szCs w:val="20"/>
          <w:color w:val="auto"/>
        </w:rPr>
      </w:pPr>
    </w:p>
    <w:p>
      <w:pPr>
        <w:ind w:right="20" w:firstLine="674"/>
        <w:spacing w:after="0" w:line="278"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262" w:lineRule="exact"/>
        <w:rPr>
          <w:sz w:val="20"/>
          <w:szCs w:val="20"/>
          <w:color w:val="auto"/>
        </w:rPr>
      </w:pPr>
    </w:p>
    <w:p>
      <w:pPr>
        <w:ind w:right="20"/>
        <w:spacing w:after="0" w:line="362"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 w:lineRule="exact"/>
        <w:rPr>
          <w:sz w:val="20"/>
          <w:szCs w:val="20"/>
          <w:color w:val="auto"/>
        </w:rPr>
      </w:pPr>
    </w:p>
    <w:p>
      <w:pPr>
        <w:ind w:firstLine="674"/>
        <w:spacing w:after="0" w:line="281"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5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51" w:lineRule="exact"/>
        <w:rPr>
          <w:sz w:val="20"/>
          <w:szCs w:val="20"/>
          <w:color w:val="auto"/>
        </w:rPr>
      </w:pPr>
    </w:p>
    <w:p>
      <w:pPr>
        <w:ind w:firstLine="681"/>
        <w:spacing w:after="0" w:line="280" w:lineRule="auto"/>
        <w:rPr>
          <w:sz w:val="20"/>
          <w:szCs w:val="20"/>
          <w:color w:val="auto"/>
        </w:rPr>
      </w:pPr>
      <w:r>
        <w:rPr>
          <w:rFonts w:ascii="Arial" w:cs="Arial" w:eastAsia="Arial" w:hAnsi="Arial"/>
          <w:sz w:val="15"/>
          <w:szCs w:val="15"/>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0" w:name="page71"/>
    <w:bookmarkEnd w:id="70"/>
    <w:p>
      <w:pPr>
        <w:ind w:right="60" w:firstLine="674"/>
        <w:spacing w:after="0" w:line="260" w:lineRule="auto"/>
        <w:rPr>
          <w:sz w:val="20"/>
          <w:szCs w:val="20"/>
          <w:color w:val="auto"/>
        </w:rPr>
      </w:pPr>
      <w:r>
        <w:rPr>
          <w:rFonts w:ascii="Arial" w:cs="Arial" w:eastAsia="Arial" w:hAnsi="Arial"/>
          <w:sz w:val="16"/>
          <w:szCs w:val="16"/>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0" w:lineRule="exact"/>
        <w:rPr>
          <w:sz w:val="20"/>
          <w:szCs w:val="20"/>
          <w:color w:val="auto"/>
        </w:rPr>
      </w:pPr>
    </w:p>
    <w:p>
      <w:pPr>
        <w:ind w:right="620"/>
        <w:spacing w:after="0" w:line="287" w:lineRule="auto"/>
        <w:rPr>
          <w:sz w:val="20"/>
          <w:szCs w:val="20"/>
          <w:color w:val="auto"/>
        </w:rPr>
      </w:pPr>
      <w:r>
        <w:rPr>
          <w:rFonts w:ascii="Arial" w:cs="Arial" w:eastAsia="Arial" w:hAnsi="Arial"/>
          <w:sz w:val="16"/>
          <w:szCs w:val="16"/>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51" w:lineRule="exact"/>
        <w:rPr>
          <w:sz w:val="20"/>
          <w:szCs w:val="20"/>
          <w:color w:val="auto"/>
        </w:rPr>
      </w:pPr>
    </w:p>
    <w:p>
      <w:pPr>
        <w:ind w:firstLine="674"/>
        <w:spacing w:after="0" w:line="260"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76" w:lineRule="exact"/>
        <w:rPr>
          <w:sz w:val="20"/>
          <w:szCs w:val="20"/>
          <w:color w:val="auto"/>
        </w:rPr>
      </w:pPr>
    </w:p>
    <w:p>
      <w:pPr>
        <w:ind w:right="120" w:firstLine="674"/>
        <w:spacing w:after="0" w:line="266" w:lineRule="auto"/>
        <w:rPr>
          <w:sz w:val="20"/>
          <w:szCs w:val="20"/>
          <w:color w:val="auto"/>
        </w:rPr>
      </w:pPr>
      <w:r>
        <w:rPr>
          <w:rFonts w:ascii="Arial" w:cs="Arial" w:eastAsia="Arial" w:hAnsi="Arial"/>
          <w:sz w:val="16"/>
          <w:szCs w:val="16"/>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69" w:lineRule="exact"/>
        <w:rPr>
          <w:sz w:val="20"/>
          <w:szCs w:val="20"/>
          <w:color w:val="auto"/>
        </w:rPr>
      </w:pPr>
    </w:p>
    <w:p>
      <w:pPr>
        <w:ind w:right="80" w:firstLine="674"/>
        <w:spacing w:after="0" w:line="262"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2" w:lineRule="exact"/>
        <w:rPr>
          <w:sz w:val="20"/>
          <w:szCs w:val="20"/>
          <w:color w:val="auto"/>
        </w:rPr>
      </w:pPr>
    </w:p>
    <w:p>
      <w:pPr>
        <w:jc w:val="both"/>
        <w:ind w:right="40" w:firstLine="674"/>
        <w:spacing w:after="0" w:line="362"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 w:lineRule="exact"/>
        <w:rPr>
          <w:sz w:val="20"/>
          <w:szCs w:val="20"/>
          <w:color w:val="auto"/>
        </w:rPr>
      </w:pPr>
    </w:p>
    <w:p>
      <w:pPr>
        <w:ind w:right="40" w:firstLine="674"/>
        <w:spacing w:after="0" w:line="260" w:lineRule="auto"/>
        <w:rPr>
          <w:sz w:val="20"/>
          <w:szCs w:val="20"/>
          <w:color w:val="auto"/>
        </w:rPr>
      </w:pPr>
      <w:r>
        <w:rPr>
          <w:rFonts w:ascii="Arial" w:cs="Arial" w:eastAsia="Arial" w:hAnsi="Arial"/>
          <w:sz w:val="16"/>
          <w:szCs w:val="16"/>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111" w:lineRule="exact"/>
        <w:rPr>
          <w:sz w:val="20"/>
          <w:szCs w:val="20"/>
          <w:color w:val="auto"/>
        </w:rPr>
      </w:pPr>
    </w:p>
    <w:p>
      <w:pPr>
        <w:ind w:firstLine="674"/>
        <w:spacing w:after="0" w:line="283"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57" w:lineRule="exact"/>
        <w:rPr>
          <w:sz w:val="20"/>
          <w:szCs w:val="20"/>
          <w:color w:val="auto"/>
        </w:rPr>
      </w:pPr>
    </w:p>
    <w:p>
      <w:pPr>
        <w:ind w:firstLine="674"/>
        <w:spacing w:after="0" w:line="277" w:lineRule="auto"/>
        <w:rPr>
          <w:sz w:val="20"/>
          <w:szCs w:val="20"/>
          <w:color w:val="auto"/>
        </w:rPr>
      </w:pPr>
      <w:r>
        <w:rPr>
          <w:rFonts w:ascii="Arial" w:cs="Arial" w:eastAsia="Arial" w:hAnsi="Arial"/>
          <w:sz w:val="15"/>
          <w:szCs w:val="15"/>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68" w:lineRule="exact"/>
        <w:rPr>
          <w:sz w:val="20"/>
          <w:szCs w:val="20"/>
          <w:color w:val="auto"/>
        </w:rPr>
      </w:pPr>
    </w:p>
    <w:p>
      <w:pPr>
        <w:ind w:firstLine="674"/>
        <w:spacing w:after="0" w:line="306" w:lineRule="auto"/>
        <w:rPr>
          <w:sz w:val="20"/>
          <w:szCs w:val="20"/>
          <w:color w:val="auto"/>
        </w:rPr>
      </w:pPr>
      <w:r>
        <w:rPr>
          <w:rFonts w:ascii="Arial" w:cs="Arial" w:eastAsia="Arial" w:hAnsi="Arial"/>
          <w:sz w:val="14"/>
          <w:szCs w:val="14"/>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or laws in other countries, could diminish the value of patents in general, thereby impairing our ability to protect our product candidates.</w:t>
      </w:r>
    </w:p>
    <w:p>
      <w:pPr>
        <w:spacing w:after="0" w:line="134" w:lineRule="exact"/>
        <w:rPr>
          <w:sz w:val="20"/>
          <w:szCs w:val="20"/>
          <w:color w:val="auto"/>
        </w:rPr>
      </w:pPr>
    </w:p>
    <w:p>
      <w:pPr>
        <w:ind w:right="120" w:firstLine="674"/>
        <w:spacing w:after="0" w:line="277"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11" w:lineRule="exact"/>
        <w:rPr>
          <w:sz w:val="20"/>
          <w:szCs w:val="20"/>
          <w:color w:val="auto"/>
        </w:rPr>
      </w:pPr>
    </w:p>
    <w:p>
      <w:pPr>
        <w:ind w:firstLine="674"/>
        <w:spacing w:after="0" w:line="300" w:lineRule="auto"/>
        <w:rPr>
          <w:sz w:val="20"/>
          <w:szCs w:val="20"/>
          <w:color w:val="auto"/>
        </w:rPr>
      </w:pPr>
      <w:r>
        <w:rPr>
          <w:rFonts w:ascii="Arial" w:cs="Arial" w:eastAsia="Arial" w:hAnsi="Arial"/>
          <w:sz w:val="14"/>
          <w:szCs w:val="14"/>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674"/>
        <w:spacing w:after="0" w:line="281" w:lineRule="auto"/>
        <w:rPr>
          <w:sz w:val="20"/>
          <w:szCs w:val="20"/>
          <w:color w:val="auto"/>
        </w:rPr>
      </w:pPr>
      <w:r>
        <w:rPr>
          <w:rFonts w:ascii="Arial" w:cs="Arial" w:eastAsia="Arial" w:hAnsi="Arial"/>
          <w:sz w:val="15"/>
          <w:szCs w:val="15"/>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60"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65" w:lineRule="exact"/>
        <w:rPr>
          <w:sz w:val="20"/>
          <w:szCs w:val="20"/>
          <w:color w:val="auto"/>
        </w:rPr>
      </w:pPr>
    </w:p>
    <w:p>
      <w:pPr>
        <w:ind w:right="80" w:firstLine="674"/>
        <w:spacing w:after="0" w:line="283" w:lineRule="auto"/>
        <w:rPr>
          <w:sz w:val="20"/>
          <w:szCs w:val="20"/>
          <w:color w:val="auto"/>
        </w:rPr>
      </w:pPr>
      <w:r>
        <w:rPr>
          <w:rFonts w:ascii="Arial" w:cs="Arial" w:eastAsia="Arial" w:hAnsi="Arial"/>
          <w:sz w:val="15"/>
          <w:szCs w:val="15"/>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57" w:lineRule="exact"/>
        <w:rPr>
          <w:sz w:val="20"/>
          <w:szCs w:val="20"/>
          <w:color w:val="auto"/>
        </w:rPr>
      </w:pPr>
    </w:p>
    <w:p>
      <w:pPr>
        <w:ind w:right="20" w:firstLine="674"/>
        <w:spacing w:after="0" w:line="285" w:lineRule="auto"/>
        <w:rPr>
          <w:sz w:val="20"/>
          <w:szCs w:val="20"/>
          <w:color w:val="auto"/>
        </w:rPr>
      </w:pPr>
      <w:r>
        <w:rPr>
          <w:rFonts w:ascii="Arial" w:cs="Arial" w:eastAsia="Arial" w:hAnsi="Arial"/>
          <w:sz w:val="15"/>
          <w:szCs w:val="15"/>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73" w:name="page74"/>
    <w:bookmarkEnd w:id="73"/>
    <w:p>
      <w:pPr>
        <w:jc w:val="both"/>
        <w:ind w:right="240" w:firstLine="674"/>
        <w:spacing w:after="0" w:line="27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65" w:lineRule="exact"/>
        <w:rPr>
          <w:sz w:val="20"/>
          <w:szCs w:val="20"/>
          <w:color w:val="auto"/>
        </w:rPr>
      </w:pPr>
    </w:p>
    <w:p>
      <w:pPr>
        <w:ind w:right="120" w:firstLine="674"/>
        <w:spacing w:after="0" w:line="285" w:lineRule="auto"/>
        <w:rPr>
          <w:sz w:val="20"/>
          <w:szCs w:val="20"/>
          <w:color w:val="auto"/>
        </w:rPr>
      </w:pPr>
      <w:r>
        <w:rPr>
          <w:rFonts w:ascii="Arial" w:cs="Arial" w:eastAsia="Arial" w:hAnsi="Arial"/>
          <w:sz w:val="15"/>
          <w:szCs w:val="15"/>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56" w:lineRule="exact"/>
        <w:rPr>
          <w:sz w:val="20"/>
          <w:szCs w:val="20"/>
          <w:color w:val="auto"/>
        </w:rPr>
      </w:pPr>
    </w:p>
    <w:p>
      <w:pPr>
        <w:ind w:right="80" w:firstLine="674"/>
        <w:spacing w:after="0" w:line="298" w:lineRule="auto"/>
        <w:rPr>
          <w:sz w:val="20"/>
          <w:szCs w:val="20"/>
          <w:color w:val="auto"/>
        </w:rPr>
      </w:pPr>
      <w:r>
        <w:rPr>
          <w:rFonts w:ascii="Arial" w:cs="Arial" w:eastAsia="Arial" w:hAnsi="Arial"/>
          <w:sz w:val="15"/>
          <w:szCs w:val="15"/>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45" w:lineRule="exact"/>
        <w:rPr>
          <w:sz w:val="20"/>
          <w:szCs w:val="20"/>
          <w:color w:val="auto"/>
        </w:rPr>
      </w:pPr>
    </w:p>
    <w:p>
      <w:pPr>
        <w:ind w:right="20" w:firstLine="674"/>
        <w:spacing w:after="0" w:line="26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22" w:lineRule="exact"/>
        <w:rPr>
          <w:sz w:val="20"/>
          <w:szCs w:val="20"/>
          <w:color w:val="auto"/>
        </w:rPr>
      </w:pPr>
    </w:p>
    <w:p>
      <w:pPr>
        <w:ind w:right="100" w:firstLine="674"/>
        <w:spacing w:after="0" w:line="289" w:lineRule="auto"/>
        <w:rPr>
          <w:sz w:val="20"/>
          <w:szCs w:val="20"/>
          <w:color w:val="auto"/>
        </w:rPr>
      </w:pPr>
      <w:r>
        <w:rPr>
          <w:rFonts w:ascii="Arial" w:cs="Arial" w:eastAsia="Arial" w:hAnsi="Arial"/>
          <w:sz w:val="15"/>
          <w:szCs w:val="15"/>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50" w:lineRule="exact"/>
        <w:rPr>
          <w:sz w:val="20"/>
          <w:szCs w:val="20"/>
          <w:color w:val="auto"/>
        </w:rPr>
      </w:pPr>
    </w:p>
    <w:p>
      <w:pPr>
        <w:ind w:right="200"/>
        <w:spacing w:after="0" w:line="362"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 w:lineRule="exact"/>
        <w:rPr>
          <w:sz w:val="20"/>
          <w:szCs w:val="20"/>
          <w:color w:val="auto"/>
        </w:rPr>
      </w:pPr>
    </w:p>
    <w:p>
      <w:pPr>
        <w:ind w:firstLine="681"/>
        <w:spacing w:after="0" w:line="302" w:lineRule="auto"/>
        <w:rPr>
          <w:sz w:val="20"/>
          <w:szCs w:val="20"/>
          <w:color w:val="auto"/>
        </w:rPr>
      </w:pPr>
      <w:r>
        <w:rPr>
          <w:rFonts w:ascii="Arial" w:cs="Arial" w:eastAsia="Arial" w:hAnsi="Arial"/>
          <w:sz w:val="14"/>
          <w:szCs w:val="14"/>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4" w:name="page75"/>
    <w:bookmarkEnd w:id="74"/>
    <w:p>
      <w:pPr>
        <w:ind w:right="20"/>
        <w:spacing w:after="0" w:line="287"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100" w:firstLine="674"/>
        <w:spacing w:after="0" w:line="289" w:lineRule="auto"/>
        <w:rPr>
          <w:sz w:val="20"/>
          <w:szCs w:val="20"/>
          <w:color w:val="auto"/>
        </w:rPr>
      </w:pPr>
      <w:r>
        <w:rPr>
          <w:rFonts w:ascii="Arial" w:cs="Arial" w:eastAsia="Arial" w:hAnsi="Arial"/>
          <w:sz w:val="15"/>
          <w:szCs w:val="15"/>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54" w:lineRule="exact"/>
        <w:rPr>
          <w:sz w:val="20"/>
          <w:szCs w:val="20"/>
          <w:color w:val="auto"/>
        </w:rPr>
      </w:pPr>
    </w:p>
    <w:p>
      <w:pPr>
        <w:ind w:right="20" w:firstLine="674"/>
        <w:spacing w:after="0" w:line="264" w:lineRule="auto"/>
        <w:rPr>
          <w:sz w:val="20"/>
          <w:szCs w:val="20"/>
          <w:color w:val="auto"/>
        </w:rPr>
      </w:pPr>
      <w:r>
        <w:rPr>
          <w:rFonts w:ascii="Arial" w:cs="Arial" w:eastAsia="Arial" w:hAnsi="Arial"/>
          <w:sz w:val="16"/>
          <w:szCs w:val="16"/>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69" w:lineRule="exact"/>
        <w:rPr>
          <w:sz w:val="20"/>
          <w:szCs w:val="20"/>
          <w:color w:val="auto"/>
        </w:rPr>
      </w:pPr>
    </w:p>
    <w:p>
      <w:pPr>
        <w:ind w:right="40" w:firstLine="674"/>
        <w:spacing w:after="0" w:line="280" w:lineRule="auto"/>
        <w:rPr>
          <w:sz w:val="20"/>
          <w:szCs w:val="20"/>
          <w:color w:val="auto"/>
        </w:rPr>
      </w:pPr>
      <w:r>
        <w:rPr>
          <w:rFonts w:ascii="Arial" w:cs="Arial" w:eastAsia="Arial" w:hAnsi="Arial"/>
          <w:sz w:val="15"/>
          <w:szCs w:val="15"/>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5" w:lineRule="exact"/>
        <w:rPr>
          <w:sz w:val="20"/>
          <w:szCs w:val="20"/>
          <w:color w:val="auto"/>
        </w:rPr>
      </w:pPr>
    </w:p>
    <w:p>
      <w:pPr>
        <w:ind w:left="960" w:hanging="298"/>
        <w:spacing w:after="0"/>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scope of rights granted under the license agreement and other interpretation-related issues;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whether and the extent to which our technology and processes infringe on intellectual property of the licensor that is not subject to the licensing agreement;</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right to sublicense patents and other rights to third parties;</w:t>
      </w:r>
    </w:p>
    <w:p>
      <w:pPr>
        <w:spacing w:after="0" w:line="110" w:lineRule="exact"/>
        <w:rPr>
          <w:rFonts w:ascii="Arial" w:cs="Arial" w:eastAsia="Arial" w:hAnsi="Arial"/>
          <w:sz w:val="15"/>
          <w:szCs w:val="15"/>
          <w:color w:val="auto"/>
        </w:rPr>
      </w:pPr>
    </w:p>
    <w:p>
      <w:pPr>
        <w:ind w:left="960" w:right="520" w:hanging="298"/>
        <w:spacing w:after="0" w:line="277" w:lineRule="auto"/>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diligence obligations with respect to the use of the licensed technology in relation to our development and commercialization of our product candidates, and what activities satisfy those diligence obligations;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right to transfer or assign the license;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ownership of inventions and know-how resulting from the joint creation or use of intellectual property by our licensors and us and our partners.</w:t>
      </w:r>
    </w:p>
    <w:p>
      <w:pPr>
        <w:spacing w:after="0" w:line="106" w:lineRule="exact"/>
        <w:rPr>
          <w:sz w:val="20"/>
          <w:szCs w:val="20"/>
          <w:color w:val="auto"/>
        </w:rPr>
      </w:pPr>
    </w:p>
    <w:p>
      <w:pPr>
        <w:ind w:right="220" w:firstLine="674"/>
        <w:spacing w:after="0" w:line="322" w:lineRule="auto"/>
        <w:rPr>
          <w:sz w:val="20"/>
          <w:szCs w:val="20"/>
          <w:color w:val="auto"/>
        </w:rPr>
      </w:pPr>
      <w:r>
        <w:rPr>
          <w:rFonts w:ascii="Arial" w:cs="Arial" w:eastAsia="Arial" w:hAnsi="Arial"/>
          <w:sz w:val="15"/>
          <w:szCs w:val="15"/>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29" w:lineRule="exact"/>
        <w:rPr>
          <w:sz w:val="20"/>
          <w:szCs w:val="20"/>
          <w:color w:val="auto"/>
        </w:rPr>
      </w:pPr>
    </w:p>
    <w:p>
      <w:pPr>
        <w:jc w:val="both"/>
        <w:ind w:right="100" w:firstLine="674"/>
        <w:spacing w:after="0" w:line="271" w:lineRule="auto"/>
        <w:rPr>
          <w:sz w:val="20"/>
          <w:szCs w:val="20"/>
          <w:color w:val="auto"/>
        </w:rPr>
      </w:pPr>
      <w:r>
        <w:rPr>
          <w:rFonts w:ascii="Arial" w:cs="Arial" w:eastAsia="Arial" w:hAnsi="Arial"/>
          <w:sz w:val="16"/>
          <w:szCs w:val="16"/>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57"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stock may be volatile, and you could lose all or part of your investment.</w:t>
      </w:r>
    </w:p>
    <w:p>
      <w:pPr>
        <w:spacing w:after="0" w:line="111" w:lineRule="exact"/>
        <w:rPr>
          <w:sz w:val="20"/>
          <w:szCs w:val="20"/>
          <w:color w:val="auto"/>
        </w:rPr>
      </w:pPr>
    </w:p>
    <w:p>
      <w:pPr>
        <w:ind w:firstLine="674"/>
        <w:spacing w:after="0" w:line="271" w:lineRule="auto"/>
        <w:rPr>
          <w:sz w:val="20"/>
          <w:szCs w:val="20"/>
          <w:color w:val="auto"/>
        </w:rPr>
      </w:pPr>
      <w:r>
        <w:rPr>
          <w:rFonts w:ascii="Arial" w:cs="Arial" w:eastAsia="Arial" w:hAnsi="Arial"/>
          <w:sz w:val="16"/>
          <w:szCs w:val="16"/>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Quarterly Report on Form 10-Q, these factors include:</w:t>
      </w:r>
    </w:p>
    <w:p>
      <w:pPr>
        <w:spacing w:after="0" w:line="69" w:lineRule="exact"/>
        <w:rPr>
          <w:sz w:val="20"/>
          <w:szCs w:val="20"/>
          <w:color w:val="auto"/>
        </w:rPr>
      </w:pPr>
    </w:p>
    <w:p>
      <w:pPr>
        <w:ind w:left="960" w:hanging="298"/>
        <w:spacing w:after="0"/>
        <w:tabs>
          <w:tab w:leader="none" w:pos="9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results of our ongoing, planned or any future preclinical studies, clinical trials or clinical development programs;</w:t>
      </w:r>
    </w:p>
    <w:p>
      <w:pPr>
        <w:spacing w:after="0" w:line="110" w:lineRule="exact"/>
        <w:rPr>
          <w:rFonts w:ascii="Arial" w:cs="Arial" w:eastAsia="Arial" w:hAnsi="Arial"/>
          <w:sz w:val="15"/>
          <w:szCs w:val="15"/>
          <w:color w:val="auto"/>
        </w:rPr>
      </w:pPr>
    </w:p>
    <w:p>
      <w:pPr>
        <w:ind w:left="960" w:right="60" w:hanging="298"/>
        <w:spacing w:after="0" w:line="277" w:lineRule="auto"/>
        <w:tabs>
          <w:tab w:leader="none" w:pos="9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commencement, enrollment, or results of clinical trials of our product candidates or any future clinical trials we may conduct, or changes in the development status of our product candidates;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75" w:name="page76"/>
    <w:bookmarkEnd w:id="75"/>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adverse results or delays in preclinical studies and clinical trials;</w:t>
      </w:r>
    </w:p>
    <w:p>
      <w:pPr>
        <w:spacing w:after="0" w:line="110" w:lineRule="exact"/>
        <w:rPr>
          <w:rFonts w:ascii="Arial" w:cs="Arial" w:eastAsia="Arial" w:hAnsi="Arial"/>
          <w:sz w:val="15"/>
          <w:szCs w:val="15"/>
          <w:color w:val="auto"/>
        </w:rPr>
      </w:pPr>
    </w:p>
    <w:p>
      <w:pPr>
        <w:ind w:left="960" w:hanging="298"/>
        <w:spacing w:after="0" w:line="277" w:lineRule="auto"/>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decision to initiate a clinical trial, not to initiate a clinical trial, or to terminate an existing clinical trial, including due to the suspension of a clinical trial by the FDA or other regulatory authorities;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delay in our regulatory filings or any adverse regulatory decisions, including failure to receive regulatory approval of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laws or regulations applicable to our products, including but not limited to clinical trial requirements for approvals;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adverse developments concerning our manufacturers or our manufacturing plans;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inability to obtain adequate product supply for any licensed product or inability to do so at acceptable prices;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inability to establish collaborations if needed;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failure to commercialize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additions or departures of key scientific or management personnel;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unanticipated serious safety concerns related to the use of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introduction of new products or services offered by us or our competitors;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announcements of significant acquisitions, strategic partnerships, joint ventures or capital commitments by us or our competitors;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ability to effectively manage our growth;</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size and growth of our initial cancer target markets;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ability to successfully treat additional types of cancers or at different stages;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actual or anticipated variations in quarterly operating results;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cash position;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failure to meet the estimates and projections of the investment community or that we may otherwise provide to the public;</w:t>
      </w:r>
    </w:p>
    <w:p>
      <w:pPr>
        <w:spacing w:after="0" w:line="110" w:lineRule="exact"/>
        <w:rPr>
          <w:rFonts w:ascii="Arial" w:cs="Arial" w:eastAsia="Arial" w:hAnsi="Arial"/>
          <w:sz w:val="15"/>
          <w:szCs w:val="15"/>
          <w:color w:val="auto"/>
        </w:rPr>
      </w:pPr>
    </w:p>
    <w:p>
      <w:pPr>
        <w:ind w:left="960" w:right="160" w:hanging="298"/>
        <w:spacing w:after="0" w:line="277" w:lineRule="auto"/>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publication of research reports about us or our industry, or immunotherapy in particular, or positive or negative recommendations or withdrawal of research coverage by securities analysts;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the market valuations of similar companies;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overall performance of the equity markets;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sales of our common stock by us or our stockholders in the future;</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expiration of lock-up agreements;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trading volume of our common stock;</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accounting practices;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ineffectiveness of our internal controls;</w:t>
      </w:r>
    </w:p>
    <w:p>
      <w:pPr>
        <w:spacing w:after="0" w:line="110" w:lineRule="exact"/>
        <w:rPr>
          <w:rFonts w:ascii="Arial" w:cs="Arial" w:eastAsia="Arial" w:hAnsi="Arial"/>
          <w:sz w:val="15"/>
          <w:szCs w:val="15"/>
          <w:color w:val="auto"/>
        </w:rPr>
      </w:pPr>
    </w:p>
    <w:p>
      <w:pPr>
        <w:ind w:left="960" w:right="60" w:hanging="298"/>
        <w:spacing w:after="0" w:line="277" w:lineRule="auto"/>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disputes or other developments relating to intellectual property or proprietary rights, including patents, litigation matters and our ability to obtain patent protection for our technologies;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significant lawsuits, including intellectual property or stockholder litigation;</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impact of any natural disasters or public health emergencies, such as the COVID-19 pandemic;</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general economic, political, industry and market conditions, including the impending presidential election in the United States in 2020;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other events or factors, many of which are beyond our control.</w:t>
      </w:r>
    </w:p>
    <w:p>
      <w:pPr>
        <w:spacing w:after="0" w:line="106" w:lineRule="exact"/>
        <w:rPr>
          <w:sz w:val="20"/>
          <w:szCs w:val="20"/>
          <w:color w:val="auto"/>
        </w:rPr>
      </w:pPr>
    </w:p>
    <w:p>
      <w:pPr>
        <w:ind w:right="20" w:firstLine="674"/>
        <w:spacing w:after="0" w:line="287" w:lineRule="auto"/>
        <w:rPr>
          <w:sz w:val="20"/>
          <w:szCs w:val="20"/>
          <w:color w:val="auto"/>
        </w:rPr>
      </w:pPr>
      <w:r>
        <w:rPr>
          <w:rFonts w:ascii="Arial" w:cs="Arial" w:eastAsia="Arial" w:hAnsi="Arial"/>
          <w:sz w:val="16"/>
          <w:szCs w:val="16"/>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040"/>
          </w:cols>
          <w:pgMar w:left="320" w:top="426" w:right="539" w:bottom="1440" w:gutter="0" w:footer="0" w:header="0"/>
        </w:sectPr>
      </w:pPr>
    </w:p>
    <w:bookmarkStart w:id="76" w:name="page77"/>
    <w:bookmarkEnd w:id="76"/>
    <w:p>
      <w:pPr>
        <w:ind w:right="60" w:firstLine="674"/>
        <w:spacing w:after="0" w:line="283" w:lineRule="auto"/>
        <w:rPr>
          <w:sz w:val="20"/>
          <w:szCs w:val="20"/>
          <w:color w:val="auto"/>
        </w:rPr>
      </w:pPr>
      <w:r>
        <w:rPr>
          <w:rFonts w:ascii="Arial" w:cs="Arial" w:eastAsia="Arial" w:hAnsi="Arial"/>
          <w:sz w:val="15"/>
          <w:szCs w:val="15"/>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continue to develop or be sustained.</w:t>
      </w:r>
    </w:p>
    <w:p>
      <w:pPr>
        <w:spacing w:after="0" w:line="111" w:lineRule="exact"/>
        <w:rPr>
          <w:sz w:val="20"/>
          <w:szCs w:val="20"/>
          <w:color w:val="auto"/>
        </w:rPr>
      </w:pPr>
    </w:p>
    <w:p>
      <w:pPr>
        <w:ind w:right="40" w:firstLine="792"/>
        <w:spacing w:after="0" w:line="289" w:lineRule="auto"/>
        <w:rPr>
          <w:sz w:val="20"/>
          <w:szCs w:val="20"/>
          <w:color w:val="auto"/>
        </w:rPr>
      </w:pPr>
      <w:r>
        <w:rPr>
          <w:rFonts w:ascii="Arial" w:cs="Arial" w:eastAsia="Arial" w:hAnsi="Arial"/>
          <w:sz w:val="15"/>
          <w:szCs w:val="15"/>
          <w:color w:val="auto"/>
        </w:rPr>
        <w:t>Prior to the closing of our IPO in September 2020, there was no public trading market for our common stock. Although our common stock is listed on the Nasdaq Global Select Market, the market for our shares has demonstrated varying levels of trading activity. We cannot predict the prices at which our common stock will trade or whether an active trading market will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250"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1" w:lineRule="exact"/>
        <w:rPr>
          <w:sz w:val="20"/>
          <w:szCs w:val="20"/>
          <w:color w:val="auto"/>
        </w:rPr>
      </w:pPr>
    </w:p>
    <w:p>
      <w:pPr>
        <w:ind w:right="40" w:firstLine="674"/>
        <w:spacing w:after="0" w:line="285" w:lineRule="auto"/>
        <w:rPr>
          <w:sz w:val="20"/>
          <w:szCs w:val="20"/>
          <w:color w:val="auto"/>
        </w:rPr>
      </w:pPr>
      <w:r>
        <w:rPr>
          <w:rFonts w:ascii="Arial" w:cs="Arial" w:eastAsia="Arial" w:hAnsi="Arial"/>
          <w:sz w:val="15"/>
          <w:szCs w:val="15"/>
          <w:color w:val="auto"/>
        </w:rPr>
        <w:t>The trading market for our common stock will be influenced by the research and reports that securities or industry analysts publish about us, our business or our market. If no or few securities or industry analysts commence coverage of us, our stock price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53"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right="80" w:firstLine="674"/>
        <w:spacing w:after="0" w:line="261"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111" w:lineRule="exact"/>
        <w:rPr>
          <w:sz w:val="20"/>
          <w:szCs w:val="20"/>
          <w:color w:val="auto"/>
        </w:rPr>
      </w:pPr>
    </w:p>
    <w:p>
      <w:pPr>
        <w:ind w:right="200" w:firstLine="674"/>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1" w:lineRule="exact"/>
        <w:rPr>
          <w:sz w:val="20"/>
          <w:szCs w:val="20"/>
          <w:color w:val="auto"/>
        </w:rPr>
      </w:pPr>
    </w:p>
    <w:p>
      <w:pPr>
        <w:ind w:firstLine="674"/>
        <w:spacing w:after="0" w:line="264" w:lineRule="auto"/>
        <w:rPr>
          <w:sz w:val="20"/>
          <w:szCs w:val="20"/>
          <w:color w:val="auto"/>
        </w:rPr>
      </w:pPr>
      <w:r>
        <w:rPr>
          <w:rFonts w:ascii="Arial" w:cs="Arial" w:eastAsia="Arial" w:hAnsi="Arial"/>
          <w:sz w:val="16"/>
          <w:szCs w:val="16"/>
          <w:color w:val="auto"/>
        </w:rPr>
        <w:t>As of September 30, 2020, we had 44,773,748 shares of common stock outstanding. Of these shares, approximately 13,529,750 shares are freely tradable and substantially all of the remaining shares of common stock will be available for sale in the public market beginning in March 2021 following the scheduled expiration of lock-up agreements that certain of our stockholders and the underwriters entered into in connection with our IPO. Goldman Sachs &amp; Co. LLC, BofA Securities, Inc., Cowen and Company, LLC and Evercore Group L.L.C. may release these stockholders from their lock-up agreements with the underwriters at any time and without notice, which would allow for earlier sales of such shares in the public market.</w:t>
      </w:r>
    </w:p>
    <w:p>
      <w:pPr>
        <w:spacing w:after="0" w:line="69" w:lineRule="exact"/>
        <w:rPr>
          <w:sz w:val="20"/>
          <w:szCs w:val="20"/>
          <w:color w:val="auto"/>
        </w:rPr>
      </w:pPr>
    </w:p>
    <w:p>
      <w:pPr>
        <w:ind w:right="60" w:firstLine="674"/>
        <w:spacing w:after="0" w:line="266" w:lineRule="auto"/>
        <w:rPr>
          <w:sz w:val="20"/>
          <w:szCs w:val="20"/>
          <w:color w:val="auto"/>
        </w:rPr>
      </w:pPr>
      <w:r>
        <w:rPr>
          <w:rFonts w:ascii="Arial" w:cs="Arial" w:eastAsia="Arial" w:hAnsi="Arial"/>
          <w:sz w:val="16"/>
          <w:szCs w:val="16"/>
          <w:color w:val="auto"/>
        </w:rPr>
        <w:t>Moreover, holders of an aggregate of 28,198,910 shares of our common stock have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beginning in March 2021 following the scheduled expiration of lock-up agreements that certain of our stockholders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7" w:name="page78"/>
    <w:bookmarkEnd w:id="77"/>
    <w:p>
      <w:pPr>
        <w:ind w:right="120"/>
        <w:spacing w:after="0" w:line="287" w:lineRule="auto"/>
        <w:rPr>
          <w:sz w:val="20"/>
          <w:szCs w:val="20"/>
          <w:color w:val="auto"/>
        </w:rPr>
      </w:pPr>
      <w:r>
        <w:rPr>
          <w:rFonts w:ascii="Arial" w:cs="Arial" w:eastAsia="Arial" w:hAnsi="Arial"/>
          <w:sz w:val="16"/>
          <w:szCs w:val="16"/>
          <w:color w:val="auto"/>
        </w:rPr>
        <w:t>the underwriters entered into in connection with our IPO. If these additional shares are, or if it is perceived that they will be, sold in the public market, the trading price of our common stock could decline.</w:t>
      </w:r>
    </w:p>
    <w:p>
      <w:pPr>
        <w:spacing w:after="0" w:line="51" w:lineRule="exact"/>
        <w:rPr>
          <w:sz w:val="20"/>
          <w:szCs w:val="20"/>
          <w:color w:val="auto"/>
        </w:rPr>
      </w:pPr>
    </w:p>
    <w:p>
      <w:pPr>
        <w:ind w:right="260" w:firstLine="674"/>
        <w:spacing w:after="0" w:line="298" w:lineRule="auto"/>
        <w:rPr>
          <w:sz w:val="20"/>
          <w:szCs w:val="20"/>
          <w:color w:val="auto"/>
        </w:rPr>
      </w:pPr>
      <w:r>
        <w:rPr>
          <w:rFonts w:ascii="Arial" w:cs="Arial" w:eastAsia="Arial" w:hAnsi="Arial"/>
          <w:sz w:val="15"/>
          <w:szCs w:val="15"/>
          <w:color w:val="auto"/>
        </w:rPr>
        <w:t>In addition, on September 28, 2020, we filed a registration statement on Form S-8 registering 8,879,210 shares of common stock that we may issue under our equity incentive plans. As a result, shares registered under this registration statement on Form S-8 can be freely sold in the public market subject to the satisfaction of vesting arrangements and the exercise of such options, volume limitations applicable to affiliates and the lock-up agreements described above.</w:t>
      </w:r>
    </w:p>
    <w:p>
      <w:pPr>
        <w:spacing w:after="0" w:line="45" w:lineRule="exact"/>
        <w:rPr>
          <w:sz w:val="20"/>
          <w:szCs w:val="20"/>
          <w:color w:val="auto"/>
        </w:rPr>
      </w:pPr>
    </w:p>
    <w:p>
      <w:pPr>
        <w:ind w:right="500" w:firstLine="674"/>
        <w:spacing w:after="0" w:line="322" w:lineRule="auto"/>
        <w:rPr>
          <w:sz w:val="20"/>
          <w:szCs w:val="20"/>
          <w:color w:val="auto"/>
        </w:rPr>
      </w:pPr>
      <w:r>
        <w:rPr>
          <w:rFonts w:ascii="Arial" w:cs="Arial" w:eastAsia="Arial" w:hAnsi="Arial"/>
          <w:sz w:val="15"/>
          <w:szCs w:val="15"/>
          <w:color w:val="auto"/>
        </w:rPr>
        <w:t>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25" w:lineRule="exact"/>
        <w:rPr>
          <w:sz w:val="20"/>
          <w:szCs w:val="20"/>
          <w:color w:val="auto"/>
        </w:rPr>
      </w:pPr>
    </w:p>
    <w:p>
      <w:pPr>
        <w:ind w:right="760"/>
        <w:spacing w:after="0" w:line="287"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influence over matters subject to stockholder approval.</w:t>
      </w:r>
    </w:p>
    <w:p>
      <w:pPr>
        <w:spacing w:after="0" w:line="51" w:lineRule="exact"/>
        <w:rPr>
          <w:sz w:val="20"/>
          <w:szCs w:val="20"/>
          <w:color w:val="auto"/>
        </w:rPr>
      </w:pPr>
    </w:p>
    <w:p>
      <w:pPr>
        <w:ind w:firstLine="674"/>
        <w:spacing w:after="0" w:line="302" w:lineRule="auto"/>
        <w:rPr>
          <w:sz w:val="20"/>
          <w:szCs w:val="20"/>
          <w:color w:val="auto"/>
        </w:rPr>
      </w:pPr>
      <w:r>
        <w:rPr>
          <w:rFonts w:ascii="Arial" w:cs="Arial" w:eastAsia="Arial" w:hAnsi="Arial"/>
          <w:sz w:val="14"/>
          <w:szCs w:val="14"/>
          <w:color w:val="auto"/>
        </w:rPr>
        <w:t>As of September 30, 2020, our executive officers, directors, holders of 5% or more of our capital stock and their respective affiliates beneficially owned approximately 51.6% of our voting stock. Certain of our directors are affiliated with the holders of 5% or more of our capital stock. In particular, Arnold Oronsky, Ph.D. is an affiliate of InterWest Partners X, L.P., Peter Thompson, M.D. is an affiliate of OrbiMed Private Investments V LP and Thilo Schroeder is an affiliate Nextech V Oncology S.C.S., SIACAV-SIF. As a result, this group of stockholders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46"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jc w:val="both"/>
        <w:ind w:right="40" w:firstLine="674"/>
        <w:spacing w:after="0" w:line="271" w:lineRule="auto"/>
        <w:rPr>
          <w:sz w:val="20"/>
          <w:szCs w:val="20"/>
          <w:color w:val="auto"/>
        </w:rPr>
      </w:pPr>
      <w:r>
        <w:rPr>
          <w:rFonts w:ascii="Arial" w:cs="Arial" w:eastAsia="Arial" w:hAnsi="Arial"/>
          <w:sz w:val="16"/>
          <w:szCs w:val="16"/>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960" w:right="200" w:hanging="298"/>
        <w:spacing w:after="0" w:line="277" w:lineRule="auto"/>
        <w:tabs>
          <w:tab w:leader="none" w:pos="9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of Section 404 of the Sarbanes-Oxley Act of 2002, as amended, or Sarbanes-Oxley Act;</w:t>
      </w:r>
    </w:p>
    <w:p>
      <w:pPr>
        <w:spacing w:after="0" w:line="121" w:lineRule="exact"/>
        <w:rPr>
          <w:rFonts w:ascii="Arial" w:cs="Arial" w:eastAsia="Arial" w:hAnsi="Arial"/>
          <w:sz w:val="14"/>
          <w:szCs w:val="14"/>
          <w:color w:val="auto"/>
        </w:rPr>
      </w:pPr>
    </w:p>
    <w:p>
      <w:pPr>
        <w:ind w:left="960" w:right="240" w:hanging="298"/>
        <w:spacing w:after="0" w:line="277" w:lineRule="auto"/>
        <w:tabs>
          <w:tab w:leader="none" w:pos="9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and proxy statements; and</w:t>
      </w:r>
    </w:p>
    <w:p>
      <w:pPr>
        <w:spacing w:after="0" w:line="110" w:lineRule="exact"/>
        <w:rPr>
          <w:rFonts w:ascii="Arial" w:cs="Arial" w:eastAsia="Arial" w:hAnsi="Arial"/>
          <w:sz w:val="15"/>
          <w:szCs w:val="15"/>
          <w:color w:val="auto"/>
        </w:rPr>
      </w:pPr>
    </w:p>
    <w:p>
      <w:pPr>
        <w:ind w:left="960" w:right="60" w:hanging="298"/>
        <w:spacing w:after="0" w:line="277" w:lineRule="auto"/>
        <w:tabs>
          <w:tab w:leader="none" w:pos="9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exemptions from the requirements of holding nonbinding advisory stockholder votes on executive compensation and stockholder approval of any golden parachute payments not previously approved.</w:t>
      </w:r>
    </w:p>
    <w:p>
      <w:pPr>
        <w:spacing w:after="0" w:line="64" w:lineRule="exact"/>
        <w:rPr>
          <w:sz w:val="20"/>
          <w:szCs w:val="20"/>
          <w:color w:val="auto"/>
        </w:rPr>
      </w:pPr>
    </w:p>
    <w:p>
      <w:pPr>
        <w:ind w:right="20" w:firstLine="674"/>
        <w:spacing w:after="0" w:line="26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69" w:lineRule="exact"/>
        <w:rPr>
          <w:sz w:val="20"/>
          <w:szCs w:val="20"/>
          <w:color w:val="auto"/>
        </w:rPr>
      </w:pPr>
    </w:p>
    <w:p>
      <w:pPr>
        <w:ind w:right="100" w:firstLine="674"/>
        <w:spacing w:after="0" w:line="266"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69" w:lineRule="exact"/>
        <w:rPr>
          <w:sz w:val="20"/>
          <w:szCs w:val="20"/>
          <w:color w:val="auto"/>
        </w:rPr>
      </w:pPr>
    </w:p>
    <w:p>
      <w:pPr>
        <w:ind w:right="240" w:firstLine="674"/>
        <w:spacing w:after="0" w:line="319"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continue to take advantage of many of the same exemptions from disclosure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8" w:name="page79"/>
    <w:bookmarkEnd w:id="78"/>
    <w:p>
      <w:pPr>
        <w:ind w:right="240"/>
        <w:spacing w:after="0" w:line="287" w:lineRule="auto"/>
        <w:rPr>
          <w:sz w:val="20"/>
          <w:szCs w:val="20"/>
          <w:color w:val="auto"/>
        </w:rPr>
      </w:pPr>
      <w:r>
        <w:rPr>
          <w:rFonts w:ascii="Arial" w:cs="Arial" w:eastAsia="Arial" w:hAnsi="Arial"/>
          <w:sz w:val="16"/>
          <w:szCs w:val="16"/>
          <w:color w:val="auto"/>
        </w:rPr>
        <w:t>including not being required to comply with the auditor attestation requirements of Section 404 of the Sarbanes-Oxley Act and reduced disclosure obligations regarding executive compensation in our periodic reports and proxy statements.</w:t>
      </w:r>
    </w:p>
    <w:p>
      <w:pPr>
        <w:spacing w:after="0" w:line="51" w:lineRule="exact"/>
        <w:rPr>
          <w:sz w:val="20"/>
          <w:szCs w:val="20"/>
          <w:color w:val="auto"/>
        </w:rPr>
      </w:pPr>
    </w:p>
    <w:p>
      <w:pPr>
        <w:ind w:right="260" w:firstLine="674"/>
        <w:spacing w:after="0" w:line="287"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We will incur significant increased costs as a result of operating as a public company, and our management has devoted and will continue to devote substantial time to new compliance initiatives.</w:t>
      </w:r>
    </w:p>
    <w:p>
      <w:pPr>
        <w:spacing w:after="0" w:line="51" w:lineRule="exact"/>
        <w:rPr>
          <w:sz w:val="20"/>
          <w:szCs w:val="20"/>
          <w:color w:val="auto"/>
        </w:rPr>
      </w:pPr>
    </w:p>
    <w:p>
      <w:pPr>
        <w:ind w:right="80" w:firstLine="674"/>
        <w:spacing w:after="0" w:line="277" w:lineRule="auto"/>
        <w:rPr>
          <w:sz w:val="20"/>
          <w:szCs w:val="20"/>
          <w:color w:val="auto"/>
        </w:rPr>
      </w:pPr>
      <w:r>
        <w:rPr>
          <w:rFonts w:ascii="Arial" w:cs="Arial" w:eastAsia="Arial" w:hAnsi="Arial"/>
          <w:sz w:val="15"/>
          <w:szCs w:val="15"/>
          <w:color w:val="auto"/>
        </w:rPr>
        <w:t>As a public company, we have incurred and will continue to incur significant legal, accounting and other expenses that we did not incur as a private company. We are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IPO.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8" w:lineRule="exact"/>
        <w:rPr>
          <w:sz w:val="20"/>
          <w:szCs w:val="20"/>
          <w:color w:val="auto"/>
        </w:rPr>
      </w:pPr>
    </w:p>
    <w:p>
      <w:pPr>
        <w:ind w:firstLine="674"/>
        <w:spacing w:after="0" w:line="262" w:lineRule="auto"/>
        <w:rPr>
          <w:sz w:val="20"/>
          <w:szCs w:val="20"/>
          <w:color w:val="auto"/>
        </w:rPr>
      </w:pPr>
      <w:r>
        <w:rPr>
          <w:rFonts w:ascii="Arial" w:cs="Arial" w:eastAsia="Arial" w:hAnsi="Arial"/>
          <w:sz w:val="16"/>
          <w:szCs w:val="16"/>
          <w:color w:val="auto"/>
        </w:rPr>
        <w:t>The rules and regulations applicable to public companies have and will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on our capital stock, so any returns will be limited to the value of our stock.</w:t>
      </w:r>
    </w:p>
    <w:p>
      <w:pPr>
        <w:spacing w:after="0" w:line="111" w:lineRule="exact"/>
        <w:rPr>
          <w:sz w:val="20"/>
          <w:szCs w:val="20"/>
          <w:color w:val="auto"/>
        </w:rPr>
      </w:pPr>
    </w:p>
    <w:p>
      <w:pPr>
        <w:ind w:firstLine="674"/>
        <w:spacing w:after="0" w:line="289" w:lineRule="auto"/>
        <w:rPr>
          <w:sz w:val="20"/>
          <w:szCs w:val="20"/>
          <w:color w:val="auto"/>
        </w:rPr>
      </w:pPr>
      <w:r>
        <w:rPr>
          <w:rFonts w:ascii="Arial" w:cs="Arial" w:eastAsia="Arial" w:hAnsi="Arial"/>
          <w:sz w:val="15"/>
          <w:szCs w:val="15"/>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5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40" w:firstLine="674"/>
        <w:spacing w:after="0" w:line="287"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56" w:lineRule="exact"/>
        <w:rPr>
          <w:sz w:val="20"/>
          <w:szCs w:val="20"/>
          <w:color w:val="auto"/>
        </w:rPr>
      </w:pPr>
    </w:p>
    <w:p>
      <w:pPr>
        <w:ind w:left="960" w:hanging="298"/>
        <w:spacing w:after="0"/>
        <w:tabs>
          <w:tab w:leader="none" w:pos="9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establish a classified board of directors so that not all members of our board are elected at one time;</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permit only the board of directors to establish the number of directors and fill vacancies on the board;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provide that directors may only be removed “for cause” and only with the approval of two-thirds of our stockholders;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authorize the issuance of “blank check” preferred stock that our board could use to implement a stockholder rights plan (also known as a “poison pill”);</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eliminate the ability of our stockholders to call special meetings of stockholders;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9" w:name="page80"/>
    <w:bookmarkEnd w:id="79"/>
    <w:p>
      <w:pPr>
        <w:ind w:left="960" w:hanging="298"/>
        <w:spacing w:after="0"/>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prohibit cumulative voting;</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authorize our board of directors to amend the bylaws;</w:t>
      </w:r>
    </w:p>
    <w:p>
      <w:pPr>
        <w:spacing w:after="0" w:line="110" w:lineRule="exact"/>
        <w:rPr>
          <w:rFonts w:ascii="Arial" w:cs="Arial" w:eastAsia="Arial" w:hAnsi="Arial"/>
          <w:sz w:val="15"/>
          <w:szCs w:val="15"/>
          <w:color w:val="auto"/>
        </w:rPr>
      </w:pPr>
    </w:p>
    <w:p>
      <w:pPr>
        <w:ind w:left="960" w:right="520" w:hanging="298"/>
        <w:spacing w:after="0" w:line="277" w:lineRule="auto"/>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 to our board or for proposing matters that can be acted upon by stockholders at annual stockholder meetings; and</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require a super-majority vote of stockholders to amend some provisions described above.</w:t>
      </w:r>
    </w:p>
    <w:p>
      <w:pPr>
        <w:spacing w:after="0" w:line="106" w:lineRule="exact"/>
        <w:rPr>
          <w:sz w:val="20"/>
          <w:szCs w:val="20"/>
          <w:color w:val="auto"/>
        </w:rPr>
      </w:pPr>
    </w:p>
    <w:p>
      <w:pPr>
        <w:ind w:right="40" w:firstLine="674"/>
        <w:spacing w:after="0" w:line="266" w:lineRule="auto"/>
        <w:rPr>
          <w:sz w:val="20"/>
          <w:szCs w:val="20"/>
          <w:color w:val="auto"/>
        </w:rPr>
      </w:pPr>
      <w:r>
        <w:rPr>
          <w:rFonts w:ascii="Arial" w:cs="Arial" w:eastAsia="Arial" w:hAnsi="Arial"/>
          <w:sz w:val="16"/>
          <w:szCs w:val="16"/>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69" w:lineRule="exact"/>
        <w:rPr>
          <w:sz w:val="20"/>
          <w:szCs w:val="20"/>
          <w:color w:val="auto"/>
        </w:rPr>
      </w:pPr>
    </w:p>
    <w:p>
      <w:pPr>
        <w:ind w:right="40" w:firstLine="674"/>
        <w:spacing w:after="0" w:line="271"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6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5" w:lineRule="exact"/>
        <w:rPr>
          <w:sz w:val="20"/>
          <w:szCs w:val="20"/>
          <w:color w:val="auto"/>
        </w:rPr>
      </w:pPr>
    </w:p>
    <w:p>
      <w:pPr>
        <w:ind w:right="40" w:firstLine="674"/>
        <w:spacing w:after="0" w:line="264" w:lineRule="auto"/>
        <w:rPr>
          <w:sz w:val="20"/>
          <w:szCs w:val="20"/>
          <w:color w:val="auto"/>
        </w:rPr>
      </w:pPr>
      <w:r>
        <w:rPr>
          <w:rFonts w:ascii="Arial" w:cs="Arial" w:eastAsia="Arial" w:hAnsi="Arial"/>
          <w:sz w:val="16"/>
          <w:szCs w:val="16"/>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3" w:lineRule="exact"/>
        <w:rPr>
          <w:sz w:val="20"/>
          <w:szCs w:val="20"/>
          <w:color w:val="auto"/>
        </w:rPr>
      </w:pPr>
    </w:p>
    <w:p>
      <w:pPr>
        <w:ind w:left="960" w:hanging="298"/>
        <w:spacing w:after="0"/>
        <w:tabs>
          <w:tab w:leader="none" w:pos="9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any action asserting a claim of breach of fiduciary duty;</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action asserting a claim against us arising under the DGCL, our amended and restated certificate of incorporation or our amended and restated bylaws; and</w:t>
      </w:r>
    </w:p>
    <w:p>
      <w:pPr>
        <w:spacing w:after="0" w:line="121" w:lineRule="exact"/>
        <w:rPr>
          <w:rFonts w:ascii="Arial" w:cs="Arial" w:eastAsia="Arial" w:hAnsi="Arial"/>
          <w:sz w:val="14"/>
          <w:szCs w:val="14"/>
          <w:color w:val="auto"/>
        </w:rPr>
      </w:pPr>
    </w:p>
    <w:p>
      <w:pPr>
        <w:ind w:left="960" w:hanging="298"/>
        <w:spacing w:after="0"/>
        <w:tabs>
          <w:tab w:leader="none" w:pos="9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any action asserting a claim against us that is governed by the internal affairs doctrine.</w:t>
      </w:r>
    </w:p>
    <w:p>
      <w:pPr>
        <w:spacing w:after="0" w:line="106" w:lineRule="exact"/>
        <w:rPr>
          <w:sz w:val="20"/>
          <w:szCs w:val="20"/>
          <w:color w:val="auto"/>
        </w:rPr>
      </w:pPr>
    </w:p>
    <w:p>
      <w:pPr>
        <w:ind w:right="120" w:firstLine="674"/>
        <w:spacing w:after="0" w:line="287" w:lineRule="auto"/>
        <w:rPr>
          <w:sz w:val="20"/>
          <w:szCs w:val="20"/>
          <w:color w:val="auto"/>
        </w:rPr>
      </w:pPr>
      <w:r>
        <w:rPr>
          <w:rFonts w:ascii="Arial" w:cs="Arial" w:eastAsia="Arial" w:hAnsi="Arial"/>
          <w:sz w:val="16"/>
          <w:szCs w:val="16"/>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51" w:lineRule="exact"/>
        <w:rPr>
          <w:sz w:val="20"/>
          <w:szCs w:val="20"/>
          <w:color w:val="auto"/>
        </w:rPr>
      </w:pPr>
    </w:p>
    <w:p>
      <w:pPr>
        <w:jc w:val="both"/>
        <w:ind w:right="260" w:firstLine="674"/>
        <w:spacing w:after="0" w:line="271" w:lineRule="auto"/>
        <w:rPr>
          <w:sz w:val="20"/>
          <w:szCs w:val="20"/>
          <w:color w:val="auto"/>
        </w:rPr>
      </w:pPr>
      <w:r>
        <w:rPr>
          <w:rFonts w:ascii="Arial" w:cs="Arial" w:eastAsia="Arial" w:hAnsi="Arial"/>
          <w:sz w:val="16"/>
          <w:szCs w:val="16"/>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65" w:lineRule="exact"/>
        <w:rPr>
          <w:sz w:val="20"/>
          <w:szCs w:val="20"/>
          <w:color w:val="auto"/>
        </w:rPr>
      </w:pPr>
    </w:p>
    <w:p>
      <w:pPr>
        <w:ind w:firstLine="674"/>
        <w:spacing w:after="0" w:line="260"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80" w:name="page81"/>
    <w:bookmarkEnd w:id="80"/>
    <w:p>
      <w:pPr>
        <w:spacing w:after="0" w:line="287"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firstLine="674"/>
        <w:spacing w:after="0" w:line="28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will indemnify our directors and officers, in each case to the fullest extent permitted by Delaware law.</w:t>
      </w:r>
    </w:p>
    <w:p>
      <w:pPr>
        <w:spacing w:after="0" w:line="51" w:lineRule="exact"/>
        <w:rPr>
          <w:sz w:val="20"/>
          <w:szCs w:val="20"/>
          <w:color w:val="auto"/>
        </w:rPr>
      </w:pPr>
    </w:p>
    <w:p>
      <w:pPr>
        <w:ind w:right="80" w:firstLine="674"/>
        <w:spacing w:after="0" w:line="287" w:lineRule="auto"/>
        <w:rPr>
          <w:sz w:val="20"/>
          <w:szCs w:val="20"/>
          <w:color w:val="auto"/>
        </w:rPr>
      </w:pPr>
      <w:r>
        <w:rPr>
          <w:rFonts w:ascii="Arial" w:cs="Arial" w:eastAsia="Arial" w:hAnsi="Arial"/>
          <w:sz w:val="16"/>
          <w:szCs w:val="16"/>
          <w:color w:val="auto"/>
        </w:rPr>
        <w:t>In addition, as permitted by Section 145 of the DGCL, our amended and restated bylaws and our indemnification agreements that we have entered into with our directors and officers provide that:</w:t>
      </w:r>
    </w:p>
    <w:p>
      <w:pPr>
        <w:spacing w:after="0" w:line="56" w:lineRule="exact"/>
        <w:rPr>
          <w:sz w:val="20"/>
          <w:szCs w:val="20"/>
          <w:color w:val="auto"/>
        </w:rPr>
      </w:pPr>
    </w:p>
    <w:p>
      <w:pPr>
        <w:ind w:left="960" w:right="80" w:hanging="298"/>
        <w:spacing w:after="0" w:line="326" w:lineRule="auto"/>
        <w:tabs>
          <w:tab w:leader="none" w:pos="9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we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41" w:lineRule="exact"/>
        <w:rPr>
          <w:rFonts w:ascii="Arial" w:cs="Arial" w:eastAsia="Arial" w:hAnsi="Arial"/>
          <w:sz w:val="13"/>
          <w:szCs w:val="13"/>
          <w:color w:val="auto"/>
        </w:rPr>
      </w:pPr>
    </w:p>
    <w:p>
      <w:pPr>
        <w:ind w:left="960" w:hanging="298"/>
        <w:spacing w:after="0"/>
        <w:tabs>
          <w:tab w:leader="none" w:pos="9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we may, in our discretion, indemnify employees and agents in those circumstances where indemnification is permitted by applicable law;</w:t>
      </w:r>
    </w:p>
    <w:p>
      <w:pPr>
        <w:spacing w:after="0" w:line="110" w:lineRule="exact"/>
        <w:rPr>
          <w:rFonts w:ascii="Arial" w:cs="Arial" w:eastAsia="Arial" w:hAnsi="Arial"/>
          <w:sz w:val="15"/>
          <w:szCs w:val="15"/>
          <w:color w:val="auto"/>
        </w:rPr>
      </w:pPr>
    </w:p>
    <w:p>
      <w:pPr>
        <w:ind w:left="960" w:right="580" w:hanging="298"/>
        <w:spacing w:after="0" w:line="277" w:lineRule="auto"/>
        <w:tabs>
          <w:tab w:leader="none" w:pos="9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8" w:lineRule="exact"/>
        <w:rPr>
          <w:rFonts w:ascii="Arial" w:cs="Arial" w:eastAsia="Arial" w:hAnsi="Arial"/>
          <w:sz w:val="15"/>
          <w:szCs w:val="15"/>
          <w:color w:val="auto"/>
        </w:rPr>
      </w:pPr>
    </w:p>
    <w:p>
      <w:pPr>
        <w:ind w:left="960" w:right="560" w:hanging="298"/>
        <w:spacing w:after="0" w:line="313" w:lineRule="auto"/>
        <w:tabs>
          <w:tab w:leader="none" w:pos="9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46" w:lineRule="exact"/>
        <w:rPr>
          <w:rFonts w:ascii="Arial" w:cs="Arial" w:eastAsia="Arial" w:hAnsi="Arial"/>
          <w:sz w:val="14"/>
          <w:szCs w:val="14"/>
          <w:color w:val="auto"/>
        </w:rPr>
      </w:pPr>
    </w:p>
    <w:p>
      <w:pPr>
        <w:ind w:left="960" w:right="480" w:hanging="298"/>
        <w:spacing w:after="0" w:line="277" w:lineRule="auto"/>
        <w:tabs>
          <w:tab w:leader="none" w:pos="9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not retroactively amend our amended and restated bylaw provisions to reduce our indemnification obligations to directors, officers, employees and agents.</w:t>
      </w:r>
    </w:p>
    <w:p>
      <w:pPr>
        <w:spacing w:after="0" w:line="117" w:lineRule="exact"/>
        <w:rPr>
          <w:sz w:val="20"/>
          <w:szCs w:val="20"/>
          <w:color w:val="auto"/>
        </w:rPr>
      </w:pPr>
    </w:p>
    <w:p>
      <w:pPr>
        <w:ind w:right="180" w:firstLine="674"/>
        <w:spacing w:after="0" w:line="287" w:lineRule="auto"/>
        <w:rPr>
          <w:sz w:val="20"/>
          <w:szCs w:val="20"/>
          <w:color w:val="auto"/>
        </w:rPr>
      </w:pPr>
      <w:r>
        <w:rPr>
          <w:rFonts w:ascii="Arial" w:cs="Arial" w:eastAsia="Arial" w:hAnsi="Arial"/>
          <w:sz w:val="16"/>
          <w:szCs w:val="16"/>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65" w:lineRule="exact"/>
        <w:rPr>
          <w:sz w:val="20"/>
          <w:szCs w:val="20"/>
          <w:color w:val="auto"/>
        </w:rPr>
      </w:pPr>
    </w:p>
    <w:p>
      <w:pPr>
        <w:ind w:right="20" w:firstLine="674"/>
        <w:spacing w:after="0" w:line="279" w:lineRule="auto"/>
        <w:rPr>
          <w:sz w:val="20"/>
          <w:szCs w:val="20"/>
          <w:color w:val="auto"/>
        </w:rPr>
      </w:pPr>
      <w:r>
        <w:rPr>
          <w:rFonts w:ascii="Arial" w:cs="Arial" w:eastAsia="Arial" w:hAnsi="Arial"/>
          <w:sz w:val="15"/>
          <w:szCs w:val="15"/>
          <w:color w:val="auto"/>
        </w:rPr>
        <w:t>We are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62" w:lineRule="exact"/>
        <w:rPr>
          <w:sz w:val="20"/>
          <w:szCs w:val="20"/>
          <w:color w:val="auto"/>
        </w:rPr>
      </w:pPr>
    </w:p>
    <w:p>
      <w:pPr>
        <w:ind w:right="80" w:firstLine="674"/>
        <w:spacing w:after="0" w:line="281"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0"/>
          </w:cols>
          <w:pgMar w:left="320" w:top="618" w:right="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11" w:lineRule="exact"/>
        <w:rPr>
          <w:sz w:val="20"/>
          <w:szCs w:val="20"/>
          <w:color w:val="auto"/>
        </w:rPr>
      </w:pPr>
    </w:p>
    <w:p>
      <w:pPr>
        <w:ind w:right="100" w:firstLine="674"/>
        <w:spacing w:after="0" w:line="316" w:lineRule="auto"/>
        <w:rPr>
          <w:sz w:val="20"/>
          <w:szCs w:val="20"/>
          <w:color w:val="auto"/>
        </w:rPr>
      </w:pPr>
      <w:r>
        <w:rPr>
          <w:rFonts w:ascii="Arial" w:cs="Arial" w:eastAsia="Arial" w:hAnsi="Arial"/>
          <w:sz w:val="14"/>
          <w:szCs w:val="14"/>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These inherent limitations include the facts that judgments in decision-making can be faulty and that breakdowns can occur because of simple error or mistake.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Additionally, controls can be circumvented by the individual acts of some persons, by collusion of two or more people or by an unauthorized override of the controls.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Accordingly, because of the inherent limitations in our control system, misstatements due to error or fraud may occur and not be detected.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increased risk of securities class action litigation, which is expensive and could divert management attention.</w:t>
      </w:r>
    </w:p>
    <w:p>
      <w:pPr>
        <w:spacing w:after="0" w:line="111" w:lineRule="exact"/>
        <w:rPr>
          <w:sz w:val="20"/>
          <w:szCs w:val="20"/>
          <w:color w:val="auto"/>
        </w:rPr>
      </w:pPr>
    </w:p>
    <w:p>
      <w:pPr>
        <w:ind w:firstLine="674"/>
        <w:spacing w:after="0" w:line="266"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65"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80" w:firstLine="674"/>
        <w:spacing w:after="0" w:line="289" w:lineRule="auto"/>
        <w:rPr>
          <w:sz w:val="20"/>
          <w:szCs w:val="20"/>
          <w:color w:val="auto"/>
        </w:rPr>
      </w:pPr>
      <w:r>
        <w:rPr>
          <w:rFonts w:ascii="Arial" w:cs="Arial" w:eastAsia="Arial" w:hAnsi="Arial"/>
          <w:sz w:val="15"/>
          <w:szCs w:val="15"/>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54" w:lineRule="exact"/>
        <w:rPr>
          <w:sz w:val="20"/>
          <w:szCs w:val="20"/>
          <w:color w:val="auto"/>
        </w:rPr>
      </w:pPr>
    </w:p>
    <w:p>
      <w:pPr>
        <w:ind w:firstLine="674"/>
        <w:spacing w:after="0" w:line="327" w:lineRule="auto"/>
        <w:rPr>
          <w:sz w:val="20"/>
          <w:szCs w:val="20"/>
          <w:color w:val="auto"/>
        </w:rPr>
      </w:pPr>
      <w:r>
        <w:rPr>
          <w:rFonts w:ascii="Arial" w:cs="Arial" w:eastAsia="Arial" w:hAnsi="Arial"/>
          <w:sz w:val="14"/>
          <w:szCs w:val="14"/>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30" w:lineRule="exact"/>
        <w:rPr>
          <w:sz w:val="20"/>
          <w:szCs w:val="20"/>
          <w:color w:val="auto"/>
        </w:rPr>
      </w:pPr>
    </w:p>
    <w:p>
      <w:pPr>
        <w:ind w:right="360" w:firstLine="674"/>
        <w:spacing w:after="0" w:line="287" w:lineRule="auto"/>
        <w:rPr>
          <w:sz w:val="20"/>
          <w:szCs w:val="20"/>
          <w:color w:val="auto"/>
        </w:rPr>
      </w:pPr>
      <w:r>
        <w:rPr>
          <w:rFonts w:ascii="Arial" w:cs="Arial" w:eastAsia="Arial" w:hAnsi="Arial"/>
          <w:sz w:val="16"/>
          <w:szCs w:val="16"/>
          <w:color w:val="auto"/>
        </w:rPr>
        <w:t>Furthermore, our operating results may fluctuate due to a variety of other factors, many of which are outside of our control and may be difficult to predict, including the following:</w:t>
      </w:r>
    </w:p>
    <w:p>
      <w:pPr>
        <w:spacing w:after="0" w:line="56" w:lineRule="exact"/>
        <w:rPr>
          <w:sz w:val="20"/>
          <w:szCs w:val="20"/>
          <w:color w:val="auto"/>
        </w:rPr>
      </w:pPr>
    </w:p>
    <w:p>
      <w:pPr>
        <w:ind w:left="960" w:right="360" w:hanging="298"/>
        <w:spacing w:after="0" w:line="277" w:lineRule="auto"/>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our ability to enroll patients in clinical trials and the timing of enrollment;</w:t>
      </w:r>
    </w:p>
    <w:p>
      <w:pPr>
        <w:spacing w:after="0" w:line="110" w:lineRule="exact"/>
        <w:rPr>
          <w:rFonts w:ascii="Arial" w:cs="Arial" w:eastAsia="Arial" w:hAnsi="Arial"/>
          <w:sz w:val="15"/>
          <w:szCs w:val="15"/>
          <w:color w:val="auto"/>
        </w:rPr>
      </w:pPr>
    </w:p>
    <w:p>
      <w:pPr>
        <w:ind w:left="960" w:right="280" w:hanging="298"/>
        <w:spacing w:after="0" w:line="277" w:lineRule="auto"/>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expenditures that we will or may incur to acquire or develop additional product candidates and technologies or other assets;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timing and outcomes of clinical trials for our future product candidates, or competing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need to conduct unanticipated clinical trials or trials that are larger or more complex than anticipated;</w:t>
      </w:r>
    </w:p>
    <w:p>
      <w:pPr>
        <w:spacing w:after="0" w:line="110" w:lineRule="exact"/>
        <w:rPr>
          <w:rFonts w:ascii="Arial" w:cs="Arial" w:eastAsia="Arial" w:hAnsi="Arial"/>
          <w:sz w:val="15"/>
          <w:szCs w:val="15"/>
          <w:color w:val="auto"/>
        </w:rPr>
      </w:pPr>
    </w:p>
    <w:p>
      <w:pPr>
        <w:ind w:left="960" w:right="120" w:hanging="298"/>
        <w:spacing w:after="0" w:line="277" w:lineRule="auto"/>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delays in regulatory review or approval of our product candidates;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level of demand for our future product candidates, if approved, which may fluctuate significantly and be difficult to predict;</w:t>
      </w:r>
    </w:p>
    <w:p>
      <w:pPr>
        <w:spacing w:after="0" w:line="110" w:lineRule="exact"/>
        <w:rPr>
          <w:rFonts w:ascii="Arial" w:cs="Arial" w:eastAsia="Arial" w:hAnsi="Arial"/>
          <w:sz w:val="15"/>
          <w:szCs w:val="15"/>
          <w:color w:val="auto"/>
        </w:rPr>
      </w:pPr>
    </w:p>
    <w:p>
      <w:pPr>
        <w:ind w:left="960" w:hanging="298"/>
        <w:spacing w:after="0" w:line="277" w:lineRule="auto"/>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risk/benefit profile, cost and reimbursement policies with respect to our product candidates, if approved, and existing and potential future products that compete with our product candidates;</w:t>
      </w:r>
    </w:p>
    <w:p>
      <w:pPr>
        <w:spacing w:after="0" w:line="68" w:lineRule="exact"/>
        <w:rPr>
          <w:rFonts w:ascii="Arial" w:cs="Arial" w:eastAsia="Arial" w:hAnsi="Arial"/>
          <w:sz w:val="15"/>
          <w:szCs w:val="15"/>
          <w:color w:val="auto"/>
        </w:rPr>
      </w:pPr>
    </w:p>
    <w:p>
      <w:pPr>
        <w:ind w:left="960" w:hanging="298"/>
        <w:spacing w:after="0"/>
        <w:tabs>
          <w:tab w:leader="none" w:pos="9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commercialize our product candidates, if approved, inside and outside of the United States, either independently or working with third parties;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140"/>
          </w:cols>
          <w:pgMar w:left="320" w:top="618" w:right="439" w:bottom="1440" w:gutter="0" w:footer="0" w:header="0"/>
        </w:sectPr>
      </w:pPr>
    </w:p>
    <w:bookmarkStart w:id="82" w:name="page83"/>
    <w:bookmarkEnd w:id="82"/>
    <w:p>
      <w:pPr>
        <w:ind w:left="960" w:hanging="298"/>
        <w:spacing w:after="0"/>
        <w:tabs>
          <w:tab w:leader="none" w:pos="9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our ability to establish and maintain future collaborations, licensing or other arrangements;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our ability to adequately support future growth;</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potential unforeseen business disruptions that increase our costs or expenses;</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future accounting pronouncements or changes in our accounting policies; and</w:t>
      </w:r>
    </w:p>
    <w:p>
      <w:pPr>
        <w:spacing w:after="0" w:line="110" w:lineRule="exact"/>
        <w:rPr>
          <w:rFonts w:ascii="Arial" w:cs="Arial" w:eastAsia="Arial" w:hAnsi="Arial"/>
          <w:sz w:val="15"/>
          <w:szCs w:val="15"/>
          <w:color w:val="auto"/>
        </w:rPr>
      </w:pPr>
    </w:p>
    <w:p>
      <w:pPr>
        <w:ind w:left="960" w:hanging="298"/>
        <w:spacing w:after="0"/>
        <w:tabs>
          <w:tab w:leader="none" w:pos="9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changing and volatile global economic and political environment.</w:t>
      </w:r>
    </w:p>
    <w:p>
      <w:pPr>
        <w:spacing w:after="0" w:line="106" w:lineRule="exact"/>
        <w:rPr>
          <w:sz w:val="20"/>
          <w:szCs w:val="20"/>
          <w:color w:val="auto"/>
        </w:rPr>
      </w:pPr>
    </w:p>
    <w:p>
      <w:pPr>
        <w:ind w:right="80" w:firstLine="674"/>
        <w:spacing w:after="0" w:line="262"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5" w:lineRule="exact"/>
        <w:rPr>
          <w:sz w:val="20"/>
          <w:szCs w:val="20"/>
          <w:color w:val="auto"/>
        </w:rPr>
      </w:pPr>
    </w:p>
    <w:p>
      <w:pPr>
        <w:ind w:right="180" w:firstLine="539"/>
        <w:spacing w:after="0" w:line="287" w:lineRule="auto"/>
        <w:rPr>
          <w:sz w:val="20"/>
          <w:szCs w:val="20"/>
          <w:color w:val="auto"/>
        </w:rPr>
      </w:pPr>
      <w:r>
        <w:rPr>
          <w:rFonts w:ascii="Arial" w:cs="Arial" w:eastAsia="Arial" w:hAnsi="Arial"/>
          <w:sz w:val="16"/>
          <w:szCs w:val="16"/>
          <w:color w:val="auto"/>
        </w:rPr>
        <w:t>The following sets forth information regarding all unregistered securities sold from January 1, 2019 (share and per share amounts give effect to a 5.2651-for-one reverse stock split of our common stock, effected on September 18, 2020) through September 30, 2020:</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Warrant Exercise</w:t>
      </w:r>
    </w:p>
    <w:p>
      <w:pPr>
        <w:spacing w:after="0" w:line="111" w:lineRule="exact"/>
        <w:rPr>
          <w:sz w:val="20"/>
          <w:szCs w:val="20"/>
          <w:color w:val="auto"/>
        </w:rPr>
      </w:pPr>
    </w:p>
    <w:p>
      <w:pPr>
        <w:ind w:right="100" w:firstLine="693"/>
        <w:spacing w:after="0" w:line="362" w:lineRule="auto"/>
        <w:rPr>
          <w:sz w:val="20"/>
          <w:szCs w:val="20"/>
          <w:color w:val="auto"/>
        </w:rPr>
      </w:pPr>
      <w:r>
        <w:rPr>
          <w:rFonts w:ascii="Arial" w:cs="Arial" w:eastAsia="Arial" w:hAnsi="Arial"/>
          <w:sz w:val="14"/>
          <w:szCs w:val="14"/>
          <w:color w:val="auto"/>
        </w:rPr>
        <w:t>We issued and sold an aggregate of 9,688 shares of preferred stock upon the exercise of stock warrants, which were subsequently converted into common stock upon the completion of our IPO. The warrants were exercised at $1.8518 per share on September 20, 2020. As the exercise was cashless, there were no proceeds.</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Series D Preferred Stock</w:t>
      </w:r>
    </w:p>
    <w:p>
      <w:pPr>
        <w:spacing w:after="0" w:line="209" w:lineRule="exact"/>
        <w:rPr>
          <w:sz w:val="20"/>
          <w:szCs w:val="20"/>
          <w:color w:val="auto"/>
        </w:rPr>
      </w:pPr>
    </w:p>
    <w:p>
      <w:pPr>
        <w:ind w:right="80" w:firstLine="693"/>
        <w:spacing w:after="0" w:line="271" w:lineRule="auto"/>
        <w:rPr>
          <w:sz w:val="20"/>
          <w:szCs w:val="20"/>
          <w:color w:val="auto"/>
        </w:rPr>
      </w:pPr>
      <w:r>
        <w:rPr>
          <w:rFonts w:ascii="Arial" w:cs="Arial" w:eastAsia="Arial" w:hAnsi="Arial"/>
          <w:sz w:val="16"/>
          <w:szCs w:val="16"/>
          <w:color w:val="auto"/>
        </w:rPr>
        <w:t>In July 2020, we issued and sold an aggregate of 5,321,864 shares of our Series D Preferred Stock, par value $0.00001, to accredited investors at a price per share of $13.1533 for an aggregate purchase price of approximately $70.0 million. In connection with our IPO, these shares automatically converted into 5,321,864 shares of common stock.</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Series C Preferred Stock</w:t>
      </w:r>
    </w:p>
    <w:p>
      <w:pPr>
        <w:spacing w:after="0" w:line="111" w:lineRule="exact"/>
        <w:rPr>
          <w:sz w:val="20"/>
          <w:szCs w:val="20"/>
          <w:color w:val="auto"/>
        </w:rPr>
      </w:pPr>
    </w:p>
    <w:p>
      <w:pPr>
        <w:ind w:right="160" w:firstLine="698"/>
        <w:spacing w:after="0" w:line="271" w:lineRule="auto"/>
        <w:rPr>
          <w:sz w:val="20"/>
          <w:szCs w:val="20"/>
          <w:color w:val="auto"/>
        </w:rPr>
      </w:pPr>
      <w:r>
        <w:rPr>
          <w:rFonts w:ascii="Arial" w:cs="Arial" w:eastAsia="Arial" w:hAnsi="Arial"/>
          <w:sz w:val="16"/>
          <w:szCs w:val="16"/>
          <w:color w:val="auto"/>
        </w:rPr>
        <w:t>In November 2019, we issued and sold an aggregate of 5,469,606 shares of our Series C Preferred Stock, par value $0.00001, to accredited investors at a price per share of $11.3121 for an aggregate purchase price of approximately $61.9 million. In connection with our IPO, these shares automatically converted into 5,469,606 shares of common stock.</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Common Stock Option Grants</w:t>
      </w:r>
    </w:p>
    <w:p>
      <w:pPr>
        <w:spacing w:after="0" w:line="111" w:lineRule="exact"/>
        <w:rPr>
          <w:sz w:val="20"/>
          <w:szCs w:val="20"/>
          <w:color w:val="auto"/>
        </w:rPr>
      </w:pPr>
    </w:p>
    <w:p>
      <w:pPr>
        <w:ind w:right="80" w:firstLine="539"/>
        <w:spacing w:after="0" w:line="271" w:lineRule="auto"/>
        <w:rPr>
          <w:sz w:val="20"/>
          <w:szCs w:val="20"/>
          <w:color w:val="auto"/>
        </w:rPr>
      </w:pPr>
      <w:r>
        <w:rPr>
          <w:rFonts w:ascii="Arial" w:cs="Arial" w:eastAsia="Arial" w:hAnsi="Arial"/>
          <w:sz w:val="16"/>
          <w:szCs w:val="16"/>
          <w:color w:val="auto"/>
        </w:rPr>
        <w:t>During the period between July 1, 2020 and September 30, 2020, we issued to certain of our employees and advisors, options to purchase an aggregate of 116,807 and 32,668 shares, respectively, of our common stock at an exercise price of $1.62 per share. We deemed these issuances to be exempt from registration under the Securities Act either in reliance on Rule 701 of the Securities Act as sales and offers under compensatory benefit.</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111" w:lineRule="exact"/>
        <w:rPr>
          <w:sz w:val="20"/>
          <w:szCs w:val="20"/>
          <w:color w:val="auto"/>
        </w:rPr>
      </w:pPr>
    </w:p>
    <w:p>
      <w:pPr>
        <w:ind w:firstLine="539"/>
        <w:spacing w:after="0" w:line="261" w:lineRule="auto"/>
        <w:rPr>
          <w:sz w:val="20"/>
          <w:szCs w:val="20"/>
          <w:color w:val="auto"/>
        </w:rPr>
      </w:pPr>
      <w:r>
        <w:rPr>
          <w:rFonts w:ascii="Arial" w:cs="Arial" w:eastAsia="Arial" w:hAnsi="Arial"/>
          <w:sz w:val="16"/>
          <w:szCs w:val="16"/>
          <w:color w:val="auto"/>
        </w:rPr>
        <w:t>Our registration statement on Form S-1 (File No. 333-248627) relating to the initial public offering of our common stock was declared effective by the SEC on September 24, 2020. Our common stock started trading on the Nasdaq Global Select Market on September 25, 2020. In connection with our IPO, we sold an aggregate of 13,529,750 shares of common stock at a public offering price of $18.00 per share, including 1,764,750 shares sold pursuant to the underwriters’ full exercise of their option to purchase additional shares. Goldman Sachs &amp; Co. LLC, BofA Securities, Inc., Cowen and Company, LLC and Evercore Group L.L.C. acted as the joint book-running managers of the IPO. The aggregate gross proceeds received by us from the offering, excluding underwriting discounts and commissions and offering expenses, were $243.5 million. No offering expenses were paid or are payable, directly or indirectly, to our directors or officers, to persons owning 10% or more of any class of our equity securities or to any of our affiliates.</w:t>
      </w:r>
    </w:p>
    <w:p>
      <w:pPr>
        <w:spacing w:after="0" w:line="73" w:lineRule="exact"/>
        <w:rPr>
          <w:sz w:val="20"/>
          <w:szCs w:val="20"/>
          <w:color w:val="auto"/>
        </w:rPr>
      </w:pPr>
    </w:p>
    <w:p>
      <w:pPr>
        <w:ind w:right="180" w:firstLine="674"/>
        <w:spacing w:after="0" w:line="287" w:lineRule="auto"/>
        <w:rPr>
          <w:sz w:val="20"/>
          <w:szCs w:val="20"/>
          <w:color w:val="auto"/>
        </w:rPr>
      </w:pPr>
      <w:r>
        <w:rPr>
          <w:rFonts w:ascii="Arial" w:cs="Arial" w:eastAsia="Arial" w:hAnsi="Arial"/>
          <w:sz w:val="16"/>
          <w:szCs w:val="16"/>
          <w:color w:val="auto"/>
        </w:rPr>
        <w:t>There has been no material change in the planned use of proceeds from our IPO as described in the final prospectus relating to that offering filed with the SEC pursuant to Rule 424(b)(4) on September 25,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None.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 applicable.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 applicable.</w:t>
      </w:r>
    </w:p>
    <w:p>
      <w:pPr>
        <w:spacing w:after="0" w:line="209"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0139"/>
          </w:cols>
          <w:pgMar w:left="320" w:top="614" w:right="1440"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Item 6. Exhibits.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Furnish the exhibits required by Item 601 of Regulation S-K (§ 229.601 of this chapter).</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Exhibit</w:t>
      </w:r>
    </w:p>
    <w:p>
      <w:pPr>
        <w:spacing w:after="0" w:line="28" w:lineRule="exact"/>
        <w:rPr>
          <w:sz w:val="20"/>
          <w:szCs w:val="20"/>
          <w:color w:val="auto"/>
        </w:rPr>
      </w:pPr>
    </w:p>
    <w:p>
      <w:pPr>
        <w:ind w:left="140"/>
        <w:spacing w:after="0"/>
        <w:tabs>
          <w:tab w:leader="none" w:pos="37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13" w:lineRule="exact"/>
        <w:rPr>
          <w:sz w:val="20"/>
          <w:szCs w:val="20"/>
          <w:color w:val="auto"/>
        </w:rPr>
      </w:pPr>
    </w:p>
    <w:p>
      <w:pPr>
        <w:ind w:left="34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3.1</w:t>
      </w:r>
      <w:r>
        <w:rPr>
          <w:sz w:val="20"/>
          <w:szCs w:val="20"/>
          <w:color w:val="auto"/>
        </w:rPr>
        <w:tab/>
      </w:r>
      <w:hyperlink r:id="rId112">
        <w:r>
          <w:rPr>
            <w:rFonts w:ascii="Arial" w:cs="Arial" w:eastAsia="Arial" w:hAnsi="Arial"/>
            <w:sz w:val="14"/>
            <w:szCs w:val="14"/>
            <w:u w:val="single" w:color="auto"/>
            <w:color w:val="0000EE"/>
          </w:rPr>
          <w:t>Amended and Restated Certificate of Incorporation of the Registrant</w:t>
        </w:r>
      </w:hyperlink>
    </w:p>
    <w:p>
      <w:pPr>
        <w:spacing w:after="0" w:line="148" w:lineRule="exact"/>
        <w:rPr>
          <w:sz w:val="20"/>
          <w:szCs w:val="20"/>
          <w:color w:val="auto"/>
        </w:rPr>
      </w:pPr>
    </w:p>
    <w:p>
      <w:pPr>
        <w:ind w:left="34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3.2</w:t>
      </w:r>
      <w:r>
        <w:rPr>
          <w:sz w:val="20"/>
          <w:szCs w:val="20"/>
          <w:color w:val="auto"/>
        </w:rPr>
        <w:tab/>
      </w:r>
      <w:hyperlink r:id="rId113">
        <w:r>
          <w:rPr>
            <w:rFonts w:ascii="Arial" w:cs="Arial" w:eastAsia="Arial" w:hAnsi="Arial"/>
            <w:sz w:val="14"/>
            <w:szCs w:val="14"/>
            <w:u w:val="single" w:color="auto"/>
            <w:color w:val="0000EE"/>
          </w:rPr>
          <w:t>Amended and Restated Bylaws of the Registration</w:t>
        </w:r>
      </w:hyperlink>
    </w:p>
    <w:p>
      <w:pPr>
        <w:spacing w:after="0" w:line="25" w:lineRule="exact"/>
        <w:rPr>
          <w:sz w:val="20"/>
          <w:szCs w:val="20"/>
          <w:color w:val="auto"/>
        </w:rPr>
      </w:pPr>
    </w:p>
    <w:p>
      <w:pPr>
        <w:ind w:left="940" w:right="280" w:hanging="611"/>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4.1</w:t>
      </w:r>
      <w:r>
        <w:rPr>
          <w:sz w:val="20"/>
          <w:szCs w:val="20"/>
          <w:color w:val="auto"/>
        </w:rPr>
        <w:tab/>
      </w:r>
      <w:hyperlink r:id="rId114">
        <w:r>
          <w:rPr>
            <w:rFonts w:ascii="Arial" w:cs="Arial" w:eastAsia="Arial" w:hAnsi="Arial"/>
            <w:sz w:val="16"/>
            <w:szCs w:val="16"/>
            <w:u w:val="single" w:color="auto"/>
            <w:color w:val="0000EE"/>
          </w:rPr>
          <w:t>Amended and Restated Investors’ Rights Agreement, dated July 17, 2020, by and among the</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Registrant and certain of its stockholders.</w:t>
        </w:r>
      </w:hyperlink>
    </w:p>
    <w:p>
      <w:pPr>
        <w:spacing w:after="0" w:line="1" w:lineRule="exact"/>
        <w:rPr>
          <w:sz w:val="20"/>
          <w:szCs w:val="20"/>
          <w:color w:val="auto"/>
        </w:rPr>
      </w:pPr>
    </w:p>
    <w:p>
      <w:pPr>
        <w:ind w:left="34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4.2</w:t>
      </w:r>
      <w:r>
        <w:rPr>
          <w:sz w:val="20"/>
          <w:szCs w:val="20"/>
          <w:color w:val="auto"/>
        </w:rPr>
        <w:tab/>
      </w:r>
      <w:hyperlink r:id="rId115">
        <w:r>
          <w:rPr>
            <w:rFonts w:ascii="Arial" w:cs="Arial" w:eastAsia="Arial" w:hAnsi="Arial"/>
            <w:sz w:val="14"/>
            <w:szCs w:val="14"/>
            <w:u w:val="single" w:color="auto"/>
            <w:color w:val="0000EE"/>
          </w:rPr>
          <w:t>Specimen common stock certificate</w:t>
        </w:r>
      </w:hyperlink>
    </w:p>
    <w:p>
      <w:pPr>
        <w:spacing w:after="0" w:line="25" w:lineRule="exact"/>
        <w:rPr>
          <w:sz w:val="20"/>
          <w:szCs w:val="20"/>
          <w:color w:val="auto"/>
        </w:rPr>
      </w:pPr>
    </w:p>
    <w:p>
      <w:pPr>
        <w:ind w:left="940" w:right="520" w:hanging="693"/>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w:t>
      </w:r>
      <w:r>
        <w:rPr>
          <w:sz w:val="20"/>
          <w:szCs w:val="20"/>
          <w:color w:val="auto"/>
        </w:rPr>
        <w:tab/>
      </w:r>
      <w:hyperlink r:id="rId116">
        <w:r>
          <w:rPr>
            <w:rFonts w:ascii="Arial" w:cs="Arial" w:eastAsia="Arial" w:hAnsi="Arial"/>
            <w:sz w:val="16"/>
            <w:szCs w:val="16"/>
            <w:u w:val="single" w:color="auto"/>
            <w:color w:val="0000EE"/>
          </w:rPr>
          <w:t>Form of Indemnification Agreement between the Registrant and each of its directors and</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executive officers.</w:t>
        </w:r>
      </w:hyperlink>
    </w:p>
    <w:p>
      <w:pPr>
        <w:spacing w:after="0" w:line="1" w:lineRule="exact"/>
        <w:rPr>
          <w:sz w:val="20"/>
          <w:szCs w:val="20"/>
          <w:color w:val="auto"/>
        </w:rPr>
      </w:pPr>
    </w:p>
    <w:p>
      <w:pPr>
        <w:ind w:left="26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10.2*</w:t>
      </w:r>
      <w:r>
        <w:rPr>
          <w:sz w:val="20"/>
          <w:szCs w:val="20"/>
          <w:color w:val="auto"/>
        </w:rPr>
        <w:tab/>
      </w:r>
      <w:hyperlink r:id="rId117">
        <w:r>
          <w:rPr>
            <w:rFonts w:ascii="Arial" w:cs="Arial" w:eastAsia="Arial" w:hAnsi="Arial"/>
            <w:sz w:val="14"/>
            <w:szCs w:val="14"/>
            <w:u w:val="single" w:color="auto"/>
            <w:color w:val="0000EE"/>
          </w:rPr>
          <w:t>2013 Equity Incentive Plan, as amended, and forms of agreement thereunder.</w:t>
        </w:r>
      </w:hyperlink>
    </w:p>
    <w:p>
      <w:pPr>
        <w:spacing w:after="0" w:line="25" w:lineRule="exact"/>
        <w:rPr>
          <w:sz w:val="20"/>
          <w:szCs w:val="20"/>
          <w:color w:val="auto"/>
        </w:rPr>
      </w:pPr>
    </w:p>
    <w:p>
      <w:pPr>
        <w:ind w:left="940" w:right="400" w:hanging="693"/>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10.3*</w:t>
      </w:r>
      <w:r>
        <w:rPr>
          <w:sz w:val="20"/>
          <w:szCs w:val="20"/>
          <w:color w:val="auto"/>
        </w:rPr>
        <w:tab/>
      </w:r>
      <w:hyperlink r:id="rId118">
        <w:r>
          <w:rPr>
            <w:rFonts w:ascii="Arial" w:cs="Arial" w:eastAsia="Arial" w:hAnsi="Arial"/>
            <w:sz w:val="16"/>
            <w:szCs w:val="16"/>
            <w:u w:val="single" w:color="auto"/>
            <w:color w:val="0000EE"/>
          </w:rPr>
          <w:t>2020 Equity Incentive Plan and forms of agreements thereunder, to be in effect prior to the</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completion of this offering.</w:t>
        </w:r>
      </w:hyperlink>
    </w:p>
    <w:p>
      <w:pPr>
        <w:spacing w:after="0" w:line="1" w:lineRule="exact"/>
        <w:rPr>
          <w:sz w:val="20"/>
          <w:szCs w:val="20"/>
          <w:color w:val="auto"/>
        </w:rPr>
      </w:pPr>
    </w:p>
    <w:p>
      <w:pPr>
        <w:ind w:left="940" w:right="180" w:hanging="693"/>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10.4*</w:t>
      </w:r>
      <w:r>
        <w:rPr>
          <w:sz w:val="20"/>
          <w:szCs w:val="20"/>
          <w:color w:val="auto"/>
        </w:rPr>
        <w:tab/>
      </w:r>
      <w:hyperlink r:id="rId119">
        <w:r>
          <w:rPr>
            <w:rFonts w:ascii="Arial" w:cs="Arial" w:eastAsia="Arial" w:hAnsi="Arial"/>
            <w:sz w:val="16"/>
            <w:szCs w:val="16"/>
            <w:u w:val="single" w:color="auto"/>
            <w:color w:val="0000EE"/>
          </w:rPr>
          <w:t>2020 Employee Stock Purchase Plan and forms of agreements thereunder, to be in effect upon</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the completion of this offering.</w:t>
        </w:r>
      </w:hyperlink>
    </w:p>
    <w:p>
      <w:pPr>
        <w:spacing w:after="0" w:line="1" w:lineRule="exact"/>
        <w:rPr>
          <w:sz w:val="20"/>
          <w:szCs w:val="20"/>
          <w:color w:val="auto"/>
        </w:rPr>
      </w:pPr>
    </w:p>
    <w:p>
      <w:pPr>
        <w:ind w:left="26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10.5*</w:t>
      </w:r>
      <w:r>
        <w:rPr>
          <w:sz w:val="20"/>
          <w:szCs w:val="20"/>
          <w:color w:val="auto"/>
        </w:rPr>
        <w:tab/>
      </w:r>
      <w:hyperlink r:id="rId120">
        <w:r>
          <w:rPr>
            <w:rFonts w:ascii="Arial" w:cs="Arial" w:eastAsia="Arial" w:hAnsi="Arial"/>
            <w:sz w:val="14"/>
            <w:szCs w:val="14"/>
            <w:u w:val="single" w:color="auto"/>
            <w:color w:val="0000EE"/>
          </w:rPr>
          <w:t>Employment Offer Letter, dated August 17, 2020, by and between the Registrant and David H.</w:t>
        </w:r>
      </w:hyperlink>
    </w:p>
    <w:p>
      <w:pPr>
        <w:spacing w:after="0" w:line="24" w:lineRule="exact"/>
        <w:rPr>
          <w:sz w:val="20"/>
          <w:szCs w:val="20"/>
          <w:color w:val="auto"/>
        </w:rPr>
      </w:pPr>
    </w:p>
    <w:p>
      <w:pPr>
        <w:ind w:left="940"/>
        <w:spacing w:after="0"/>
        <w:rPr>
          <w:rFonts w:ascii="Arial" w:cs="Arial" w:eastAsia="Arial" w:hAnsi="Arial"/>
          <w:sz w:val="16"/>
          <w:szCs w:val="16"/>
          <w:u w:val="single" w:color="auto"/>
          <w:color w:val="0000EE"/>
        </w:rPr>
      </w:pPr>
      <w:hyperlink r:id="rId120">
        <w:r>
          <w:rPr>
            <w:rFonts w:ascii="Arial" w:cs="Arial" w:eastAsia="Arial" w:hAnsi="Arial"/>
            <w:sz w:val="16"/>
            <w:szCs w:val="16"/>
            <w:u w:val="single" w:color="auto"/>
            <w:color w:val="0000EE"/>
          </w:rPr>
          <w:t>Mack, Ph.D.</w:t>
        </w:r>
      </w:hyperlink>
    </w:p>
    <w:p>
      <w:pPr>
        <w:spacing w:after="0" w:line="13" w:lineRule="exact"/>
        <w:rPr>
          <w:sz w:val="20"/>
          <w:szCs w:val="20"/>
          <w:color w:val="auto"/>
        </w:rPr>
      </w:pPr>
    </w:p>
    <w:p>
      <w:pPr>
        <w:ind w:left="940" w:right="180" w:hanging="693"/>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121">
        <w:r>
          <w:rPr>
            <w:rFonts w:ascii="Arial" w:cs="Arial" w:eastAsia="Arial" w:hAnsi="Arial"/>
            <w:sz w:val="16"/>
            <w:szCs w:val="16"/>
            <w:u w:val="single" w:color="auto"/>
            <w:color w:val="0000EE"/>
          </w:rPr>
          <w:t>Employment Offer Letter, dated August 17, 2020, by and between the Registrant and Winston</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Kung.</w:t>
        </w:r>
      </w:hyperlink>
    </w:p>
    <w:p>
      <w:pPr>
        <w:spacing w:after="0" w:line="1" w:lineRule="exact"/>
        <w:rPr>
          <w:sz w:val="20"/>
          <w:szCs w:val="20"/>
          <w:color w:val="auto"/>
        </w:rPr>
      </w:pPr>
    </w:p>
    <w:p>
      <w:pPr>
        <w:ind w:left="940" w:right="380" w:hanging="693"/>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10.7*</w:t>
      </w:r>
      <w:r>
        <w:rPr>
          <w:sz w:val="20"/>
          <w:szCs w:val="20"/>
          <w:color w:val="auto"/>
        </w:rPr>
        <w:tab/>
      </w:r>
      <w:hyperlink r:id="rId122">
        <w:r>
          <w:rPr>
            <w:rFonts w:ascii="Arial" w:cs="Arial" w:eastAsia="Arial" w:hAnsi="Arial"/>
            <w:sz w:val="16"/>
            <w:szCs w:val="16"/>
            <w:u w:val="single" w:color="auto"/>
            <w:color w:val="0000EE"/>
          </w:rPr>
          <w:t>Employment Offer Letter, dated August 18, 2020, by and between the Registrant and Leila</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Alland, M.D.</w:t>
        </w:r>
      </w:hyperlink>
    </w:p>
    <w:p>
      <w:pPr>
        <w:spacing w:after="0" w:line="1" w:lineRule="exact"/>
        <w:rPr>
          <w:sz w:val="20"/>
          <w:szCs w:val="20"/>
          <w:color w:val="auto"/>
        </w:rPr>
      </w:pPr>
    </w:p>
    <w:p>
      <w:pPr>
        <w:ind w:left="940" w:right="180" w:hanging="693"/>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10.8*</w:t>
      </w:r>
      <w:r>
        <w:rPr>
          <w:sz w:val="20"/>
          <w:szCs w:val="20"/>
          <w:color w:val="auto"/>
        </w:rPr>
        <w:tab/>
      </w:r>
      <w:hyperlink r:id="rId123">
        <w:r>
          <w:rPr>
            <w:rFonts w:ascii="Arial" w:cs="Arial" w:eastAsia="Arial" w:hAnsi="Arial"/>
            <w:sz w:val="16"/>
            <w:szCs w:val="16"/>
            <w:u w:val="single" w:color="auto"/>
            <w:color w:val="0000EE"/>
          </w:rPr>
          <w:t>Employment Offer Letter, dated August 18, 2020, by and between the Registrant and Deepika</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Jalota, Pharm.D.</w:t>
        </w:r>
      </w:hyperlink>
    </w:p>
    <w:p>
      <w:pPr>
        <w:spacing w:after="0" w:line="1" w:lineRule="exact"/>
        <w:rPr>
          <w:sz w:val="20"/>
          <w:szCs w:val="20"/>
          <w:color w:val="auto"/>
        </w:rPr>
      </w:pPr>
    </w:p>
    <w:p>
      <w:pPr>
        <w:ind w:left="26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10.9*</w:t>
      </w:r>
      <w:r>
        <w:rPr>
          <w:sz w:val="20"/>
          <w:szCs w:val="20"/>
          <w:color w:val="auto"/>
        </w:rPr>
        <w:tab/>
      </w:r>
      <w:hyperlink r:id="rId124">
        <w:r>
          <w:rPr>
            <w:rFonts w:ascii="Arial" w:cs="Arial" w:eastAsia="Arial" w:hAnsi="Arial"/>
            <w:sz w:val="14"/>
            <w:szCs w:val="14"/>
            <w:u w:val="single" w:color="auto"/>
            <w:color w:val="0000EE"/>
          </w:rPr>
          <w:t>Employee Incentive Compensation Plan.</w:t>
        </w:r>
      </w:hyperlink>
    </w:p>
    <w:p>
      <w:pPr>
        <w:spacing w:after="0" w:line="25" w:lineRule="exact"/>
        <w:rPr>
          <w:sz w:val="20"/>
          <w:szCs w:val="20"/>
          <w:color w:val="auto"/>
        </w:rPr>
      </w:pPr>
    </w:p>
    <w:p>
      <w:pPr>
        <w:ind w:left="200"/>
        <w:spacing w:after="0"/>
        <w:tabs>
          <w:tab w:leader="none" w:pos="920" w:val="left"/>
        </w:tabs>
        <w:rPr>
          <w:rFonts w:ascii="Arial" w:cs="Arial" w:eastAsia="Arial" w:hAnsi="Arial"/>
          <w:sz w:val="14"/>
          <w:szCs w:val="14"/>
          <w:u w:val="single" w:color="auto"/>
          <w:color w:val="0000EE"/>
        </w:rPr>
      </w:pPr>
      <w:r>
        <w:rPr>
          <w:rFonts w:ascii="Arial" w:cs="Arial" w:eastAsia="Arial" w:hAnsi="Arial"/>
          <w:sz w:val="16"/>
          <w:szCs w:val="16"/>
          <w:color w:val="auto"/>
        </w:rPr>
        <w:t>10.10*</w:t>
      </w:r>
      <w:r>
        <w:rPr>
          <w:sz w:val="20"/>
          <w:szCs w:val="20"/>
          <w:color w:val="auto"/>
        </w:rPr>
        <w:tab/>
      </w:r>
      <w:hyperlink r:id="rId125">
        <w:r>
          <w:rPr>
            <w:rFonts w:ascii="Arial" w:cs="Arial" w:eastAsia="Arial" w:hAnsi="Arial"/>
            <w:sz w:val="14"/>
            <w:szCs w:val="14"/>
            <w:u w:val="single" w:color="auto"/>
            <w:color w:val="0000EE"/>
          </w:rPr>
          <w:t>Change in Control and Severance Policy.</w:t>
        </w:r>
      </w:hyperlink>
    </w:p>
    <w:p>
      <w:pPr>
        <w:spacing w:after="0" w:line="25" w:lineRule="exact"/>
        <w:rPr>
          <w:sz w:val="20"/>
          <w:szCs w:val="20"/>
          <w:color w:val="auto"/>
        </w:rPr>
      </w:pPr>
    </w:p>
    <w:p>
      <w:pPr>
        <w:ind w:left="940" w:right="40" w:hanging="731"/>
        <w:spacing w:after="0" w:line="282" w:lineRule="auto"/>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10.11*</w:t>
      </w:r>
      <w:r>
        <w:rPr>
          <w:sz w:val="20"/>
          <w:szCs w:val="20"/>
          <w:color w:val="auto"/>
        </w:rPr>
        <w:tab/>
      </w:r>
      <w:hyperlink r:id="rId126">
        <w:r>
          <w:rPr>
            <w:rFonts w:ascii="Arial" w:cs="Arial" w:eastAsia="Arial" w:hAnsi="Arial"/>
            <w:sz w:val="15"/>
            <w:szCs w:val="15"/>
            <w:u w:val="single" w:color="auto"/>
            <w:color w:val="0000EE"/>
          </w:rPr>
          <w:t>Amended and Restated Change in Control and Severance Policy Participation Agreement, dated</w:t>
        </w:r>
      </w:hyperlink>
      <w:r>
        <w:rPr>
          <w:rFonts w:ascii="Arial" w:cs="Arial" w:eastAsia="Arial" w:hAnsi="Arial"/>
          <w:sz w:val="15"/>
          <w:szCs w:val="15"/>
          <w:u w:val="single" w:color="auto"/>
          <w:color w:val="0000EE"/>
        </w:rPr>
        <w:t xml:space="preserve"> </w:t>
      </w:r>
      <w:hyperlink r:id="rId126">
        <w:r>
          <w:rPr>
            <w:rFonts w:ascii="Arial" w:cs="Arial" w:eastAsia="Arial" w:hAnsi="Arial"/>
            <w:sz w:val="15"/>
            <w:szCs w:val="15"/>
            <w:u w:val="single" w:color="auto"/>
            <w:color w:val="0000EE"/>
          </w:rPr>
          <w:t>August 17, 2020, by and between the Registrant and David H. Mack, Ph.D.</w:t>
        </w:r>
      </w:hyperlink>
    </w:p>
    <w:p>
      <w:pPr>
        <w:ind w:left="940" w:right="40" w:hanging="734"/>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10.12*</w:t>
      </w:r>
      <w:r>
        <w:rPr>
          <w:sz w:val="20"/>
          <w:szCs w:val="20"/>
          <w:color w:val="auto"/>
        </w:rPr>
        <w:tab/>
      </w:r>
      <w:hyperlink r:id="rId127">
        <w:r>
          <w:rPr>
            <w:rFonts w:ascii="Arial" w:cs="Arial" w:eastAsia="Arial" w:hAnsi="Arial"/>
            <w:sz w:val="16"/>
            <w:szCs w:val="16"/>
            <w:u w:val="single" w:color="auto"/>
            <w:color w:val="0000EE"/>
          </w:rPr>
          <w:t>Amended and Restated Change in Control and Severance Policy Participation Agreement, dated</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August 17, 2020, by and between the Registrant and Winston Kung.</w:t>
        </w:r>
      </w:hyperlink>
    </w:p>
    <w:p>
      <w:pPr>
        <w:spacing w:after="0" w:line="1" w:lineRule="exact"/>
        <w:rPr>
          <w:sz w:val="20"/>
          <w:szCs w:val="20"/>
          <w:color w:val="auto"/>
        </w:rPr>
      </w:pPr>
    </w:p>
    <w:p>
      <w:pPr>
        <w:ind w:left="940" w:right="40" w:hanging="734"/>
        <w:spacing w:after="0" w:line="282" w:lineRule="auto"/>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10.13*</w:t>
      </w:r>
      <w:r>
        <w:rPr>
          <w:sz w:val="20"/>
          <w:szCs w:val="20"/>
          <w:color w:val="auto"/>
        </w:rPr>
        <w:tab/>
      </w:r>
      <w:hyperlink r:id="rId128">
        <w:r>
          <w:rPr>
            <w:rFonts w:ascii="Arial" w:cs="Arial" w:eastAsia="Arial" w:hAnsi="Arial"/>
            <w:sz w:val="15"/>
            <w:szCs w:val="15"/>
            <w:u w:val="single" w:color="auto"/>
            <w:color w:val="0000EE"/>
          </w:rPr>
          <w:t>Amended and Restated Change in Control and Severance Policy Participation Agreement, dated</w:t>
        </w:r>
      </w:hyperlink>
      <w:r>
        <w:rPr>
          <w:rFonts w:ascii="Arial" w:cs="Arial" w:eastAsia="Arial" w:hAnsi="Arial"/>
          <w:sz w:val="15"/>
          <w:szCs w:val="15"/>
          <w:u w:val="single" w:color="auto"/>
          <w:color w:val="0000EE"/>
        </w:rPr>
        <w:t xml:space="preserve"> </w:t>
      </w:r>
      <w:hyperlink r:id="rId128">
        <w:r>
          <w:rPr>
            <w:rFonts w:ascii="Arial" w:cs="Arial" w:eastAsia="Arial" w:hAnsi="Arial"/>
            <w:sz w:val="15"/>
            <w:szCs w:val="15"/>
            <w:u w:val="single" w:color="auto"/>
            <w:color w:val="0000EE"/>
          </w:rPr>
          <w:t>August 18, 2020, by and between the Registrant and Leila Alland, M.D.</w:t>
        </w:r>
      </w:hyperlink>
    </w:p>
    <w:p>
      <w:pPr>
        <w:ind w:left="940" w:right="40" w:hanging="734"/>
        <w:spacing w:after="0" w:line="282" w:lineRule="auto"/>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10.14*</w:t>
      </w:r>
      <w:r>
        <w:rPr>
          <w:sz w:val="20"/>
          <w:szCs w:val="20"/>
          <w:color w:val="auto"/>
        </w:rPr>
        <w:tab/>
      </w:r>
      <w:hyperlink r:id="rId129">
        <w:r>
          <w:rPr>
            <w:rFonts w:ascii="Arial" w:cs="Arial" w:eastAsia="Arial" w:hAnsi="Arial"/>
            <w:sz w:val="15"/>
            <w:szCs w:val="15"/>
            <w:u w:val="single" w:color="auto"/>
            <w:color w:val="0000EE"/>
          </w:rPr>
          <w:t>Amended and Restated Change in Control and Severance Policy Participation Agreement, dated</w:t>
        </w:r>
      </w:hyperlink>
      <w:r>
        <w:rPr>
          <w:rFonts w:ascii="Arial" w:cs="Arial" w:eastAsia="Arial" w:hAnsi="Arial"/>
          <w:sz w:val="15"/>
          <w:szCs w:val="15"/>
          <w:u w:val="single" w:color="auto"/>
          <w:color w:val="0000EE"/>
        </w:rPr>
        <w:t xml:space="preserve"> </w:t>
      </w:r>
      <w:hyperlink r:id="rId129">
        <w:r>
          <w:rPr>
            <w:rFonts w:ascii="Arial" w:cs="Arial" w:eastAsia="Arial" w:hAnsi="Arial"/>
            <w:sz w:val="15"/>
            <w:szCs w:val="15"/>
            <w:u w:val="single" w:color="auto"/>
            <w:color w:val="0000EE"/>
          </w:rPr>
          <w:t>August 18, 2020, by and between the Registrant and Deepika Jalota, Pharm.D.</w:t>
        </w:r>
      </w:hyperlink>
    </w:p>
    <w:p>
      <w:pPr>
        <w:ind w:left="200"/>
        <w:spacing w:after="0"/>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10.15*</w:t>
      </w:r>
      <w:r>
        <w:rPr>
          <w:sz w:val="20"/>
          <w:szCs w:val="20"/>
          <w:color w:val="auto"/>
        </w:rPr>
        <w:tab/>
      </w:r>
      <w:hyperlink r:id="rId130">
        <w:r>
          <w:rPr>
            <w:rFonts w:ascii="Arial" w:cs="Arial" w:eastAsia="Arial" w:hAnsi="Arial"/>
            <w:sz w:val="15"/>
            <w:szCs w:val="15"/>
            <w:u w:val="single" w:color="auto"/>
            <w:color w:val="0000EE"/>
          </w:rPr>
          <w:t>Outside Director Compensation Policy</w:t>
        </w:r>
        <w:r>
          <w:rPr>
            <w:rFonts w:ascii="Arial" w:cs="Arial" w:eastAsia="Arial" w:hAnsi="Arial"/>
            <w:sz w:val="15"/>
            <w:szCs w:val="15"/>
            <w:color w:val="0000EE"/>
          </w:rPr>
          <w:t>.</w:t>
        </w:r>
      </w:hyperlink>
    </w:p>
    <w:p>
      <w:pPr>
        <w:spacing w:after="0" w:line="25" w:lineRule="exact"/>
        <w:rPr>
          <w:sz w:val="20"/>
          <w:szCs w:val="20"/>
          <w:color w:val="auto"/>
        </w:rPr>
      </w:pPr>
    </w:p>
    <w:p>
      <w:pPr>
        <w:ind w:left="940" w:right="480" w:hanging="734"/>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131">
        <w:r>
          <w:rPr>
            <w:rFonts w:ascii="Arial" w:cs="Arial" w:eastAsia="Arial" w:hAnsi="Arial"/>
            <w:sz w:val="16"/>
            <w:szCs w:val="16"/>
            <w:u w:val="single" w:color="auto"/>
            <w:color w:val="0000EE"/>
          </w:rPr>
          <w:t>Consulting Agreement, dated January 1, 2016, by and between the Registrant and Arnold</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Levine, Ph.D.</w:t>
        </w:r>
      </w:hyperlink>
    </w:p>
    <w:p>
      <w:pPr>
        <w:spacing w:after="0" w:line="1" w:lineRule="exact"/>
        <w:rPr>
          <w:sz w:val="20"/>
          <w:szCs w:val="20"/>
          <w:color w:val="auto"/>
        </w:rPr>
      </w:pPr>
    </w:p>
    <w:p>
      <w:pPr>
        <w:ind w:left="940" w:right="580" w:hanging="734"/>
        <w:spacing w:after="0" w:line="26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132">
        <w:r>
          <w:rPr>
            <w:rFonts w:ascii="Arial" w:cs="Arial" w:eastAsia="Arial" w:hAnsi="Arial"/>
            <w:sz w:val="16"/>
            <w:szCs w:val="16"/>
            <w:u w:val="single" w:color="auto"/>
            <w:color w:val="0000EE"/>
          </w:rPr>
          <w:t>Consulting Agreement, dated July 14, 2017, by and between the Registrant and Richard</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Heyman, Ph.D.</w:t>
        </w:r>
      </w:hyperlink>
    </w:p>
    <w:p>
      <w:pPr>
        <w:spacing w:after="0" w:line="1" w:lineRule="exact"/>
        <w:rPr>
          <w:sz w:val="20"/>
          <w:szCs w:val="20"/>
          <w:color w:val="auto"/>
        </w:rPr>
      </w:pPr>
    </w:p>
    <w:p>
      <w:pPr>
        <w:ind w:left="940" w:right="120" w:hanging="693"/>
        <w:spacing w:after="0" w:line="28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10.18</w:t>
      </w:r>
      <w:r>
        <w:rPr>
          <w:sz w:val="20"/>
          <w:szCs w:val="20"/>
          <w:color w:val="auto"/>
        </w:rPr>
        <w:tab/>
      </w:r>
      <w:hyperlink r:id="rId133">
        <w:r>
          <w:rPr>
            <w:rFonts w:ascii="Arial" w:cs="Arial" w:eastAsia="Arial" w:hAnsi="Arial"/>
            <w:sz w:val="16"/>
            <w:szCs w:val="16"/>
            <w:u w:val="single" w:color="auto"/>
            <w:color w:val="0000EE"/>
          </w:rPr>
          <w:t>Lease Agreement, dated March 3, 2015, by and between the Registrant and Cedar Brook 2005,</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LP, as amended by the First Amendment to Lease dated April 24, 2017.</w:t>
        </w:r>
      </w:hyperlink>
    </w:p>
    <w:p>
      <w:pPr>
        <w:spacing w:after="0" w:line="88" w:lineRule="exact"/>
        <w:rPr>
          <w:sz w:val="20"/>
          <w:szCs w:val="20"/>
          <w:color w:val="auto"/>
        </w:rPr>
      </w:pPr>
    </w:p>
    <w:p>
      <w:pPr>
        <w:ind w:left="940" w:hanging="693"/>
        <w:spacing w:after="0" w:line="271"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31.1†</w:t>
      </w:r>
      <w:r>
        <w:rPr>
          <w:sz w:val="20"/>
          <w:szCs w:val="20"/>
          <w:color w:val="auto"/>
        </w:rPr>
        <w:tab/>
      </w:r>
      <w:hyperlink w:anchor="page88">
        <w:r>
          <w:rPr>
            <w:rFonts w:ascii="Arial" w:cs="Arial" w:eastAsia="Arial" w:hAnsi="Arial"/>
            <w:sz w:val="16"/>
            <w:szCs w:val="16"/>
            <w:u w:val="single" w:color="auto"/>
            <w:color w:val="0000EE"/>
          </w:rPr>
          <w:t>Certification of Principal Executive Officer Pursuant to Rules 13a-14(a) and 15d-14(a) under the</w:t>
        </w:r>
      </w:hyperlink>
      <w:r>
        <w:rPr>
          <w:rFonts w:ascii="Arial" w:cs="Arial" w:eastAsia="Arial" w:hAnsi="Arial"/>
          <w:sz w:val="16"/>
          <w:szCs w:val="16"/>
          <w:u w:val="single" w:color="auto"/>
          <w:color w:val="0000EE"/>
        </w:rPr>
        <w:t xml:space="preserve"> </w:t>
      </w:r>
      <w:hyperlink w:anchor="page88">
        <w:r>
          <w:rPr>
            <w:rFonts w:ascii="Arial" w:cs="Arial" w:eastAsia="Arial" w:hAnsi="Arial"/>
            <w:sz w:val="16"/>
            <w:szCs w:val="16"/>
            <w:u w:val="single" w:color="auto"/>
            <w:color w:val="0000EE"/>
          </w:rPr>
          <w:t>Securities Exchange Act of 1934, as Adopted Pursuant to Section 302 of the Sarbanes-Oxley</w:t>
        </w:r>
      </w:hyperlink>
      <w:r>
        <w:rPr>
          <w:rFonts w:ascii="Arial" w:cs="Arial" w:eastAsia="Arial" w:hAnsi="Arial"/>
          <w:sz w:val="16"/>
          <w:szCs w:val="16"/>
          <w:u w:val="single" w:color="auto"/>
          <w:color w:val="0000EE"/>
        </w:rPr>
        <w:t xml:space="preserve"> </w:t>
      </w:r>
      <w:hyperlink w:anchor="page88">
        <w:r>
          <w:rPr>
            <w:rFonts w:ascii="Arial" w:cs="Arial" w:eastAsia="Arial" w:hAnsi="Arial"/>
            <w:sz w:val="16"/>
            <w:szCs w:val="16"/>
            <w:u w:val="single" w:color="auto"/>
            <w:color w:val="0000EE"/>
          </w:rPr>
          <w:t>Act of 2002.</w:t>
        </w:r>
      </w:hyperlink>
    </w:p>
    <w:p>
      <w:pPr>
        <w:spacing w:after="0" w:line="101" w:lineRule="exact"/>
        <w:rPr>
          <w:rFonts w:ascii="Arial" w:cs="Arial" w:eastAsia="Arial" w:hAnsi="Arial"/>
          <w:sz w:val="16"/>
          <w:szCs w:val="16"/>
          <w:u w:val="single" w:color="auto"/>
          <w:color w:val="0000EE"/>
        </w:rPr>
      </w:pPr>
    </w:p>
    <w:p>
      <w:pPr>
        <w:ind w:left="940" w:right="40" w:hanging="693"/>
        <w:spacing w:after="0" w:line="271"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31.2†</w:t>
      </w:r>
      <w:r>
        <w:rPr>
          <w:sz w:val="20"/>
          <w:szCs w:val="20"/>
          <w:color w:val="auto"/>
        </w:rPr>
        <w:tab/>
      </w:r>
      <w:hyperlink w:anchor="page89">
        <w:r>
          <w:rPr>
            <w:rFonts w:ascii="Arial" w:cs="Arial" w:eastAsia="Arial" w:hAnsi="Arial"/>
            <w:sz w:val="16"/>
            <w:szCs w:val="16"/>
            <w:u w:val="single" w:color="auto"/>
            <w:color w:val="0000EE"/>
          </w:rPr>
          <w:t>Certification of Principal Financial Officer Pursuant to Rules 13a-14(a) and 15d-14(a) under the</w:t>
        </w:r>
      </w:hyperlink>
      <w:r>
        <w:rPr>
          <w:rFonts w:ascii="Arial" w:cs="Arial" w:eastAsia="Arial" w:hAnsi="Arial"/>
          <w:sz w:val="16"/>
          <w:szCs w:val="16"/>
          <w:u w:val="single" w:color="auto"/>
          <w:color w:val="0000EE"/>
        </w:rPr>
        <w:t xml:space="preserve"> </w:t>
      </w:r>
      <w:hyperlink w:anchor="page89">
        <w:r>
          <w:rPr>
            <w:rFonts w:ascii="Arial" w:cs="Arial" w:eastAsia="Arial" w:hAnsi="Arial"/>
            <w:sz w:val="16"/>
            <w:szCs w:val="16"/>
            <w:u w:val="single" w:color="auto"/>
            <w:color w:val="0000EE"/>
          </w:rPr>
          <w:t>Securities Exchange Act of 1934, as Adopted Pursuant to Section 302 of the Sarbanes-Oxley</w:t>
        </w:r>
      </w:hyperlink>
      <w:r>
        <w:rPr>
          <w:rFonts w:ascii="Arial" w:cs="Arial" w:eastAsia="Arial" w:hAnsi="Arial"/>
          <w:sz w:val="16"/>
          <w:szCs w:val="16"/>
          <w:u w:val="single" w:color="auto"/>
          <w:color w:val="0000EE"/>
        </w:rPr>
        <w:t xml:space="preserve"> </w:t>
      </w:r>
      <w:hyperlink w:anchor="page89">
        <w:r>
          <w:rPr>
            <w:rFonts w:ascii="Arial" w:cs="Arial" w:eastAsia="Arial" w:hAnsi="Arial"/>
            <w:sz w:val="16"/>
            <w:szCs w:val="16"/>
            <w:u w:val="single" w:color="auto"/>
            <w:color w:val="0000EE"/>
          </w:rPr>
          <w:t>Act of 2002.</w:t>
        </w:r>
      </w:hyperlink>
    </w:p>
    <w:p>
      <w:pPr>
        <w:spacing w:after="0" w:line="286" w:lineRule="exact"/>
        <w:rPr>
          <w:rFonts w:ascii="Arial" w:cs="Arial" w:eastAsia="Arial" w:hAnsi="Arial"/>
          <w:sz w:val="16"/>
          <w:szCs w:val="16"/>
          <w:u w:val="single" w:color="auto"/>
          <w:color w:val="0000EE"/>
        </w:rPr>
      </w:pPr>
    </w:p>
    <w:p>
      <w:pPr>
        <w:ind w:left="5540"/>
        <w:spacing w:after="0"/>
        <w:rPr>
          <w:sz w:val="20"/>
          <w:szCs w:val="20"/>
          <w:color w:val="auto"/>
        </w:rPr>
      </w:pPr>
      <w:r>
        <w:rPr>
          <w:rFonts w:ascii="Arial" w:cs="Arial" w:eastAsia="Arial" w:hAnsi="Arial"/>
          <w:sz w:val="16"/>
          <w:szCs w:val="16"/>
          <w:color w:val="auto"/>
        </w:rPr>
        <w:t>81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78105</wp:posOffset>
            </wp:positionV>
            <wp:extent cx="716026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77"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1"/>
        </w:trPr>
        <w:tc>
          <w:tcPr>
            <w:tcW w:w="720" w:type="dxa"/>
            <w:vAlign w:val="bottom"/>
          </w:tcPr>
          <w:p>
            <w:pPr>
              <w:jc w:val="center"/>
              <w:ind w:right="238"/>
              <w:spacing w:after="0"/>
              <w:rPr>
                <w:sz w:val="20"/>
                <w:szCs w:val="20"/>
                <w:color w:val="auto"/>
              </w:rPr>
            </w:pPr>
            <w:r>
              <w:rPr>
                <w:rFonts w:ascii="Arial" w:cs="Arial" w:eastAsia="Arial" w:hAnsi="Arial"/>
                <w:sz w:val="16"/>
                <w:szCs w:val="16"/>
                <w:b w:val="1"/>
                <w:bCs w:val="1"/>
                <w:color w:val="auto"/>
                <w:w w:val="99"/>
              </w:rPr>
              <w:t>Form</w:t>
            </w:r>
          </w:p>
        </w:tc>
        <w:tc>
          <w:tcPr>
            <w:tcW w:w="1380" w:type="dxa"/>
            <w:vAlign w:val="bottom"/>
          </w:tcPr>
          <w:p>
            <w:pPr>
              <w:ind w:left="460"/>
              <w:spacing w:after="0"/>
              <w:rPr>
                <w:sz w:val="20"/>
                <w:szCs w:val="20"/>
                <w:color w:val="auto"/>
              </w:rPr>
            </w:pPr>
            <w:r>
              <w:rPr>
                <w:rFonts w:ascii="Arial" w:cs="Arial" w:eastAsia="Arial" w:hAnsi="Arial"/>
                <w:sz w:val="16"/>
                <w:szCs w:val="16"/>
                <w:b w:val="1"/>
                <w:bCs w:val="1"/>
                <w:color w:val="auto"/>
              </w:rPr>
              <w:t>File No.</w:t>
            </w: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Number</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Fil</w:t>
            </w:r>
          </w:p>
        </w:tc>
      </w:tr>
      <w:tr>
        <w:trPr>
          <w:trHeight w:val="208"/>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001-39539</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332"/>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8-K</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001-39539</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209"/>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209"/>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209"/>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209"/>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10.10</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209"/>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10.12</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10.13</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10.14</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10.15</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209"/>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10.16</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10.17</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r>
        <w:trPr>
          <w:trHeight w:val="405"/>
        </w:trPr>
        <w:tc>
          <w:tcPr>
            <w:tcW w:w="720" w:type="dxa"/>
            <w:vAlign w:val="bottom"/>
          </w:tcPr>
          <w:p>
            <w:pPr>
              <w:jc w:val="center"/>
              <w:ind w:right="238"/>
              <w:spacing w:after="0"/>
              <w:rPr>
                <w:sz w:val="20"/>
                <w:szCs w:val="20"/>
                <w:color w:val="auto"/>
              </w:rPr>
            </w:pPr>
            <w:r>
              <w:rPr>
                <w:rFonts w:ascii="Arial" w:cs="Arial" w:eastAsia="Arial" w:hAnsi="Arial"/>
                <w:sz w:val="16"/>
                <w:szCs w:val="16"/>
                <w:color w:val="auto"/>
                <w:w w:val="96"/>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333-248627</w:t>
            </w: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10.18</w:t>
            </w:r>
          </w:p>
        </w:tc>
        <w:tc>
          <w:tcPr>
            <w:tcW w:w="640" w:type="dxa"/>
            <w:vAlign w:val="bottom"/>
          </w:tcPr>
          <w:p>
            <w:pPr>
              <w:jc w:val="right"/>
              <w:spacing w:after="0"/>
              <w:rPr>
                <w:sz w:val="20"/>
                <w:szCs w:val="20"/>
                <w:color w:val="auto"/>
              </w:rPr>
            </w:pPr>
            <w:r>
              <w:rPr>
                <w:rFonts w:ascii="Arial" w:cs="Arial" w:eastAsia="Arial" w:hAnsi="Arial"/>
                <w:sz w:val="16"/>
                <w:szCs w:val="16"/>
                <w:color w:val="auto"/>
              </w:rPr>
              <w:t>Septem</w:t>
            </w:r>
          </w:p>
        </w:tc>
      </w:tr>
    </w:tbl>
    <w:p>
      <w:pPr>
        <w:sectPr>
          <w:pgSz w:w="11900" w:h="16838" w:orient="portrait"/>
          <w:cols w:equalWidth="0" w:num="2">
            <w:col w:w="7280" w:space="280"/>
            <w:col w:w="3780"/>
          </w:cols>
          <w:pgMar w:left="320" w:top="319" w:right="239" w:bottom="1440" w:gutter="0" w:footer="0" w:header="0"/>
        </w:sectPr>
      </w:pPr>
    </w:p>
    <w:bookmarkStart w:id="85" w:name="page86"/>
    <w:bookmarkEnd w:id="85"/>
    <w:p>
      <w:pPr>
        <w:spacing w:after="0" w:line="1" w:lineRule="exact"/>
        <w:rPr>
          <w:sz w:val="20"/>
          <w:szCs w:val="20"/>
          <w:color w:val="auto"/>
        </w:rPr>
      </w:pPr>
    </w:p>
    <w:tbl>
      <w:tblPr>
        <w:tblLayout w:type="fixed"/>
        <w:tblInd w:w="122" w:type="dxa"/>
        <w:tblCellMar>
          <w:top w:w="0" w:type="dxa"/>
          <w:left w:w="0" w:type="dxa"/>
          <w:bottom w:w="0" w:type="dxa"/>
          <w:right w:w="0" w:type="dxa"/>
        </w:tblCellMar>
      </w:tblPr>
      <w:tr>
        <w:trPr>
          <w:trHeight w:val="184"/>
        </w:trPr>
        <w:tc>
          <w:tcPr>
            <w:tcW w:w="820" w:type="dxa"/>
            <w:vAlign w:val="bottom"/>
          </w:tcPr>
          <w:p>
            <w:pPr>
              <w:jc w:val="center"/>
              <w:ind w:right="98"/>
              <w:spacing w:after="0"/>
              <w:rPr>
                <w:sz w:val="20"/>
                <w:szCs w:val="20"/>
                <w:color w:val="auto"/>
              </w:rPr>
            </w:pPr>
            <w:r>
              <w:rPr>
                <w:rFonts w:ascii="Arial" w:cs="Arial" w:eastAsia="Arial" w:hAnsi="Arial"/>
                <w:sz w:val="16"/>
                <w:szCs w:val="16"/>
                <w:color w:val="auto"/>
                <w:w w:val="89"/>
              </w:rPr>
              <w:t>32.1†</w:t>
            </w:r>
          </w:p>
        </w:tc>
        <w:tc>
          <w:tcPr>
            <w:tcW w:w="604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90">
              <w:r>
                <w:rPr>
                  <w:rFonts w:ascii="Arial" w:cs="Arial" w:eastAsia="Arial" w:hAnsi="Arial"/>
                  <w:sz w:val="16"/>
                  <w:szCs w:val="16"/>
                  <w:color w:val="0000EE"/>
                  <w:w w:val="93"/>
                </w:rPr>
                <w:t>Certification of Principal Executive Officer Pursuant to 18 U.S.C. Section 1350, as Adopted</w:t>
              </w:r>
            </w:hyperlink>
          </w:p>
        </w:tc>
      </w:tr>
      <w:tr>
        <w:trPr>
          <w:trHeight w:val="177"/>
        </w:trPr>
        <w:tc>
          <w:tcPr>
            <w:tcW w:w="820" w:type="dxa"/>
            <w:vAlign w:val="bottom"/>
          </w:tcPr>
          <w:p>
            <w:pPr>
              <w:spacing w:after="0"/>
              <w:rPr>
                <w:sz w:val="15"/>
                <w:szCs w:val="15"/>
                <w:color w:val="auto"/>
              </w:rPr>
            </w:pPr>
          </w:p>
        </w:tc>
        <w:tc>
          <w:tcPr>
            <w:tcW w:w="3940" w:type="dxa"/>
            <w:vAlign w:val="bottom"/>
            <w:tcBorders>
              <w:bottom w:val="single" w:sz="8" w:color="0000EE"/>
            </w:tcBorders>
          </w:tcPr>
          <w:p>
            <w:pPr>
              <w:spacing w:after="0" w:line="177" w:lineRule="exact"/>
              <w:rPr>
                <w:rFonts w:ascii="Arial" w:cs="Arial" w:eastAsia="Arial" w:hAnsi="Arial"/>
                <w:sz w:val="16"/>
                <w:szCs w:val="16"/>
                <w:color w:val="0000EE"/>
                <w:w w:val="92"/>
              </w:rPr>
            </w:pPr>
            <w:hyperlink w:anchor="page90">
              <w:r>
                <w:rPr>
                  <w:rFonts w:ascii="Arial" w:cs="Arial" w:eastAsia="Arial" w:hAnsi="Arial"/>
                  <w:sz w:val="16"/>
                  <w:szCs w:val="16"/>
                  <w:color w:val="0000EE"/>
                  <w:w w:val="92"/>
                </w:rPr>
                <w:t>Pursuant to Section 906 of the Sarbanes-Oxley Act of 2002.</w:t>
              </w:r>
            </w:hyperlink>
          </w:p>
        </w:tc>
        <w:tc>
          <w:tcPr>
            <w:tcW w:w="2100" w:type="dxa"/>
            <w:vAlign w:val="bottom"/>
            <w:gridSpan w:val="2"/>
          </w:tcPr>
          <w:p>
            <w:pPr>
              <w:spacing w:after="0"/>
              <w:rPr>
                <w:sz w:val="15"/>
                <w:szCs w:val="15"/>
                <w:color w:val="auto"/>
              </w:rPr>
            </w:pPr>
          </w:p>
        </w:tc>
      </w:tr>
      <w:tr>
        <w:trPr>
          <w:trHeight w:val="312"/>
        </w:trPr>
        <w:tc>
          <w:tcPr>
            <w:tcW w:w="820" w:type="dxa"/>
            <w:vAlign w:val="bottom"/>
          </w:tcPr>
          <w:p>
            <w:pPr>
              <w:jc w:val="center"/>
              <w:ind w:right="98"/>
              <w:spacing w:after="0"/>
              <w:rPr>
                <w:sz w:val="20"/>
                <w:szCs w:val="20"/>
                <w:color w:val="auto"/>
              </w:rPr>
            </w:pPr>
            <w:r>
              <w:rPr>
                <w:rFonts w:ascii="Arial" w:cs="Arial" w:eastAsia="Arial" w:hAnsi="Arial"/>
                <w:sz w:val="16"/>
                <w:szCs w:val="16"/>
                <w:color w:val="auto"/>
                <w:w w:val="89"/>
              </w:rPr>
              <w:t>32.2†</w:t>
            </w:r>
          </w:p>
        </w:tc>
        <w:tc>
          <w:tcPr>
            <w:tcW w:w="6000" w:type="dxa"/>
            <w:vAlign w:val="bottom"/>
            <w:tcBorders>
              <w:bottom w:val="single" w:sz="8" w:color="0000EE"/>
            </w:tcBorders>
            <w:gridSpan w:val="2"/>
          </w:tcPr>
          <w:p>
            <w:pPr>
              <w:spacing w:after="0"/>
              <w:rPr>
                <w:rFonts w:ascii="Arial" w:cs="Arial" w:eastAsia="Arial" w:hAnsi="Arial"/>
                <w:sz w:val="16"/>
                <w:szCs w:val="16"/>
                <w:color w:val="0000EE"/>
                <w:w w:val="94"/>
              </w:rPr>
            </w:pPr>
            <w:hyperlink w:anchor="page91">
              <w:r>
                <w:rPr>
                  <w:rFonts w:ascii="Arial" w:cs="Arial" w:eastAsia="Arial" w:hAnsi="Arial"/>
                  <w:sz w:val="16"/>
                  <w:szCs w:val="16"/>
                  <w:color w:val="0000EE"/>
                  <w:w w:val="94"/>
                </w:rPr>
                <w:t>Certification of Principal Financial Officer Pursuant to 18 U.S.C. Section 1350, as Adopted</w:t>
              </w:r>
            </w:hyperlink>
          </w:p>
        </w:tc>
        <w:tc>
          <w:tcPr>
            <w:tcW w:w="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3940" w:type="dxa"/>
            <w:vAlign w:val="bottom"/>
            <w:tcBorders>
              <w:bottom w:val="single" w:sz="8" w:color="0000EE"/>
            </w:tcBorders>
          </w:tcPr>
          <w:p>
            <w:pPr>
              <w:spacing w:after="0" w:line="177" w:lineRule="exact"/>
              <w:rPr>
                <w:rFonts w:ascii="Arial" w:cs="Arial" w:eastAsia="Arial" w:hAnsi="Arial"/>
                <w:sz w:val="16"/>
                <w:szCs w:val="16"/>
                <w:color w:val="0000EE"/>
                <w:w w:val="92"/>
              </w:rPr>
            </w:pPr>
            <w:hyperlink w:anchor="page91">
              <w:r>
                <w:rPr>
                  <w:rFonts w:ascii="Arial" w:cs="Arial" w:eastAsia="Arial" w:hAnsi="Arial"/>
                  <w:sz w:val="16"/>
                  <w:szCs w:val="16"/>
                  <w:color w:val="0000EE"/>
                  <w:w w:val="92"/>
                </w:rPr>
                <w:t>Pursuant to Section 906 of the Sarbanes-Oxley Act of 2002.</w:t>
              </w:r>
            </w:hyperlink>
          </w:p>
        </w:tc>
        <w:tc>
          <w:tcPr>
            <w:tcW w:w="2100" w:type="dxa"/>
            <w:vAlign w:val="bottom"/>
            <w:gridSpan w:val="2"/>
          </w:tcPr>
          <w:p>
            <w:pPr>
              <w:spacing w:after="0"/>
              <w:rPr>
                <w:sz w:val="15"/>
                <w:szCs w:val="15"/>
                <w:color w:val="auto"/>
              </w:rPr>
            </w:pPr>
          </w:p>
        </w:tc>
      </w:tr>
      <w:tr>
        <w:trPr>
          <w:trHeight w:val="347"/>
        </w:trPr>
        <w:tc>
          <w:tcPr>
            <w:tcW w:w="820" w:type="dxa"/>
            <w:vAlign w:val="bottom"/>
          </w:tcPr>
          <w:p>
            <w:pPr>
              <w:jc w:val="center"/>
              <w:ind w:right="118"/>
              <w:spacing w:after="0"/>
              <w:rPr>
                <w:sz w:val="20"/>
                <w:szCs w:val="20"/>
                <w:color w:val="auto"/>
              </w:rPr>
            </w:pPr>
            <w:r>
              <w:rPr>
                <w:rFonts w:ascii="Arial" w:cs="Arial" w:eastAsia="Arial" w:hAnsi="Arial"/>
                <w:sz w:val="16"/>
                <w:szCs w:val="16"/>
                <w:color w:val="auto"/>
                <w:w w:val="93"/>
              </w:rPr>
              <w:t>101.INS</w:t>
            </w:r>
          </w:p>
        </w:tc>
        <w:tc>
          <w:tcPr>
            <w:tcW w:w="604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r>
      <w:tr>
        <w:trPr>
          <w:trHeight w:val="332"/>
        </w:trPr>
        <w:tc>
          <w:tcPr>
            <w:tcW w:w="820" w:type="dxa"/>
            <w:vAlign w:val="bottom"/>
          </w:tcPr>
          <w:p>
            <w:pPr>
              <w:jc w:val="center"/>
              <w:ind w:right="98"/>
              <w:spacing w:after="0"/>
              <w:rPr>
                <w:sz w:val="20"/>
                <w:szCs w:val="20"/>
                <w:color w:val="auto"/>
              </w:rPr>
            </w:pPr>
            <w:r>
              <w:rPr>
                <w:rFonts w:ascii="Arial" w:cs="Arial" w:eastAsia="Arial" w:hAnsi="Arial"/>
                <w:sz w:val="16"/>
                <w:szCs w:val="16"/>
                <w:color w:val="auto"/>
                <w:w w:val="92"/>
              </w:rPr>
              <w:t>101.SCH</w:t>
            </w:r>
          </w:p>
        </w:tc>
        <w:tc>
          <w:tcPr>
            <w:tcW w:w="604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r>
      <w:tr>
        <w:trPr>
          <w:trHeight w:val="332"/>
        </w:trPr>
        <w:tc>
          <w:tcPr>
            <w:tcW w:w="820" w:type="dxa"/>
            <w:vAlign w:val="bottom"/>
          </w:tcPr>
          <w:p>
            <w:pPr>
              <w:jc w:val="center"/>
              <w:ind w:right="118"/>
              <w:spacing w:after="0"/>
              <w:rPr>
                <w:sz w:val="20"/>
                <w:szCs w:val="20"/>
                <w:color w:val="auto"/>
              </w:rPr>
            </w:pPr>
            <w:r>
              <w:rPr>
                <w:rFonts w:ascii="Arial" w:cs="Arial" w:eastAsia="Arial" w:hAnsi="Arial"/>
                <w:sz w:val="16"/>
                <w:szCs w:val="16"/>
                <w:color w:val="auto"/>
                <w:w w:val="99"/>
              </w:rPr>
              <w:t>101.CAL</w:t>
            </w:r>
          </w:p>
        </w:tc>
        <w:tc>
          <w:tcPr>
            <w:tcW w:w="604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32"/>
        </w:trPr>
        <w:tc>
          <w:tcPr>
            <w:tcW w:w="820" w:type="dxa"/>
            <w:vAlign w:val="bottom"/>
          </w:tcPr>
          <w:p>
            <w:pPr>
              <w:jc w:val="center"/>
              <w:ind w:right="98"/>
              <w:spacing w:after="0"/>
              <w:rPr>
                <w:sz w:val="20"/>
                <w:szCs w:val="20"/>
                <w:color w:val="auto"/>
              </w:rPr>
            </w:pPr>
            <w:r>
              <w:rPr>
                <w:rFonts w:ascii="Arial" w:cs="Arial" w:eastAsia="Arial" w:hAnsi="Arial"/>
                <w:sz w:val="16"/>
                <w:szCs w:val="16"/>
                <w:color w:val="auto"/>
                <w:w w:val="94"/>
              </w:rPr>
              <w:t>101.DEF</w:t>
            </w:r>
          </w:p>
        </w:tc>
        <w:tc>
          <w:tcPr>
            <w:tcW w:w="604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332"/>
        </w:trPr>
        <w:tc>
          <w:tcPr>
            <w:tcW w:w="820" w:type="dxa"/>
            <w:vAlign w:val="bottom"/>
          </w:tcPr>
          <w:p>
            <w:pPr>
              <w:jc w:val="center"/>
              <w:ind w:right="118"/>
              <w:spacing w:after="0"/>
              <w:rPr>
                <w:sz w:val="20"/>
                <w:szCs w:val="20"/>
                <w:color w:val="auto"/>
              </w:rPr>
            </w:pPr>
            <w:r>
              <w:rPr>
                <w:rFonts w:ascii="Arial" w:cs="Arial" w:eastAsia="Arial" w:hAnsi="Arial"/>
                <w:sz w:val="16"/>
                <w:szCs w:val="16"/>
                <w:color w:val="auto"/>
              </w:rPr>
              <w:t>101.LAB</w:t>
            </w:r>
          </w:p>
        </w:tc>
        <w:tc>
          <w:tcPr>
            <w:tcW w:w="604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32"/>
        </w:trPr>
        <w:tc>
          <w:tcPr>
            <w:tcW w:w="820" w:type="dxa"/>
            <w:vAlign w:val="bottom"/>
          </w:tcPr>
          <w:p>
            <w:pPr>
              <w:jc w:val="center"/>
              <w:ind w:right="118"/>
              <w:spacing w:after="0"/>
              <w:rPr>
                <w:sz w:val="20"/>
                <w:szCs w:val="20"/>
                <w:color w:val="auto"/>
              </w:rPr>
            </w:pPr>
            <w:r>
              <w:rPr>
                <w:rFonts w:ascii="Arial" w:cs="Arial" w:eastAsia="Arial" w:hAnsi="Arial"/>
                <w:sz w:val="16"/>
                <w:szCs w:val="16"/>
                <w:color w:val="auto"/>
                <w:w w:val="90"/>
              </w:rPr>
              <w:t>101.PRE</w:t>
            </w:r>
          </w:p>
        </w:tc>
        <w:tc>
          <w:tcPr>
            <w:tcW w:w="604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007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600710" cy="7620"/>
                    </a:xfrm>
                    <a:prstGeom prst="rect">
                      <a:avLst/>
                    </a:prstGeom>
                    <a:noFill/>
                  </pic:spPr>
                </pic:pic>
              </a:graphicData>
            </a:graphic>
          </wp:anchor>
        </w:drawing>
      </w:r>
    </w:p>
    <w:p>
      <w:pPr>
        <w:spacing w:after="0" w:line="141" w:lineRule="exact"/>
        <w:rPr>
          <w:sz w:val="20"/>
          <w:szCs w:val="20"/>
          <w:color w:val="auto"/>
        </w:rPr>
      </w:pPr>
    </w:p>
    <w:p>
      <w:pPr>
        <w:ind w:left="582" w:hanging="582"/>
        <w:spacing w:after="0"/>
        <w:tabs>
          <w:tab w:leader="none" w:pos="582"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49" w:lineRule="exact"/>
        <w:rPr>
          <w:sz w:val="20"/>
          <w:szCs w:val="20"/>
          <w:color w:val="auto"/>
        </w:rPr>
      </w:pPr>
    </w:p>
    <w:p>
      <w:pPr>
        <w:ind w:left="582" w:hanging="582"/>
        <w:spacing w:after="0" w:line="266"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64"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6026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60260" cy="15875"/>
                    </a:xfrm>
                    <a:prstGeom prst="rect">
                      <a:avLst/>
                    </a:prstGeom>
                    <a:noFill/>
                  </pic:spPr>
                </pic:pic>
              </a:graphicData>
            </a:graphic>
          </wp:anchor>
        </w:drawing>
      </w:r>
    </w:p>
    <w:p>
      <w:pPr>
        <w:sectPr>
          <w:pgSz w:w="11900" w:h="16838" w:orient="portrait"/>
          <w:cols w:equalWidth="0" w:num="1">
            <w:col w:w="11222"/>
          </w:cols>
          <w:pgMar w:left="318" w:top="324"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right="380" w:firstLine="674"/>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7300" w:type="dxa"/>
            <w:vAlign w:val="bottom"/>
            <w:gridSpan w:val="2"/>
          </w:tcPr>
          <w:p>
            <w:pPr>
              <w:ind w:left="2180"/>
              <w:spacing w:after="0"/>
              <w:rPr>
                <w:sz w:val="20"/>
                <w:szCs w:val="20"/>
                <w:color w:val="auto"/>
              </w:rPr>
            </w:pPr>
            <w:r>
              <w:rPr>
                <w:rFonts w:ascii="Arial" w:cs="Arial" w:eastAsia="Arial" w:hAnsi="Arial"/>
                <w:sz w:val="16"/>
                <w:szCs w:val="16"/>
                <w:b w:val="1"/>
                <w:bCs w:val="1"/>
                <w:color w:val="auto"/>
              </w:rPr>
              <w:t>PMV Pharmaceuticals, Inc.</w:t>
            </w:r>
          </w:p>
        </w:tc>
      </w:tr>
      <w:tr>
        <w:trPr>
          <w:trHeight w:val="418"/>
        </w:trPr>
        <w:tc>
          <w:tcPr>
            <w:tcW w:w="3940" w:type="dxa"/>
            <w:vAlign w:val="bottom"/>
          </w:tcPr>
          <w:p>
            <w:pPr>
              <w:spacing w:after="0"/>
              <w:rPr>
                <w:sz w:val="20"/>
                <w:szCs w:val="20"/>
                <w:color w:val="auto"/>
              </w:rPr>
            </w:pPr>
            <w:r>
              <w:rPr>
                <w:rFonts w:ascii="Arial" w:cs="Arial" w:eastAsia="Arial" w:hAnsi="Arial"/>
                <w:sz w:val="16"/>
                <w:szCs w:val="16"/>
                <w:color w:val="auto"/>
              </w:rPr>
              <w:t>Date: November 13, 2020</w:t>
            </w:r>
          </w:p>
        </w:tc>
        <w:tc>
          <w:tcPr>
            <w:tcW w:w="2520" w:type="dxa"/>
            <w:vAlign w:val="bottom"/>
          </w:tcPr>
          <w:p>
            <w:pPr>
              <w:ind w:left="2180"/>
              <w:spacing w:after="0"/>
              <w:rPr>
                <w:sz w:val="20"/>
                <w:szCs w:val="20"/>
                <w:color w:val="auto"/>
              </w:rPr>
            </w:pPr>
            <w:r>
              <w:rPr>
                <w:rFonts w:ascii="Arial" w:cs="Arial" w:eastAsia="Arial" w:hAnsi="Arial"/>
                <w:sz w:val="16"/>
                <w:szCs w:val="16"/>
                <w:color w:val="auto"/>
              </w:rPr>
              <w:t>By:</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David H. Mack</w:t>
            </w:r>
          </w:p>
        </w:tc>
      </w:tr>
      <w:tr>
        <w:trPr>
          <w:trHeight w:val="201"/>
        </w:trPr>
        <w:tc>
          <w:tcPr>
            <w:tcW w:w="39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80" w:type="dxa"/>
            <w:vAlign w:val="bottom"/>
          </w:tcPr>
          <w:p>
            <w:pPr>
              <w:jc w:val="center"/>
              <w:spacing w:after="0"/>
              <w:rPr>
                <w:sz w:val="20"/>
                <w:szCs w:val="20"/>
                <w:color w:val="auto"/>
              </w:rPr>
            </w:pPr>
            <w:r>
              <w:rPr>
                <w:rFonts w:ascii="Arial" w:cs="Arial" w:eastAsia="Arial" w:hAnsi="Arial"/>
                <w:sz w:val="16"/>
                <w:szCs w:val="16"/>
                <w:color w:val="auto"/>
                <w:w w:val="95"/>
              </w:rPr>
              <w:t>David H. Mack, Ph.D.</w:t>
            </w:r>
          </w:p>
        </w:tc>
      </w:tr>
      <w:tr>
        <w:trPr>
          <w:trHeight w:val="209"/>
        </w:trPr>
        <w:tc>
          <w:tcPr>
            <w:tcW w:w="3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6"/>
                <w:szCs w:val="16"/>
                <w:color w:val="auto"/>
                <w:w w:val="94"/>
              </w:rPr>
              <w:t>President, Chief Executive Officer, and Director</w:t>
            </w:r>
          </w:p>
        </w:tc>
      </w:tr>
      <w:tr>
        <w:trPr>
          <w:trHeight w:val="209"/>
        </w:trPr>
        <w:tc>
          <w:tcPr>
            <w:tcW w:w="3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r>
      <w:tr>
        <w:trPr>
          <w:trHeight w:val="418"/>
        </w:trPr>
        <w:tc>
          <w:tcPr>
            <w:tcW w:w="3940" w:type="dxa"/>
            <w:vAlign w:val="bottom"/>
          </w:tcPr>
          <w:p>
            <w:pPr>
              <w:spacing w:after="0"/>
              <w:rPr>
                <w:sz w:val="24"/>
                <w:szCs w:val="24"/>
                <w:color w:val="auto"/>
              </w:rPr>
            </w:pPr>
          </w:p>
        </w:tc>
        <w:tc>
          <w:tcPr>
            <w:tcW w:w="7300" w:type="dxa"/>
            <w:vAlign w:val="bottom"/>
            <w:gridSpan w:val="2"/>
          </w:tcPr>
          <w:p>
            <w:pPr>
              <w:ind w:left="2180"/>
              <w:spacing w:after="0"/>
              <w:rPr>
                <w:sz w:val="20"/>
                <w:szCs w:val="20"/>
                <w:color w:val="auto"/>
              </w:rPr>
            </w:pPr>
            <w:r>
              <w:rPr>
                <w:rFonts w:ascii="Arial" w:cs="Arial" w:eastAsia="Arial" w:hAnsi="Arial"/>
                <w:sz w:val="16"/>
                <w:szCs w:val="16"/>
                <w:b w:val="1"/>
                <w:bCs w:val="1"/>
                <w:color w:val="auto"/>
              </w:rPr>
              <w:t>PMV Pharmaceuticals, Inc.</w:t>
            </w:r>
          </w:p>
        </w:tc>
      </w:tr>
      <w:tr>
        <w:trPr>
          <w:trHeight w:val="627"/>
        </w:trPr>
        <w:tc>
          <w:tcPr>
            <w:tcW w:w="3940" w:type="dxa"/>
            <w:vAlign w:val="bottom"/>
          </w:tcPr>
          <w:p>
            <w:pPr>
              <w:spacing w:after="0"/>
              <w:rPr>
                <w:sz w:val="20"/>
                <w:szCs w:val="20"/>
                <w:color w:val="auto"/>
              </w:rPr>
            </w:pPr>
            <w:r>
              <w:rPr>
                <w:rFonts w:ascii="Arial" w:cs="Arial" w:eastAsia="Arial" w:hAnsi="Arial"/>
                <w:sz w:val="16"/>
                <w:szCs w:val="16"/>
                <w:color w:val="auto"/>
              </w:rPr>
              <w:t>Date: November 13, 2020</w:t>
            </w:r>
          </w:p>
        </w:tc>
        <w:tc>
          <w:tcPr>
            <w:tcW w:w="2520" w:type="dxa"/>
            <w:vAlign w:val="bottom"/>
          </w:tcPr>
          <w:p>
            <w:pPr>
              <w:ind w:left="2180"/>
              <w:spacing w:after="0"/>
              <w:rPr>
                <w:sz w:val="20"/>
                <w:szCs w:val="20"/>
                <w:color w:val="auto"/>
              </w:rPr>
            </w:pPr>
            <w:r>
              <w:rPr>
                <w:rFonts w:ascii="Arial" w:cs="Arial" w:eastAsia="Arial" w:hAnsi="Arial"/>
                <w:sz w:val="16"/>
                <w:szCs w:val="16"/>
                <w:color w:val="auto"/>
              </w:rPr>
              <w:t>By:</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Winston Kung</w:t>
            </w:r>
          </w:p>
        </w:tc>
      </w:tr>
      <w:tr>
        <w:trPr>
          <w:trHeight w:val="201"/>
        </w:trPr>
        <w:tc>
          <w:tcPr>
            <w:tcW w:w="39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780" w:type="dxa"/>
            <w:vAlign w:val="bottom"/>
          </w:tcPr>
          <w:p>
            <w:pPr>
              <w:jc w:val="center"/>
              <w:spacing w:after="0"/>
              <w:rPr>
                <w:sz w:val="20"/>
                <w:szCs w:val="20"/>
                <w:color w:val="auto"/>
              </w:rPr>
            </w:pPr>
            <w:r>
              <w:rPr>
                <w:rFonts w:ascii="Arial" w:cs="Arial" w:eastAsia="Arial" w:hAnsi="Arial"/>
                <w:sz w:val="16"/>
                <w:szCs w:val="16"/>
                <w:color w:val="auto"/>
                <w:w w:val="94"/>
              </w:rPr>
              <w:t>Winston Kung</w:t>
            </w:r>
          </w:p>
        </w:tc>
      </w:tr>
    </w:tbl>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6"/>
          <w:szCs w:val="16"/>
          <w:color w:val="auto"/>
        </w:rPr>
        <w:t>Chief Operating Officer and</w:t>
      </w:r>
    </w:p>
    <w:p>
      <w:pPr>
        <w:spacing w:after="0" w:line="24" w:lineRule="exact"/>
        <w:rPr>
          <w:sz w:val="20"/>
          <w:szCs w:val="20"/>
          <w:color w:val="auto"/>
        </w:rPr>
      </w:pPr>
    </w:p>
    <w:p>
      <w:pPr>
        <w:jc w:val="center"/>
        <w:ind w:left="6440"/>
        <w:spacing w:after="0"/>
        <w:rPr>
          <w:sz w:val="20"/>
          <w:szCs w:val="20"/>
          <w:color w:val="auto"/>
        </w:rPr>
      </w:pPr>
      <w:r>
        <w:rPr>
          <w:rFonts w:ascii="Arial" w:cs="Arial" w:eastAsia="Arial" w:hAnsi="Arial"/>
          <w:sz w:val="16"/>
          <w:szCs w:val="16"/>
          <w:color w:val="auto"/>
        </w:rPr>
        <w:t>Chief Financial Officer</w:t>
      </w:r>
    </w:p>
    <w:p>
      <w:pPr>
        <w:spacing w:after="0" w:line="13"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31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31.1</w:t>
      </w:r>
    </w:p>
    <w:p>
      <w:pPr>
        <w:spacing w:after="0" w:line="3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David H. Mack, certify that:</w:t>
      </w:r>
    </w:p>
    <w:p>
      <w:pPr>
        <w:spacing w:after="0" w:line="209" w:lineRule="exact"/>
        <w:rPr>
          <w:sz w:val="20"/>
          <w:szCs w:val="20"/>
          <w:color w:val="auto"/>
        </w:rPr>
      </w:pPr>
    </w:p>
    <w:p>
      <w:pPr>
        <w:ind w:left="582" w:hanging="582"/>
        <w:spacing w:after="0"/>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2020 of PMV Pharmaceuticals, Inc.;</w:t>
      </w:r>
    </w:p>
    <w:p>
      <w:pPr>
        <w:spacing w:after="0" w:line="209" w:lineRule="exact"/>
        <w:rPr>
          <w:rFonts w:ascii="Arial" w:cs="Arial" w:eastAsia="Arial" w:hAnsi="Arial"/>
          <w:sz w:val="16"/>
          <w:szCs w:val="16"/>
          <w:color w:val="auto"/>
        </w:rPr>
      </w:pPr>
    </w:p>
    <w:p>
      <w:pPr>
        <w:ind w:left="582" w:right="400" w:hanging="582"/>
        <w:spacing w:after="0" w:line="322" w:lineRule="auto"/>
        <w:tabs>
          <w:tab w:leader="none" w:pos="582"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582" w:right="500" w:hanging="582"/>
        <w:spacing w:after="0" w:line="287" w:lineRule="auto"/>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582" w:right="200" w:hanging="582"/>
        <w:spacing w:after="0" w:line="271" w:lineRule="auto"/>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6"/>
          <w:szCs w:val="16"/>
          <w:color w:val="auto"/>
        </w:rPr>
      </w:pPr>
    </w:p>
    <w:p>
      <w:pPr>
        <w:ind w:left="1162" w:right="40" w:hanging="584"/>
        <w:spacing w:after="0" w:line="271"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ind w:left="1162" w:right="200" w:hanging="584"/>
        <w:spacing w:after="0" w:line="287"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6"/>
          <w:szCs w:val="16"/>
          <w:color w:val="auto"/>
        </w:rPr>
      </w:pPr>
    </w:p>
    <w:p>
      <w:pPr>
        <w:ind w:left="1162" w:right="260" w:hanging="584"/>
        <w:spacing w:after="0" w:line="271"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582" w:right="120" w:hanging="582"/>
        <w:spacing w:after="0" w:line="287" w:lineRule="auto"/>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6"/>
          <w:szCs w:val="16"/>
          <w:color w:val="auto"/>
        </w:rPr>
      </w:pPr>
    </w:p>
    <w:p>
      <w:pPr>
        <w:ind w:left="1162" w:right="120" w:hanging="584"/>
        <w:spacing w:after="0" w:line="287"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6"/>
          <w:szCs w:val="16"/>
          <w:color w:val="auto"/>
        </w:rPr>
      </w:pPr>
    </w:p>
    <w:p>
      <w:pPr>
        <w:ind w:left="1162" w:right="360" w:hanging="584"/>
        <w:spacing w:after="0" w:line="287"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2"/>
        <w:spacing w:after="0"/>
        <w:tabs>
          <w:tab w:leader="none" w:pos="6141" w:val="left"/>
          <w:tab w:leader="none" w:pos="8201" w:val="left"/>
        </w:tabs>
        <w:rPr>
          <w:sz w:val="20"/>
          <w:szCs w:val="20"/>
          <w:color w:val="auto"/>
        </w:rPr>
      </w:pPr>
      <w:r>
        <w:rPr>
          <w:rFonts w:ascii="Arial" w:cs="Arial" w:eastAsia="Arial" w:hAnsi="Arial"/>
          <w:sz w:val="16"/>
          <w:szCs w:val="16"/>
          <w:color w:val="auto"/>
        </w:rPr>
        <w:t>Date: November 13,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15875</wp:posOffset>
            </wp:positionV>
            <wp:extent cx="306514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3065145" cy="7620"/>
                    </a:xfrm>
                    <a:prstGeom prst="rect">
                      <a:avLst/>
                    </a:prstGeom>
                    <a:noFill/>
                  </pic:spPr>
                </pic:pic>
              </a:graphicData>
            </a:graphic>
          </wp:anchor>
        </w:drawing>
      </w:r>
    </w:p>
    <w:p>
      <w:pPr>
        <w:spacing w:after="0" w:line="13" w:lineRule="exact"/>
        <w:rPr>
          <w:sz w:val="20"/>
          <w:szCs w:val="20"/>
          <w:color w:val="auto"/>
        </w:rPr>
      </w:pPr>
    </w:p>
    <w:p>
      <w:pPr>
        <w:ind w:left="8062"/>
        <w:spacing w:after="0"/>
        <w:rPr>
          <w:sz w:val="20"/>
          <w:szCs w:val="20"/>
          <w:color w:val="auto"/>
        </w:rPr>
      </w:pPr>
      <w:r>
        <w:rPr>
          <w:rFonts w:ascii="Arial" w:cs="Arial" w:eastAsia="Arial" w:hAnsi="Arial"/>
          <w:sz w:val="16"/>
          <w:szCs w:val="16"/>
          <w:b w:val="1"/>
          <w:bCs w:val="1"/>
          <w:color w:val="auto"/>
        </w:rPr>
        <w:t>David H. Mack, Ph.D.</w:t>
      </w:r>
    </w:p>
    <w:p>
      <w:pPr>
        <w:spacing w:after="0" w:line="28" w:lineRule="exact"/>
        <w:rPr>
          <w:sz w:val="20"/>
          <w:szCs w:val="20"/>
          <w:color w:val="auto"/>
        </w:rPr>
      </w:pPr>
    </w:p>
    <w:p>
      <w:pPr>
        <w:ind w:left="7622"/>
        <w:spacing w:after="0"/>
        <w:rPr>
          <w:sz w:val="20"/>
          <w:szCs w:val="20"/>
          <w:color w:val="auto"/>
        </w:rPr>
      </w:pPr>
      <w:r>
        <w:rPr>
          <w:rFonts w:ascii="Arial" w:cs="Arial" w:eastAsia="Arial" w:hAnsi="Arial"/>
          <w:sz w:val="16"/>
          <w:szCs w:val="16"/>
          <w:b w:val="1"/>
          <w:bCs w:val="1"/>
          <w:color w:val="auto"/>
        </w:rPr>
        <w:t>President, Chief Executive Officer,</w:t>
      </w:r>
    </w:p>
    <w:p>
      <w:pPr>
        <w:spacing w:after="0" w:line="25"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 Director</w:t>
      </w:r>
    </w:p>
    <w:p>
      <w:pPr>
        <w:spacing w:after="0" w:line="13"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242"/>
          </w:cols>
          <w:pgMar w:left="318" w:top="12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31.2</w:t>
      </w:r>
    </w:p>
    <w:p>
      <w:pPr>
        <w:spacing w:after="0" w:line="3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Winston Kung, certify that:</w:t>
      </w:r>
    </w:p>
    <w:p>
      <w:pPr>
        <w:spacing w:after="0" w:line="209" w:lineRule="exact"/>
        <w:rPr>
          <w:sz w:val="20"/>
          <w:szCs w:val="20"/>
          <w:color w:val="auto"/>
        </w:rPr>
      </w:pPr>
    </w:p>
    <w:p>
      <w:pPr>
        <w:ind w:left="582" w:hanging="582"/>
        <w:spacing w:after="0"/>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2020 of PMV Pharmaceuticals, Inc.;</w:t>
      </w:r>
    </w:p>
    <w:p>
      <w:pPr>
        <w:spacing w:after="0" w:line="209" w:lineRule="exact"/>
        <w:rPr>
          <w:rFonts w:ascii="Arial" w:cs="Arial" w:eastAsia="Arial" w:hAnsi="Arial"/>
          <w:sz w:val="16"/>
          <w:szCs w:val="16"/>
          <w:color w:val="auto"/>
        </w:rPr>
      </w:pPr>
    </w:p>
    <w:p>
      <w:pPr>
        <w:ind w:left="582" w:right="400" w:hanging="582"/>
        <w:spacing w:after="0" w:line="322" w:lineRule="auto"/>
        <w:tabs>
          <w:tab w:leader="none" w:pos="582"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582" w:right="500" w:hanging="582"/>
        <w:spacing w:after="0" w:line="287" w:lineRule="auto"/>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582" w:right="200" w:hanging="582"/>
        <w:spacing w:after="0" w:line="271" w:lineRule="auto"/>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6"/>
          <w:szCs w:val="16"/>
          <w:color w:val="auto"/>
        </w:rPr>
      </w:pPr>
    </w:p>
    <w:p>
      <w:pPr>
        <w:ind w:left="1162" w:right="40" w:hanging="584"/>
        <w:spacing w:after="0" w:line="271"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6"/>
          <w:szCs w:val="16"/>
          <w:color w:val="auto"/>
        </w:rPr>
      </w:pPr>
    </w:p>
    <w:p>
      <w:pPr>
        <w:ind w:left="1162" w:right="200" w:hanging="584"/>
        <w:spacing w:after="0" w:line="287"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6"/>
          <w:szCs w:val="16"/>
          <w:color w:val="auto"/>
        </w:rPr>
      </w:pPr>
    </w:p>
    <w:p>
      <w:pPr>
        <w:ind w:left="1162" w:right="260" w:hanging="584"/>
        <w:spacing w:after="0" w:line="271"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582" w:right="120" w:hanging="582"/>
        <w:spacing w:after="0" w:line="287" w:lineRule="auto"/>
        <w:tabs>
          <w:tab w:leader="none" w:pos="5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6"/>
          <w:szCs w:val="16"/>
          <w:color w:val="auto"/>
        </w:rPr>
      </w:pPr>
    </w:p>
    <w:p>
      <w:pPr>
        <w:ind w:left="1162" w:right="120" w:hanging="584"/>
        <w:spacing w:after="0" w:line="287"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6"/>
          <w:szCs w:val="16"/>
          <w:color w:val="auto"/>
        </w:rPr>
      </w:pPr>
    </w:p>
    <w:p>
      <w:pPr>
        <w:ind w:left="1162" w:right="360" w:hanging="584"/>
        <w:spacing w:after="0" w:line="287" w:lineRule="auto"/>
        <w:tabs>
          <w:tab w:leader="none" w:pos="116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2"/>
        <w:spacing w:after="0"/>
        <w:tabs>
          <w:tab w:leader="none" w:pos="6141" w:val="left"/>
          <w:tab w:leader="none" w:pos="8241" w:val="left"/>
        </w:tabs>
        <w:rPr>
          <w:sz w:val="20"/>
          <w:szCs w:val="20"/>
          <w:color w:val="auto"/>
        </w:rPr>
      </w:pPr>
      <w:r>
        <w:rPr>
          <w:rFonts w:ascii="Arial" w:cs="Arial" w:eastAsia="Arial" w:hAnsi="Arial"/>
          <w:sz w:val="16"/>
          <w:szCs w:val="16"/>
          <w:color w:val="auto"/>
        </w:rPr>
        <w:t>Date: November 13,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15875</wp:posOffset>
            </wp:positionV>
            <wp:extent cx="306514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065145" cy="7620"/>
                    </a:xfrm>
                    <a:prstGeom prst="rect">
                      <a:avLst/>
                    </a:prstGeom>
                    <a:noFill/>
                  </pic:spPr>
                </pic:pic>
              </a:graphicData>
            </a:graphic>
          </wp:anchor>
        </w:drawing>
      </w:r>
    </w:p>
    <w:p>
      <w:pPr>
        <w:spacing w:after="0" w:line="13" w:lineRule="exact"/>
        <w:rPr>
          <w:sz w:val="20"/>
          <w:szCs w:val="20"/>
          <w:color w:val="auto"/>
        </w:rPr>
      </w:pPr>
    </w:p>
    <w:p>
      <w:pPr>
        <w:ind w:left="8322"/>
        <w:spacing w:after="0"/>
        <w:rPr>
          <w:sz w:val="20"/>
          <w:szCs w:val="20"/>
          <w:color w:val="auto"/>
        </w:rPr>
      </w:pPr>
      <w:r>
        <w:rPr>
          <w:rFonts w:ascii="Arial" w:cs="Arial" w:eastAsia="Arial" w:hAnsi="Arial"/>
          <w:sz w:val="16"/>
          <w:szCs w:val="16"/>
          <w:b w:val="1"/>
          <w:bCs w:val="1"/>
          <w:color w:val="auto"/>
        </w:rPr>
        <w:t>Winston Kung</w:t>
      </w:r>
    </w:p>
    <w:p>
      <w:pPr>
        <w:spacing w:after="0" w:line="28" w:lineRule="exact"/>
        <w:rPr>
          <w:sz w:val="20"/>
          <w:szCs w:val="20"/>
          <w:color w:val="auto"/>
        </w:rPr>
      </w:pPr>
    </w:p>
    <w:p>
      <w:pPr>
        <w:ind w:left="7982"/>
        <w:spacing w:after="0"/>
        <w:rPr>
          <w:sz w:val="20"/>
          <w:szCs w:val="20"/>
          <w:color w:val="auto"/>
        </w:rPr>
      </w:pPr>
      <w:r>
        <w:rPr>
          <w:rFonts w:ascii="Arial" w:cs="Arial" w:eastAsia="Arial" w:hAnsi="Arial"/>
          <w:sz w:val="16"/>
          <w:szCs w:val="16"/>
          <w:b w:val="1"/>
          <w:bCs w:val="1"/>
          <w:color w:val="auto"/>
        </w:rPr>
        <w:t>Chief Operating Officer</w:t>
      </w:r>
    </w:p>
    <w:p>
      <w:pPr>
        <w:spacing w:after="0" w:line="25" w:lineRule="exact"/>
        <w:rPr>
          <w:sz w:val="20"/>
          <w:szCs w:val="20"/>
          <w:color w:val="auto"/>
        </w:rPr>
      </w:pPr>
    </w:p>
    <w:p>
      <w:pPr>
        <w:ind w:left="7862"/>
        <w:spacing w:after="0"/>
        <w:rPr>
          <w:sz w:val="20"/>
          <w:szCs w:val="20"/>
          <w:color w:val="auto"/>
        </w:rPr>
      </w:pPr>
      <w:r>
        <w:rPr>
          <w:rFonts w:ascii="Arial" w:cs="Arial" w:eastAsia="Arial" w:hAnsi="Arial"/>
          <w:sz w:val="16"/>
          <w:szCs w:val="16"/>
          <w:b w:val="1"/>
          <w:bCs w:val="1"/>
          <w:color w:val="auto"/>
        </w:rPr>
        <w:t>and Chief Financial Officer</w:t>
      </w:r>
    </w:p>
    <w:p>
      <w:pPr>
        <w:spacing w:after="0" w:line="13" w:lineRule="exact"/>
        <w:rPr>
          <w:sz w:val="20"/>
          <w:szCs w:val="20"/>
          <w:color w:val="auto"/>
        </w:rPr>
      </w:pPr>
    </w:p>
    <w:p>
      <w:pPr>
        <w:ind w:left="7842"/>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242"/>
          </w:cols>
          <w:pgMar w:left="318" w:top="12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32.1</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jc w:val="both"/>
        <w:ind w:right="60" w:firstLine="589"/>
        <w:spacing w:after="0" w:line="271" w:lineRule="auto"/>
        <w:rPr>
          <w:sz w:val="20"/>
          <w:szCs w:val="20"/>
          <w:color w:val="auto"/>
        </w:rPr>
      </w:pPr>
      <w:r>
        <w:rPr>
          <w:rFonts w:ascii="Arial" w:cs="Arial" w:eastAsia="Arial" w:hAnsi="Arial"/>
          <w:sz w:val="16"/>
          <w:szCs w:val="16"/>
          <w:color w:val="auto"/>
        </w:rPr>
        <w:t>In connection with the Quarterly Report on Form 10-Q for the period ended September 30, 2020 of PMV Pharmaceuticals, Inc. (the “Company”)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1160" w:hanging="584"/>
        <w:spacing w:after="0"/>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9" w:lineRule="exact"/>
        <w:rPr>
          <w:rFonts w:ascii="Arial" w:cs="Arial" w:eastAsia="Arial" w:hAnsi="Arial"/>
          <w:sz w:val="16"/>
          <w:szCs w:val="16"/>
          <w:color w:val="auto"/>
        </w:rPr>
      </w:pPr>
    </w:p>
    <w:p>
      <w:pPr>
        <w:ind w:left="1160" w:hanging="584"/>
        <w:spacing w:after="0"/>
        <w:tabs>
          <w:tab w:leader="none" w:pos="11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45"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6"/>
          <w:szCs w:val="16"/>
          <w:color w:val="auto"/>
        </w:rPr>
        <w:t>Date: November 13,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15875</wp:posOffset>
            </wp:positionV>
            <wp:extent cx="3314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314700" cy="7620"/>
                    </a:xfrm>
                    <a:prstGeom prst="rect">
                      <a:avLst/>
                    </a:prstGeom>
                    <a:noFill/>
                  </pic:spPr>
                </pic:pic>
              </a:graphicData>
            </a:graphic>
          </wp:anchor>
        </w:drawing>
      </w:r>
    </w:p>
    <w:p>
      <w:pPr>
        <w:spacing w:after="0" w:line="1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David H. Mack, Ph.D.</w:t>
      </w:r>
    </w:p>
    <w:p>
      <w:pPr>
        <w:spacing w:after="0" w:line="28"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President, Chief Executive Officer, and Director</w:t>
      </w:r>
    </w:p>
    <w:p>
      <w:pPr>
        <w:spacing w:after="0" w:line="25"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240"/>
          </w:cols>
          <w:pgMar w:left="320" w:top="12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32.2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jc w:val="both"/>
        <w:ind w:right="60" w:firstLine="589"/>
        <w:spacing w:after="0" w:line="271" w:lineRule="auto"/>
        <w:rPr>
          <w:sz w:val="20"/>
          <w:szCs w:val="20"/>
          <w:color w:val="auto"/>
        </w:rPr>
      </w:pPr>
      <w:r>
        <w:rPr>
          <w:rFonts w:ascii="Arial" w:cs="Arial" w:eastAsia="Arial" w:hAnsi="Arial"/>
          <w:sz w:val="16"/>
          <w:szCs w:val="16"/>
          <w:color w:val="auto"/>
        </w:rPr>
        <w:t>In connection with the Quarterly Report on Form 10-Q for the period ended September 30, 2020 of PMV Pharmaceuticals, Inc. (the “Company”)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1160" w:hanging="584"/>
        <w:spacing w:after="0"/>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9" w:lineRule="exact"/>
        <w:rPr>
          <w:rFonts w:ascii="Arial" w:cs="Arial" w:eastAsia="Arial" w:hAnsi="Arial"/>
          <w:sz w:val="16"/>
          <w:szCs w:val="16"/>
          <w:color w:val="auto"/>
        </w:rPr>
      </w:pPr>
    </w:p>
    <w:p>
      <w:pPr>
        <w:ind w:left="1160" w:hanging="584"/>
        <w:spacing w:after="0"/>
        <w:tabs>
          <w:tab w:leader="none" w:pos="11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45"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16"/>
          <w:szCs w:val="16"/>
          <w:color w:val="auto"/>
        </w:rPr>
        <w:t>Date: November 13,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15875</wp:posOffset>
            </wp:positionV>
            <wp:extent cx="3314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3314700" cy="7620"/>
                    </a:xfrm>
                    <a:prstGeom prst="rect">
                      <a:avLst/>
                    </a:prstGeom>
                    <a:noFill/>
                  </pic:spPr>
                </pic:pic>
              </a:graphicData>
            </a:graphic>
          </wp:anchor>
        </w:drawing>
      </w:r>
    </w:p>
    <w:p>
      <w:pPr>
        <w:spacing w:after="0" w:line="13"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Winston Kung</w:t>
      </w:r>
    </w:p>
    <w:p>
      <w:pPr>
        <w:spacing w:after="0" w:line="28"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Chief Operating Officer</w:t>
      </w:r>
    </w:p>
    <w:p>
      <w:pPr>
        <w:spacing w:after="0" w:line="25"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and Chief Financial Officer</w:t>
      </w:r>
    </w:p>
    <w:p>
      <w:pPr>
        <w:spacing w:after="0" w:line="13"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12" Type="http://schemas.openxmlformats.org/officeDocument/2006/relationships/hyperlink" Target="http://www.sec.gov/Archives/edgar/data/0001699382/000119312520257820/d95525dex31.htm" TargetMode="External"/><Relationship Id="rId113" Type="http://schemas.openxmlformats.org/officeDocument/2006/relationships/hyperlink" Target="http://www.sec.gov/Archives/edgar/data/0001699382/000119312520240132/d922470dex32.htm" TargetMode="External"/><Relationship Id="rId114" Type="http://schemas.openxmlformats.org/officeDocument/2006/relationships/hyperlink" Target="http://www.sec.gov/Archives/edgar/data/0001699382/000119312520240132/d922470dex41.htm" TargetMode="External"/><Relationship Id="rId115" Type="http://schemas.openxmlformats.org/officeDocument/2006/relationships/hyperlink" Target="http://www.sec.gov/Archives/edgar/data/0001699382/000119312520249570/d922470dex42.htm" TargetMode="External"/><Relationship Id="rId116" Type="http://schemas.openxmlformats.org/officeDocument/2006/relationships/hyperlink" Target="http://www.sec.gov/Archives/edgar/data/0001699382/000119312520240132/d922470dex101.htm" TargetMode="External"/><Relationship Id="rId117" Type="http://schemas.openxmlformats.org/officeDocument/2006/relationships/hyperlink" Target="http://www.sec.gov/Archives/edgar/data/0001699382/000119312520249570/d922470dex102.htm" TargetMode="External"/><Relationship Id="rId118" Type="http://schemas.openxmlformats.org/officeDocument/2006/relationships/hyperlink" Target="http://www.sec.gov/Archives/edgar/data/0001699382/000119312520249570/d922470dex103.htm" TargetMode="External"/><Relationship Id="rId119" Type="http://schemas.openxmlformats.org/officeDocument/2006/relationships/hyperlink" Target="http://www.sec.gov/Archives/edgar/data/0001699382/000119312520249570/d922470dex104.htm" TargetMode="External"/><Relationship Id="rId120" Type="http://schemas.openxmlformats.org/officeDocument/2006/relationships/hyperlink" Target="http://www.sec.gov/Archives/edgar/data/0001699382/000119312520240132/d922470dex105.htm" TargetMode="External"/><Relationship Id="rId121" Type="http://schemas.openxmlformats.org/officeDocument/2006/relationships/hyperlink" Target="http://www.sec.gov/Archives/edgar/data/0001699382/000119312520240132/d922470dex106.htm" TargetMode="External"/><Relationship Id="rId122" Type="http://schemas.openxmlformats.org/officeDocument/2006/relationships/hyperlink" Target="http://www.sec.gov/Archives/edgar/data/0001699382/000119312520240132/d922470dex107.htm" TargetMode="External"/><Relationship Id="rId123" Type="http://schemas.openxmlformats.org/officeDocument/2006/relationships/hyperlink" Target="http://www.sec.gov/Archives/edgar/data/0001699382/000119312520240132/d922470dex108.htm" TargetMode="External"/><Relationship Id="rId124" Type="http://schemas.openxmlformats.org/officeDocument/2006/relationships/hyperlink" Target="http://www.sec.gov/Archives/edgar/data/0001699382/000119312520240132/d922470dex109.htm" TargetMode="External"/><Relationship Id="rId125" Type="http://schemas.openxmlformats.org/officeDocument/2006/relationships/hyperlink" Target="http://www.sec.gov/Archives/edgar/data/0001699382/000119312520240132/d922470dex1010.htm" TargetMode="External"/><Relationship Id="rId126" Type="http://schemas.openxmlformats.org/officeDocument/2006/relationships/hyperlink" Target="http://www.sec.gov/Archives/edgar/data/0001699382/000119312520240132/d922470dex1011.htm" TargetMode="External"/><Relationship Id="rId127" Type="http://schemas.openxmlformats.org/officeDocument/2006/relationships/hyperlink" Target="http://www.sec.gov/Archives/edgar/data/0001699382/000119312520240132/d922470dex1012.htm" TargetMode="External"/><Relationship Id="rId128" Type="http://schemas.openxmlformats.org/officeDocument/2006/relationships/hyperlink" Target="http://www.sec.gov/Archives/edgar/data/0001699382/000119312520240132/d922470dex1013.htm" TargetMode="External"/><Relationship Id="rId129" Type="http://schemas.openxmlformats.org/officeDocument/2006/relationships/hyperlink" Target="http://www.sec.gov/Archives/edgar/data/0001699382/000119312520240132/d922470dex1014.htm" TargetMode="External"/><Relationship Id="rId130" Type="http://schemas.openxmlformats.org/officeDocument/2006/relationships/hyperlink" Target="http://www.sec.gov/Archives/edgar/data/0001699382/000119312520249570/d922470dex1015.htm" TargetMode="External"/><Relationship Id="rId131" Type="http://schemas.openxmlformats.org/officeDocument/2006/relationships/hyperlink" Target="http://www.sec.gov/Archives/edgar/data/0001699382/000119312520240132/d922470dex1016.htm" TargetMode="External"/><Relationship Id="rId132" Type="http://schemas.openxmlformats.org/officeDocument/2006/relationships/hyperlink" Target="http://www.sec.gov/Archives/edgar/data/0001699382/000119312520240132/d922470dex1017.htm" TargetMode="External"/><Relationship Id="rId133" Type="http://schemas.openxmlformats.org/officeDocument/2006/relationships/hyperlink" Target="http://www.sec.gov/Archives/edgar/data/0001699382/000119312520240132/d922470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2020-11-13T16:23:54Z</dcterms:created>
  <dcterms:modified xsi:type="dcterms:W3CDTF">2020-11-13T16:23:54Z</dcterms:modified>
</cp:coreProperties>
</file>