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October 4, 2021</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374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942"/>
              <w:spacing w:after="0"/>
              <w:rPr>
                <w:sz w:val="20"/>
                <w:szCs w:val="20"/>
                <w:color w:val="auto"/>
              </w:rPr>
            </w:pPr>
            <w:r>
              <w:rPr>
                <w:rFonts w:ascii="Arial" w:cs="Arial" w:eastAsia="Arial" w:hAnsi="Arial"/>
                <w:sz w:val="18"/>
                <w:szCs w:val="18"/>
                <w:b w:val="1"/>
                <w:bCs w:val="1"/>
                <w:color w:val="auto"/>
                <w:w w:val="91"/>
              </w:rPr>
              <w:t>46-3218129</w:t>
            </w:r>
          </w:p>
        </w:tc>
      </w:tr>
      <w:tr>
        <w:trPr>
          <w:trHeight w:val="148"/>
        </w:trPr>
        <w:tc>
          <w:tcPr>
            <w:tcW w:w="3740" w:type="dxa"/>
            <w:vAlign w:val="bottom"/>
          </w:tcPr>
          <w:p>
            <w:pPr>
              <w:jc w:val="center"/>
              <w:ind w:right="1982"/>
              <w:spacing w:after="0" w:line="149" w:lineRule="exact"/>
              <w:rPr>
                <w:sz w:val="20"/>
                <w:szCs w:val="20"/>
                <w:color w:val="auto"/>
              </w:rPr>
            </w:pPr>
            <w:r>
              <w:rPr>
                <w:rFonts w:ascii="Arial" w:cs="Arial" w:eastAsia="Arial" w:hAnsi="Arial"/>
                <w:sz w:val="14"/>
                <w:szCs w:val="14"/>
                <w:color w:val="auto"/>
                <w:w w:val="95"/>
              </w:rPr>
              <w:t>(State or other jurisdiction of</w:t>
            </w:r>
          </w:p>
        </w:tc>
        <w:tc>
          <w:tcPr>
            <w:tcW w:w="3340" w:type="dxa"/>
            <w:vAlign w:val="bottom"/>
          </w:tcPr>
          <w:p>
            <w:pPr>
              <w:jc w:val="center"/>
              <w:ind w:left="1942"/>
              <w:spacing w:after="0" w:line="149" w:lineRule="exact"/>
              <w:rPr>
                <w:sz w:val="20"/>
                <w:szCs w:val="20"/>
                <w:color w:val="auto"/>
              </w:rPr>
            </w:pPr>
            <w:r>
              <w:rPr>
                <w:rFonts w:ascii="Arial" w:cs="Arial" w:eastAsia="Arial" w:hAnsi="Arial"/>
                <w:sz w:val="14"/>
                <w:szCs w:val="14"/>
                <w:color w:val="auto"/>
                <w:w w:val="97"/>
              </w:rPr>
              <w:t>(I.R.S. Employer</w:t>
            </w:r>
          </w:p>
        </w:tc>
      </w:tr>
      <w:tr>
        <w:trPr>
          <w:trHeight w:val="182"/>
        </w:trPr>
        <w:tc>
          <w:tcPr>
            <w:tcW w:w="3740" w:type="dxa"/>
            <w:vAlign w:val="bottom"/>
          </w:tcPr>
          <w:p>
            <w:pPr>
              <w:jc w:val="center"/>
              <w:ind w:right="1942"/>
              <w:spacing w:after="0"/>
              <w:rPr>
                <w:sz w:val="20"/>
                <w:szCs w:val="20"/>
                <w:color w:val="auto"/>
              </w:rPr>
            </w:pPr>
            <w:r>
              <w:rPr>
                <w:rFonts w:ascii="Arial" w:cs="Arial" w:eastAsia="Arial" w:hAnsi="Arial"/>
                <w:sz w:val="14"/>
                <w:szCs w:val="14"/>
                <w:color w:val="auto"/>
                <w:w w:val="94"/>
              </w:rPr>
              <w:t>incorporation or organization)</w:t>
            </w:r>
          </w:p>
        </w:tc>
        <w:tc>
          <w:tcPr>
            <w:tcW w:w="3340" w:type="dxa"/>
            <w:vAlign w:val="bottom"/>
          </w:tcPr>
          <w:p>
            <w:pPr>
              <w:jc w:val="center"/>
              <w:ind w:left="1942"/>
              <w:spacing w:after="0"/>
              <w:rPr>
                <w:sz w:val="20"/>
                <w:szCs w:val="20"/>
                <w:color w:val="auto"/>
              </w:rPr>
            </w:pPr>
            <w:r>
              <w:rPr>
                <w:rFonts w:ascii="Arial" w:cs="Arial" w:eastAsia="Arial" w:hAnsi="Arial"/>
                <w:sz w:val="14"/>
                <w:szCs w:val="14"/>
                <w:color w:val="auto"/>
                <w:w w:val="96"/>
              </w:rPr>
              <w:t>Identification Number)</w:t>
            </w:r>
          </w:p>
        </w:tc>
      </w:tr>
    </w:tbl>
    <w:p>
      <w:pPr>
        <w:spacing w:after="0" w:line="7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 Clarke Drive, Suite 3</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Cranbury, New Jersey 08512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(609) 642-6670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 Clarke Drive, Suite 3</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Cranbury, New Jersey 08512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(609) 642-6670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6" w:lineRule="exact"/>
        <w:rPr>
          <w:sz w:val="24"/>
          <w:szCs w:val="24"/>
          <w:color w:val="auto"/>
        </w:rPr>
      </w:pPr>
    </w:p>
    <w:tbl>
      <w:tblPr>
        <w:tblLayout w:type="fixed"/>
        <w:tblInd w:w="156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Copies to:</w:t>
            </w:r>
          </w:p>
        </w:tc>
      </w:tr>
      <w:tr>
        <w:trPr>
          <w:trHeight w:val="319"/>
        </w:trPr>
        <w:tc>
          <w:tcPr>
            <w:tcW w:w="3180" w:type="dxa"/>
            <w:vAlign w:val="bottom"/>
          </w:tcPr>
          <w:p>
            <w:pPr>
              <w:jc w:val="center"/>
              <w:ind w:right="430"/>
              <w:spacing w:after="0"/>
              <w:rPr>
                <w:sz w:val="20"/>
                <w:szCs w:val="20"/>
                <w:color w:val="auto"/>
              </w:rPr>
            </w:pPr>
            <w:r>
              <w:rPr>
                <w:rFonts w:ascii="Arial" w:cs="Arial" w:eastAsia="Arial" w:hAnsi="Arial"/>
                <w:sz w:val="18"/>
                <w:szCs w:val="18"/>
                <w:b w:val="1"/>
                <w:bCs w:val="1"/>
                <w:color w:val="auto"/>
                <w:w w:val="95"/>
              </w:rPr>
              <w:t>Kenneth A. Clark</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1"/>
              </w:rPr>
              <w:t>Winston Kung</w:t>
            </w:r>
          </w:p>
        </w:tc>
      </w:tr>
      <w:tr>
        <w:trPr>
          <w:trHeight w:val="216"/>
        </w:trPr>
        <w:tc>
          <w:tcPr>
            <w:tcW w:w="318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Tony Jeffries</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3"/>
              </w:rPr>
              <w:t>Chief Operating Officer and</w:t>
            </w:r>
          </w:p>
        </w:tc>
      </w:tr>
      <w:tr>
        <w:trPr>
          <w:trHeight w:val="216"/>
        </w:trPr>
        <w:tc>
          <w:tcPr>
            <w:tcW w:w="318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Megan J. Baier</w:t>
            </w:r>
          </w:p>
        </w:tc>
        <w:tc>
          <w:tcPr>
            <w:tcW w:w="4820" w:type="dxa"/>
            <w:vAlign w:val="bottom"/>
          </w:tcPr>
          <w:p>
            <w:pPr>
              <w:jc w:val="center"/>
              <w:ind w:left="251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318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Wilson Sonsini Goodrich &amp; Rosati,</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2"/>
              </w:rPr>
              <w:t>PMV Pharmaceuticals, Inc.</w:t>
            </w:r>
          </w:p>
        </w:tc>
      </w:tr>
      <w:tr>
        <w:trPr>
          <w:trHeight w:val="216"/>
        </w:trPr>
        <w:tc>
          <w:tcPr>
            <w:tcW w:w="318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Professional Corporation</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3"/>
              </w:rPr>
              <w:t>8 Clarke Drive, Suite 3</w:t>
            </w:r>
          </w:p>
        </w:tc>
      </w:tr>
      <w:tr>
        <w:trPr>
          <w:trHeight w:val="216"/>
        </w:trPr>
        <w:tc>
          <w:tcPr>
            <w:tcW w:w="318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650 Page Mill Road</w:t>
            </w:r>
          </w:p>
        </w:tc>
        <w:tc>
          <w:tcPr>
            <w:tcW w:w="4820" w:type="dxa"/>
            <w:vAlign w:val="bottom"/>
          </w:tcPr>
          <w:p>
            <w:pPr>
              <w:jc w:val="center"/>
              <w:ind w:left="2510"/>
              <w:spacing w:after="0"/>
              <w:rPr>
                <w:sz w:val="20"/>
                <w:szCs w:val="20"/>
                <w:color w:val="auto"/>
              </w:rPr>
            </w:pPr>
            <w:r>
              <w:rPr>
                <w:rFonts w:ascii="Arial" w:cs="Arial" w:eastAsia="Arial" w:hAnsi="Arial"/>
                <w:sz w:val="18"/>
                <w:szCs w:val="18"/>
                <w:b w:val="1"/>
                <w:bCs w:val="1"/>
                <w:color w:val="auto"/>
                <w:w w:val="90"/>
              </w:rPr>
              <w:t>Cranbury, New Jersey 08512</w:t>
            </w:r>
          </w:p>
        </w:tc>
      </w:tr>
      <w:tr>
        <w:trPr>
          <w:trHeight w:val="216"/>
        </w:trPr>
        <w:tc>
          <w:tcPr>
            <w:tcW w:w="318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Palo Alto, California 94304</w:t>
            </w:r>
          </w:p>
        </w:tc>
        <w:tc>
          <w:tcPr>
            <w:tcW w:w="4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0"/>
              </w:rPr>
              <w:t>(609) 642-6670</w:t>
            </w:r>
          </w:p>
        </w:tc>
      </w:tr>
      <w:tr>
        <w:trPr>
          <w:trHeight w:val="234"/>
        </w:trPr>
        <w:tc>
          <w:tcPr>
            <w:tcW w:w="318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(650) 493-9300</w:t>
            </w:r>
          </w:p>
        </w:tc>
        <w:tc>
          <w:tcPr>
            <w:tcW w:w="4820" w:type="dxa"/>
            <w:vAlign w:val="bottom"/>
          </w:tcPr>
          <w:p>
            <w:pPr>
              <w:spacing w:after="0"/>
              <w:rPr>
                <w:sz w:val="20"/>
                <w:szCs w:val="20"/>
                <w:color w:val="auto"/>
              </w:rPr>
            </w:pPr>
          </w:p>
        </w:tc>
      </w:tr>
    </w:tbl>
    <w:p>
      <w:pPr>
        <w:spacing w:after="0" w:line="10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2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117" w:lineRule="exact"/>
        <w:rPr>
          <w:sz w:val="24"/>
          <w:szCs w:val="24"/>
          <w:color w:val="auto"/>
        </w:rPr>
      </w:pPr>
    </w:p>
    <w:p>
      <w:pPr>
        <w:ind w:left="120" w:right="66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left="120" w:right="12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4" w:lineRule="exact"/>
        <w:rPr>
          <w:sz w:val="24"/>
          <w:szCs w:val="24"/>
          <w:color w:val="auto"/>
        </w:rPr>
      </w:pPr>
    </w:p>
    <w:p>
      <w:pPr>
        <w:ind w:left="120" w:right="22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4" w:lineRule="exact"/>
        <w:rPr>
          <w:sz w:val="24"/>
          <w:szCs w:val="24"/>
          <w:color w:val="auto"/>
        </w:rPr>
      </w:pPr>
    </w:p>
    <w:p>
      <w:pPr>
        <w:ind w:left="120" w:right="4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4"/>
          <w:szCs w:val="24"/>
          <w:color w:val="auto"/>
        </w:rPr>
      </w:pPr>
    </w:p>
    <w:p>
      <w:pPr>
        <w:ind w:left="120" w:firstLine="440"/>
        <w:spacing w:after="0" w:line="23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Securities and Exchange Commission, or the Commission, pursuant to Rule 462(e)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7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56"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6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3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3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right"/>
              <w:ind w:right="455"/>
              <w:spacing w:after="0"/>
              <w:rPr>
                <w:sz w:val="20"/>
                <w:szCs w:val="20"/>
                <w:color w:val="auto"/>
              </w:rPr>
            </w:pPr>
            <w:r>
              <w:rPr>
                <w:rFonts w:ascii="Arial" w:cs="Arial" w:eastAsia="Arial" w:hAnsi="Arial"/>
                <w:sz w:val="14"/>
                <w:szCs w:val="14"/>
                <w:b w:val="1"/>
                <w:bCs w:val="1"/>
                <w:color w:val="auto"/>
              </w:rPr>
              <w:t>Amount</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320" w:type="dxa"/>
            <w:vAlign w:val="bottom"/>
            <w:tcBorders>
              <w:right w:val="single" w:sz="8" w:color="auto"/>
            </w:tcBorders>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7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32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right"/>
              <w:ind w:right="555"/>
              <w:spacing w:after="0" w:line="149" w:lineRule="exact"/>
              <w:rPr>
                <w:sz w:val="20"/>
                <w:szCs w:val="20"/>
                <w:color w:val="auto"/>
              </w:rPr>
            </w:pPr>
            <w:r>
              <w:rPr>
                <w:rFonts w:ascii="Arial" w:cs="Arial" w:eastAsia="Arial" w:hAnsi="Arial"/>
                <w:sz w:val="14"/>
                <w:szCs w:val="14"/>
                <w:b w:val="1"/>
                <w:bCs w:val="1"/>
                <w:color w:val="auto"/>
              </w:rPr>
              <w:t>to be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4"/>
                <w:szCs w:val="14"/>
                <w:b w:val="1"/>
                <w:bCs w:val="1"/>
                <w:color w:val="auto"/>
              </w:rPr>
              <w:t>of 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registered(1)(2)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security(3)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price(3)</w:t>
            </w:r>
          </w:p>
        </w:tc>
        <w:tc>
          <w:tcPr>
            <w:tcW w:w="1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registration fee(3)(4)</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Offering of Securities</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Common Stock, par value $0.00001 per share</w:t>
            </w:r>
          </w:p>
        </w:tc>
        <w:tc>
          <w:tcPr>
            <w:tcW w:w="166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Preferred Stock, par value $0.00001 per share</w:t>
            </w:r>
          </w:p>
        </w:tc>
        <w:tc>
          <w:tcPr>
            <w:tcW w:w="166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Debt Securities</w:t>
            </w:r>
          </w:p>
        </w:tc>
        <w:tc>
          <w:tcPr>
            <w:tcW w:w="166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Warrants</w:t>
            </w:r>
          </w:p>
        </w:tc>
        <w:tc>
          <w:tcPr>
            <w:tcW w:w="166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Subscription Rights</w:t>
            </w:r>
          </w:p>
        </w:tc>
        <w:tc>
          <w:tcPr>
            <w:tcW w:w="166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Purchase Contracts</w:t>
            </w:r>
          </w:p>
        </w:tc>
        <w:tc>
          <w:tcPr>
            <w:tcW w:w="166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Units</w:t>
            </w:r>
            <w:r>
              <w:rPr>
                <w:rFonts w:ascii="Arial" w:cs="Arial" w:eastAsia="Arial" w:hAnsi="Arial"/>
                <w:sz w:val="15"/>
                <w:szCs w:val="15"/>
                <w:color w:val="auto"/>
              </w:rPr>
              <w:t>(5)</w:t>
            </w:r>
          </w:p>
        </w:tc>
        <w:tc>
          <w:tcPr>
            <w:tcW w:w="166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657"/>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Offering of Securities</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Common Stock, par value $0.00001 per share</w:t>
            </w:r>
          </w:p>
        </w:tc>
        <w:tc>
          <w:tcPr>
            <w:tcW w:w="1660" w:type="dxa"/>
            <w:vAlign w:val="bottom"/>
            <w:tcBorders>
              <w:bottom w:val="single" w:sz="8" w:color="auto"/>
              <w:right w:val="single" w:sz="8" w:color="auto"/>
            </w:tcBorders>
          </w:tcPr>
          <w:p>
            <w:pPr>
              <w:jc w:val="right"/>
              <w:ind w:right="595"/>
              <w:spacing w:after="0"/>
              <w:rPr>
                <w:sz w:val="20"/>
                <w:szCs w:val="20"/>
                <w:color w:val="auto"/>
              </w:rPr>
            </w:pPr>
            <w:r>
              <w:rPr>
                <w:rFonts w:ascii="Arial" w:cs="Arial" w:eastAsia="Arial" w:hAnsi="Arial"/>
                <w:sz w:val="18"/>
                <w:szCs w:val="18"/>
                <w:color w:val="auto"/>
              </w:rPr>
              <w:t>(6)</w:t>
            </w: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$150,000,000</w:t>
            </w:r>
          </w:p>
        </w:tc>
        <w:tc>
          <w:tcPr>
            <w:tcW w:w="174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$13,905</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(1)(2)</w:t>
            </w:r>
          </w:p>
        </w:tc>
        <w:tc>
          <w:tcPr>
            <w:tcW w:w="1640" w:type="dxa"/>
            <w:vAlign w:val="bottom"/>
            <w:tcBorders>
              <w:bottom w:val="single" w:sz="8" w:color="auto"/>
              <w:right w:val="single" w:sz="8" w:color="auto"/>
            </w:tcBorders>
          </w:tcPr>
          <w:p>
            <w:pPr>
              <w:jc w:val="right"/>
              <w:ind w:right="597"/>
              <w:spacing w:after="0"/>
              <w:rPr>
                <w:sz w:val="20"/>
                <w:szCs w:val="20"/>
                <w:color w:val="auto"/>
              </w:rPr>
            </w:pPr>
            <w:r>
              <w:rPr>
                <w:rFonts w:ascii="Arial" w:cs="Arial" w:eastAsia="Arial" w:hAnsi="Arial"/>
                <w:sz w:val="18"/>
                <w:szCs w:val="18"/>
                <w:color w:val="auto"/>
              </w:rPr>
              <w:t>(3)</w:t>
            </w:r>
          </w:p>
        </w:tc>
        <w:tc>
          <w:tcPr>
            <w:tcW w:w="1660" w:type="dxa"/>
            <w:vAlign w:val="bottom"/>
            <w:tcBorders>
              <w:bottom w:val="single" w:sz="8" w:color="auto"/>
              <w:right w:val="single" w:sz="8" w:color="auto"/>
            </w:tcBorders>
          </w:tcPr>
          <w:p>
            <w:pPr>
              <w:jc w:val="right"/>
              <w:ind w:right="596"/>
              <w:spacing w:after="0"/>
              <w:rPr>
                <w:sz w:val="20"/>
                <w:szCs w:val="20"/>
                <w:color w:val="auto"/>
              </w:rPr>
            </w:pPr>
            <w:r>
              <w:rPr>
                <w:rFonts w:ascii="Arial" w:cs="Arial" w:eastAsia="Arial" w:hAnsi="Arial"/>
                <w:sz w:val="18"/>
                <w:szCs w:val="18"/>
                <w:color w:val="auto"/>
              </w:rPr>
              <w:t>(3)</w:t>
            </w:r>
          </w:p>
        </w:tc>
        <w:tc>
          <w:tcPr>
            <w:tcW w:w="174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40" w:hanging="424"/>
        <w:spacing w:after="0" w:line="287"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securities registered hereunder include such indeterminate number of (a) shares of common stock, (b) shares of preferred stock, (c) debt securities, (d) warrants to purchase common stock, preferred stock or debt securities of the registrant, (e) subscription rights to purchase common stock, preferred stock, debt securities, warrants or units consisting of some or all of these securities of the registrant, (f) purchase contracts, and</w:t>
      </w:r>
    </w:p>
    <w:p>
      <w:pPr>
        <w:spacing w:after="0" w:line="1" w:lineRule="exact"/>
        <w:rPr>
          <w:rFonts w:ascii="Arial" w:cs="Arial" w:eastAsia="Arial" w:hAnsi="Arial"/>
          <w:sz w:val="16"/>
          <w:szCs w:val="16"/>
          <w:color w:val="auto"/>
        </w:rPr>
      </w:pPr>
    </w:p>
    <w:p>
      <w:pPr>
        <w:ind w:left="540" w:right="80"/>
        <w:spacing w:after="0" w:line="250" w:lineRule="auto"/>
        <w:rPr>
          <w:rFonts w:ascii="Arial" w:cs="Arial" w:eastAsia="Arial" w:hAnsi="Arial"/>
          <w:sz w:val="16"/>
          <w:szCs w:val="16"/>
          <w:color w:val="auto"/>
        </w:rPr>
      </w:pPr>
      <w:r>
        <w:rPr>
          <w:rFonts w:ascii="Arial" w:cs="Arial" w:eastAsia="Arial" w:hAnsi="Arial"/>
          <w:sz w:val="18"/>
          <w:szCs w:val="18"/>
          <w:color w:val="auto"/>
        </w:rPr>
        <w:t>(g)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 issuance.</w:t>
      </w:r>
    </w:p>
    <w:p>
      <w:pPr>
        <w:spacing w:after="0" w:line="1" w:lineRule="exact"/>
        <w:rPr>
          <w:rFonts w:ascii="Arial" w:cs="Arial" w:eastAsia="Arial" w:hAnsi="Arial"/>
          <w:sz w:val="16"/>
          <w:szCs w:val="16"/>
          <w:color w:val="auto"/>
        </w:rPr>
      </w:pPr>
    </w:p>
    <w:p>
      <w:pPr>
        <w:ind w:left="540" w:right="20" w:hanging="424"/>
        <w:spacing w:after="0" w:line="265"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ind w:left="540" w:right="10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pursuant to General Instruction II.E. of Form S-3 under the Securities Act. Separate consideration may or may not be received for securities that are issuable on exercise, conversion or exchange of other securities, or that are issued in units.</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except with respect to $13,905 to be paid in connection with the primary offering of common stock described in this table, which is being paid with the filing of this registration statement pursuant to Rule 457(o) and Rule 457(r) under the Securities Act, the registrant is deferring payment of the registration fee. Any registration fees will be paid subsequently on a pay-as-you-go basis in accordance with Rule 457(r).</w:t>
      </w:r>
    </w:p>
    <w:p>
      <w:pPr>
        <w:spacing w:after="0" w:line="1"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Consisting of some or all of the securities listed above, in any combination, including common stock, preferred stock, debt securities, warrants, purchase contracts and subscription rights.</w:t>
      </w:r>
    </w:p>
    <w:p>
      <w:pPr>
        <w:ind w:left="540" w:hanging="42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number of shares of common stock is being registered as may from time to time be offered hereunder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149225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registration statement contains:</w:t>
      </w:r>
    </w:p>
    <w:p>
      <w:pPr>
        <w:spacing w:after="0" w:line="131" w:lineRule="exact"/>
        <w:rPr>
          <w:sz w:val="20"/>
          <w:szCs w:val="20"/>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sale and issuance by us of the securities identified above from time to time in one or more offerings;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sales agreement prospectus supplement covering the offering, issuance and sale by us of up to a maximum aggregate offering price of $150.0 million of our common stock that may be issued and sold from time to time under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with Jefferies LLC, or Jefferies.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base prospectus immediately follows this explanatory note. The specific terms of any other securities to be offered pursuant to the base prospectus will be specified in one or more prospectus supplements to the base prospectus. The sales agreement prospectus supplement immediately follows the base prospectus.</w:t>
      </w:r>
    </w:p>
    <w:p>
      <w:pPr>
        <w:sectPr>
          <w:pgSz w:w="11900" w:h="16838" w:orient="portrait"/>
          <w:cols w:equalWidth="0" w:num="1">
            <w:col w:w="10840"/>
          </w:cols>
          <w:pgMar w:left="320" w:top="459" w:right="7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171450</wp:posOffset>
            </wp:positionV>
            <wp:extent cx="3377565"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775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PMV Pharmaceuticals, Inc.</w:t>
      </w: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securities covered by this prospectus may be sold by PMV Pharmaceuticals, Inc. from time to time. This prospectus provides you with a general description of the securities.</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“PMVP.” Each prospectus supplement will indicate whether the securities offered thereby will be listed on any securities exchange.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an “emerging growth company” as defined under the federal securities laws, and, as such, may elect to comply with certain reduced public company reporting requirements for this and future filings.</w:t>
      </w:r>
    </w:p>
    <w:p>
      <w:pPr>
        <w:spacing w:after="0" w:line="166" w:lineRule="exact"/>
        <w:rPr>
          <w:sz w:val="20"/>
          <w:szCs w:val="20"/>
          <w:color w:val="auto"/>
        </w:rPr>
      </w:pPr>
    </w:p>
    <w:p>
      <w:pPr>
        <w:ind w:left="120" w:right="140" w:firstLine="44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PLEASE CAREFULLY READ THE INFORMATION UNDER THE HEADINGS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4 OF THIS PROSPECTUS AND ANY SIMILAR SECTION CONTAINED IN THE APPLICABLE PROSPECTUS SUPPLEMENT AND “ITEM 1A – RISK FACTORS” OF OUR MOST RECENT REPORT ON FORM 10-K OR 10-Q THAT IS INCORPORATED BY REFERENCE IN THIS PROSPECTUS BEFORE YOU INVEST IN OUR SECURITIES.</w:t>
      </w:r>
    </w:p>
    <w:p>
      <w:pPr>
        <w:spacing w:after="0" w:line="183" w:lineRule="exact"/>
        <w:rPr>
          <w:sz w:val="20"/>
          <w:szCs w:val="20"/>
          <w:color w:val="auto"/>
        </w:rPr>
      </w:pPr>
    </w:p>
    <w:p>
      <w:pPr>
        <w:ind w:left="120" w:right="10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October 4, 2021.</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780" w:type="dxa"/>
            <w:vAlign w:val="bottom"/>
            <w:gridSpan w:val="2"/>
          </w:tcPr>
          <w:p>
            <w:pPr>
              <w:ind w:left="6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80" w:type="dxa"/>
            <w:vAlign w:val="bottom"/>
            <w:gridSpan w:val="7"/>
            <w:vMerge w:val="restart"/>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About this Prospectus</w:t>
              </w:r>
            </w:hyperlink>
          </w:p>
        </w:tc>
        <w:tc>
          <w:tcPr>
            <w:tcW w:w="9080" w:type="dxa"/>
            <w:vAlign w:val="bottom"/>
            <w:gridSpan w:val="8"/>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0000EE"/>
            </w:tcBorders>
            <w:gridSpan w:val="7"/>
            <w:vMerge w:val="continue"/>
          </w:tcPr>
          <w:p>
            <w:pPr>
              <w:spacing w:after="0"/>
              <w:rPr>
                <w:sz w:val="13"/>
                <w:szCs w:val="13"/>
                <w:color w:val="auto"/>
              </w:rPr>
            </w:pPr>
          </w:p>
        </w:tc>
        <w:tc>
          <w:tcPr>
            <w:tcW w:w="9080" w:type="dxa"/>
            <w:vAlign w:val="bottom"/>
            <w:gridSpan w:val="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91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Special Note Regarding Forward-Looking Statements</w:t>
              </w:r>
            </w:hyperlink>
          </w:p>
        </w:tc>
        <w:tc>
          <w:tcPr>
            <w:tcW w:w="67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Securities</w:t>
              </w:r>
            </w:hyperlink>
          </w:p>
        </w:tc>
        <w:tc>
          <w:tcPr>
            <w:tcW w:w="86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Debt Securities</w:t>
              </w:r>
            </w:hyperlink>
          </w:p>
        </w:tc>
        <w:tc>
          <w:tcPr>
            <w:tcW w:w="848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Plan of Distribution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92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966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Incorporation by Reference</w:t>
              </w:r>
            </w:hyperlink>
          </w:p>
        </w:tc>
        <w:tc>
          <w:tcPr>
            <w:tcW w:w="880" w:type="dxa"/>
            <w:vAlign w:val="bottom"/>
            <w:tcBorders>
              <w:top w:val="single" w:sz="8" w:color="0000EE"/>
            </w:tcBorders>
            <w:gridSpan w:val="3"/>
          </w:tcPr>
          <w:p>
            <w:pPr>
              <w:spacing w:after="0"/>
              <w:rPr>
                <w:sz w:val="17"/>
                <w:szCs w:val="17"/>
                <w:color w:val="auto"/>
              </w:rPr>
            </w:pPr>
          </w:p>
        </w:tc>
        <w:tc>
          <w:tcPr>
            <w:tcW w:w="78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Disclosure of Commission Position on Indemnification for Securities Act Liabilities</w:t>
              </w:r>
            </w:hyperlink>
          </w:p>
        </w:tc>
        <w:tc>
          <w:tcPr>
            <w:tcW w:w="46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as a “well-known seasoned issuer” as defined in Rule 405 under the Securities Act of 1933, as amended, or the Securities Act, using a “shelf” registration process. By using a shelf registration statement, we may sell securities from time to time and in one or more offerings as described in this prospectus.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this prospectus, the applicable prospectus supplement and any related free writing prospectus, together with the additional information described under the heading “Where You Can Find More Information” and “Incorporation by Reference.”</w:t>
      </w:r>
    </w:p>
    <w:p>
      <w:pPr>
        <w:spacing w:after="0" w:line="17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have not authorized anyone to provide you with information or to make any representations other than those contained or incorporated by reference in this prospectus, the applicable prospectus supplement or in any related free writing prospectus prepared by or on behalf of us to which we have referred you. We take no responsibility for, and can provide no assurance as to the reliability of, any other information that others may give you.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materially since those dates. This prospectus and the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“PMV Pharmaceuticals, Inc.,” “we,” “our” and “us” refer, collectively, to PMV Pharmaceuticals, Inc., a Delaware corporation.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80" w:firstLine="426"/>
        <w:spacing w:after="0" w:line="290" w:lineRule="auto"/>
        <w:rPr>
          <w:sz w:val="20"/>
          <w:szCs w:val="20"/>
          <w:color w:val="auto"/>
        </w:rPr>
      </w:pPr>
      <w:r>
        <w:rPr>
          <w:rFonts w:ascii="Arial" w:cs="Arial" w:eastAsia="Arial" w:hAnsi="Arial"/>
          <w:sz w:val="16"/>
          <w:szCs w:val="16"/>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65"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initiated a Phase 1/2 clinical trial in October 2020. Our strategy is to seek approval under an accelerated pathway, and we believe our Phase 1/2 clinical trial has the potential to serve as a pivotal study. In October 2020, we were granted U.S. Food and Drug Administration, or the FDA, Fast Track designation of PC14586 for the treatment of patients with locally advanced or metastatic solid tumors that have a p53 Y220C mutation. We dosed our first patient in this clinical trial in the fourth quarter of 2020. We cannot guarantee that the FDA will agree with this strategy of utilizing the Phase 1/2 clinical trial as a pivotal study, which could require us to conduct additional clinical trials prior to seeking FDA approval. In addition, we are leveraging our precision oncology platform to develop a pipeline of oral small molecule product candidates that structurally correct other p53 hotspot mutations to restore their wild-type function.</w:t>
      </w:r>
    </w:p>
    <w:p>
      <w:pPr>
        <w:spacing w:after="0" w:line="179"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903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6903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31" w:lineRule="exact"/>
        <w:rPr>
          <w:sz w:val="20"/>
          <w:szCs w:val="20"/>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targeting individual mutations;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ability to design structure-based oral small molecule product candidates that selectively target and correct specific p53 mutants; and</w:t>
      </w:r>
    </w:p>
    <w:p>
      <w:pPr>
        <w:spacing w:after="0" w:line="153" w:lineRule="exact"/>
        <w:rPr>
          <w:rFonts w:ascii="Arial" w:cs="Arial" w:eastAsia="Arial" w:hAnsi="Arial"/>
          <w:sz w:val="16"/>
          <w:szCs w:val="16"/>
          <w:color w:val="auto"/>
        </w:rPr>
      </w:pPr>
    </w:p>
    <w:p>
      <w:pPr>
        <w:ind w:left="1240" w:right="4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assays, screens, preclinical model systems and biomarkers that enable us to assess and optimize selective small molecule product candidates for specific p53 mutants.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right="100" w:firstLine="426"/>
        <w:spacing w:after="0" w:line="301" w:lineRule="auto"/>
        <w:rPr>
          <w:sz w:val="20"/>
          <w:szCs w:val="20"/>
          <w:color w:val="auto"/>
        </w:rPr>
      </w:pPr>
      <w:r>
        <w:rPr>
          <w:rFonts w:ascii="Arial" w:cs="Arial" w:eastAsia="Arial" w:hAnsi="Arial"/>
          <w:sz w:val="16"/>
          <w:szCs w:val="16"/>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That May Be Offered</w:t>
      </w:r>
    </w:p>
    <w:p>
      <w:pPr>
        <w:spacing w:after="0" w:line="121" w:lineRule="exact"/>
        <w:rPr>
          <w:sz w:val="20"/>
          <w:szCs w:val="20"/>
          <w:color w:val="auto"/>
        </w:rPr>
      </w:pPr>
    </w:p>
    <w:p>
      <w:pPr>
        <w:jc w:val="both"/>
        <w:ind w:left="300" w:right="320" w:firstLine="426"/>
        <w:spacing w:after="0" w:line="311" w:lineRule="auto"/>
        <w:rPr>
          <w:sz w:val="20"/>
          <w:szCs w:val="20"/>
          <w:color w:val="auto"/>
        </w:rPr>
      </w:pPr>
      <w:r>
        <w:rPr>
          <w:rFonts w:ascii="Arial" w:cs="Arial" w:eastAsia="Arial" w:hAnsi="Arial"/>
          <w:sz w:val="16"/>
          <w:szCs w:val="16"/>
          <w:color w:val="auto"/>
        </w:rPr>
        <w:t>We may offer or sell common stock, preferred stock, debt securities, warrants, subscription rights, purchase contracts and units in one or more offerings and in any combination.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49"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300" w:right="160" w:firstLine="426"/>
        <w:spacing w:after="0" w:line="257" w:lineRule="auto"/>
        <w:rPr>
          <w:sz w:val="20"/>
          <w:szCs w:val="20"/>
          <w:color w:val="auto"/>
        </w:rPr>
      </w:pPr>
      <w:r>
        <w:rPr>
          <w:rFonts w:ascii="Arial" w:cs="Arial" w:eastAsia="Arial" w:hAnsi="Arial"/>
          <w:sz w:val="18"/>
          <w:szCs w:val="18"/>
          <w:color w:val="auto"/>
        </w:rPr>
        <w:t>We may offer shares of our common stock, par value $0.00001 per share, either alone or underlying other registered securities convertible into our common stock. Holders of our common stock are entitled to receive dividends, if any, as may be declared from time to time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300" w:right="140" w:firstLine="426"/>
        <w:spacing w:after="0" w:line="255" w:lineRule="auto"/>
        <w:rPr>
          <w:sz w:val="20"/>
          <w:szCs w:val="20"/>
          <w:color w:val="auto"/>
        </w:rPr>
      </w:pPr>
      <w:r>
        <w:rPr>
          <w:rFonts w:ascii="Arial" w:cs="Arial" w:eastAsia="Arial" w:hAnsi="Arial"/>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17"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6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264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59" w:lineRule="auto"/>
        <w:rPr>
          <w:sz w:val="20"/>
          <w:szCs w:val="20"/>
          <w:color w:val="auto"/>
        </w:rPr>
      </w:pPr>
      <w:r>
        <w:rPr>
          <w:rFonts w:ascii="Arial" w:cs="Arial" w:eastAsia="Arial" w:hAnsi="Arial"/>
          <w:sz w:val="18"/>
          <w:szCs w:val="18"/>
          <w:color w:val="auto"/>
        </w:rPr>
        <w:t>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7" w:lineRule="exact"/>
        <w:rPr>
          <w:sz w:val="20"/>
          <w:szCs w:val="20"/>
          <w:color w:val="auto"/>
        </w:rPr>
      </w:pPr>
    </w:p>
    <w:p>
      <w:pPr>
        <w:jc w:val="both"/>
        <w:ind w:left="300" w:right="260" w:firstLine="426"/>
        <w:spacing w:after="0" w:line="311" w:lineRule="auto"/>
        <w:rPr>
          <w:sz w:val="20"/>
          <w:szCs w:val="20"/>
          <w:color w:val="auto"/>
        </w:rPr>
      </w:pPr>
      <w:r>
        <w:rPr>
          <w:rFonts w:ascii="Arial" w:cs="Arial" w:eastAsia="Arial" w:hAnsi="Arial"/>
          <w:sz w:val="16"/>
          <w:szCs w:val="16"/>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We may offer warrants for the purchase of common stock, preferred stock or debt securities. We may offer warrants independently or together with other securities.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Subscription Rights</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Purchase Contracts</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We may offer purchase contracts, including contracts obligating holders or us to purchase from the other a specific or variable number of securities at a future date or dates.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Units</w:t>
      </w:r>
    </w:p>
    <w:p>
      <w:pPr>
        <w:spacing w:after="0" w:line="117"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or Current Reports on Form 8-K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will set forth in the applicable prospectus supplement our intended use for the net proceeds received from the sale of any securities. We will retain broad discretion over the use of the net proceeds to us from the sale of our securities under this prospectus. Pending our use of the net proceeds from the sale of our securities, we intend to invest the net proceeds in bank deposits, money market funds, treasury obligations, and investment-grade securities.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have been filed with the SEC as exhibits to our registration statement, of which this prospectus forms a part.</w:t>
      </w:r>
    </w:p>
    <w:p>
      <w:pPr>
        <w:spacing w:after="0" w:line="14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authorized capital stock consists of 1,000,000,000 shares of common stock, par value $0.00001 per share, and 5,000,000 shares of preferred stock, par value $0.00001 per share. The number of beneficial stockholders is substantially greater than the number of stockholders of record as a large portion of our common stock is held through brokerage firms.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stockholders do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preferred stock we may issue will be fully paid and nonassessable upon issuance.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Certain holders of our common stock are entitled to certain registration rights pursuant to our investors’ rights agreement, as amended. Holders of such shares of our common stock have the right to require us to register the offer and sale of their shares or to include their shares in any registration statement we file, in each case as described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Certain holders of shares of our common stock are entitled to certain demand registration rights. At any time beginning after 180 days following the date of our initial public offering, the holders of at least 30%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after deducting underwriting discounts and expenses, is at least $5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Certain holders of shares of our common stock are entitled to certain Form S-3 registration rights.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$5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twelve-month period, for a period of up to 90 days.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Certain holders of shares of our common stock are entitled to certain “piggyback” registration rights. If we propose to register the offer and sale of shares of our common stock under the Securities Act, all holders of these shares then outstanding can request that we include their shares in such registration, subject to certain marketing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related to any employee benefit plan,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pay all expenses relating to any demand registrations, Form S-3 registrations and piggyback registrations, subject to specified exceptions.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The registration rights terminate upon the earliest of (i) September 29, 2025, (ii) immediately prior to the completion of certain liquidation events and (iii) as to a given holder of registration rights, the date after the closing of our initial public offering when such holder of registration rights can sell all of such holder’s registrable securities during any 90-day period pursuant to Rule 144 promulgated under the Securities Act.</w:t>
      </w:r>
    </w:p>
    <w:p>
      <w:pPr>
        <w:spacing w:after="0" w:line="269"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Certain provisions of the General Corporation Law of the State of Delaware, or DGCL,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contains an equal number of directors, as nearly as possible, consisting of one third of the total number of directors constituting the entire board of directors.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a meeting of stockholders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do not have the right to cumulate votes in the election of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except as otherwise required by law or subject to the terms of any series of preferred stock,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bylaws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must be delivered to and received at our principal executive offices before notice of the meeting is issued by the secretary of the company, with such notice being served not less than 90 nor more than 120 days before the meeting. Although our amended and restated bylaws do not give the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except that amendment of certain provisions would require the approval of two-thirds of our then outstanding common stock.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Liability and Indemnification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“PMVP.”</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 and registrar’s address is 6201 15th Avenue, Brooklyn, New York 11219. The transfer agent and registrar’s phone number is 800-937-5449.</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to common stock and preferred stock, we may issue from time to time, in one or more offerings, the following securities:</w:t>
      </w:r>
    </w:p>
    <w:p>
      <w:pPr>
        <w:spacing w:after="0" w:line="14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debt securities, which may be senior or subordinated, and which may be convertible into our common stock or be non-convertible;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to purchase from us shares of our common stock or preferred stock or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subscription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units representing two or more of the foregoing securities.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the securities that may be offered by us under this prospectus. The terms of the offering of securities, the offering price and the net proceeds to us will be contained in the prospectus supplement, and other offering material, relating to such offer.</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any applicable prospectus supplement or in the indenture with respect to the debt securities and any change in the acceleration provisions described in this prospectus, any applicable prospectus supplement or in the indenture with respect to the debt securities;</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any applicable prospectus supplement or in the indenture with respect to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Global Debt Securities and Book-Entry System</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76" w:lineRule="exact"/>
        <w:rPr>
          <w:sz w:val="20"/>
          <w:szCs w:val="20"/>
          <w:color w:val="auto"/>
        </w:rPr>
      </w:pPr>
    </w:p>
    <w:p>
      <w:pPr>
        <w:ind w:left="1080" w:right="4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320" w:firstLine="96"/>
        <w:spacing w:after="0" w:line="623" w:lineRule="auto"/>
        <w:tabs>
          <w:tab w:leader="none" w:pos="1092" w:val="left"/>
        </w:tabs>
        <w:numPr>
          <w:ilvl w:val="0"/>
          <w:numId w:val="8"/>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applicable prospectus supplement relating to any series of debt securities that are discount securities for the particular provisions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relating to acceleration of a portion of the principal amount of such discount securities upon the occurrence of an Event of Default.</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Legal Defeasance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we may be discharged from any and all obligations in respect of the debt securities of any series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Defeasance of Certain Covenants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upon compliance with certain conditions:</w:t>
      </w:r>
    </w:p>
    <w:p>
      <w:pPr>
        <w:spacing w:after="0" w:line="76" w:lineRule="exact"/>
        <w:rPr>
          <w:sz w:val="20"/>
          <w:szCs w:val="20"/>
          <w:color w:val="auto"/>
        </w:rPr>
      </w:pPr>
    </w:p>
    <w:p>
      <w:pPr>
        <w:ind w:left="1080" w:right="16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73"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3"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to which we are a party;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75"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may sell our securities from time to time in one or more transactions. We may sell securities to or through underwriters, dealers, agents, remarketing firms or other third parties to directly to one or more purchasers or through a combination of any of these methods. We may issue the securities as a dividend or distribution or in a subscription rights offering to our existing securityholders, if legally permitted. In some cases, we or dealers acting with us or on behalf of us may also purchase our securities and reoffer them to the public. We may also offer and sell, or agree to deliver, our securities pursuant to, or in connection with, any option agreement or other contractual arrangement.</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engage in at the market offerings into an existing trading market in accordance with Rule 415(a)(4) of the Securities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 fixed price or prices that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84"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supplement is delivered, we will sell such securities to the dealer, as principal. The dealer may then resell such securities to the public at varying prices to be determined by such dealer at the time of resale.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70"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underwriters and other persons acting as agents will not have any responsibility in respect of the validity or performance of delayed delivery contracts.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92"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validity of the securities offered hereby on behalf of PMV Pharmaceuticals, Inc. will be passed upon for us by Wilson Sonsini Goodrich &amp; Rosati, Professional Corporation, New York, New York. Certain members of, and investment partnerships comprised of members of, and persons associated with, Wilson Sonsini Goodrich &amp; Rosati, Professional Corporation own less than one percent of our common stock. Additional legal matters may be passed on for us, or any underwriters, dealers or agents by counsel we will name in the applicable prospectus supplement.</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financial statements of PMV Pharmaceuticals, Inc. as of December 31, 2020 and 2019, and for each of the years in the three-year period ended December 31, 2020, have been incorporated by reference herein upon the report of Ernst &amp; Young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and the inclusion of our website address in this prospectus is an inactive textual reference only.</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1" w:lineRule="exact"/>
        <w:rPr>
          <w:sz w:val="20"/>
          <w:szCs w:val="20"/>
          <w:color w:val="auto"/>
        </w:rPr>
      </w:pPr>
    </w:p>
    <w:p>
      <w:pPr>
        <w:ind w:left="5540" w:right="2000" w:hanging="4884"/>
        <w:spacing w:after="0" w:line="449" w:lineRule="auto"/>
        <w:tabs>
          <w:tab w:leader="none" w:pos="10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2020, filed with the SEC on </w:t>
      </w:r>
      <w:hyperlink r:id="rId51">
        <w:r>
          <w:rPr>
            <w:rFonts w:ascii="Arial" w:cs="Arial" w:eastAsia="Arial" w:hAnsi="Arial"/>
            <w:sz w:val="18"/>
            <w:szCs w:val="18"/>
            <w:u w:val="single" w:color="auto"/>
            <w:color w:val="0000EE"/>
          </w:rPr>
          <w:t>March 3, 2021</w:t>
        </w:r>
      </w:hyperlink>
      <w:r>
        <w:rPr>
          <w:rFonts w:ascii="Arial" w:cs="Arial" w:eastAsia="Arial" w:hAnsi="Arial"/>
          <w:sz w:val="18"/>
          <w:szCs w:val="18"/>
          <w:color w:val="auto"/>
        </w:rPr>
        <w:t>; 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2021, filed with the SEC on </w:t>
      </w:r>
      <w:hyperlink r:id="rId53">
        <w:r>
          <w:rPr>
            <w:rFonts w:ascii="Arial" w:cs="Arial" w:eastAsia="Arial" w:hAnsi="Arial"/>
            <w:sz w:val="18"/>
            <w:szCs w:val="18"/>
            <w:u w:val="single" w:color="auto"/>
            <w:color w:val="0000EE"/>
          </w:rPr>
          <w:t>May 14, 2021</w:t>
        </w:r>
      </w:hyperlink>
      <w:r>
        <w:rPr>
          <w:rFonts w:ascii="Arial" w:cs="Arial" w:eastAsia="Arial" w:hAnsi="Arial"/>
          <w:sz w:val="18"/>
          <w:szCs w:val="18"/>
          <w:color w:val="auto"/>
        </w:rPr>
        <w:t xml:space="preserve">, and June 30, 2021, filed with the SEC on </w:t>
      </w:r>
      <w:hyperlink r:id="rId54">
        <w:r>
          <w:rPr>
            <w:rFonts w:ascii="Arial" w:cs="Arial" w:eastAsia="Arial" w:hAnsi="Arial"/>
            <w:sz w:val="18"/>
            <w:szCs w:val="18"/>
            <w:u w:val="single" w:color="auto"/>
            <w:color w:val="0000EE"/>
          </w:rPr>
          <w:t>August 13,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Schedule 14A (other than information furnished rather than filed) that are incorporated by reference into our Annual Report on Form 10-K, filed with the SEC on </w:t>
      </w:r>
      <w:hyperlink r:id="rId55">
        <w:r>
          <w:rPr>
            <w:rFonts w:ascii="Arial" w:cs="Arial" w:eastAsia="Arial" w:hAnsi="Arial"/>
            <w:sz w:val="18"/>
            <w:szCs w:val="18"/>
            <w:u w:val="single" w:color="auto"/>
            <w:color w:val="0000EE"/>
          </w:rPr>
          <w:t>April 23,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56">
        <w:r>
          <w:rPr>
            <w:rFonts w:ascii="Arial" w:cs="Arial" w:eastAsia="Arial" w:hAnsi="Arial"/>
            <w:sz w:val="18"/>
            <w:szCs w:val="18"/>
            <w:u w:val="single" w:color="auto"/>
            <w:color w:val="0000EE"/>
          </w:rPr>
          <w:t>April 6,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Items 7.01 and 9.01) and </w:t>
      </w:r>
      <w:hyperlink r:id="rId57">
        <w:r>
          <w:rPr>
            <w:rFonts w:ascii="Arial" w:cs="Arial" w:eastAsia="Arial" w:hAnsi="Arial"/>
            <w:sz w:val="18"/>
            <w:szCs w:val="18"/>
            <w:u w:val="single" w:color="auto"/>
            <w:color w:val="0000EE"/>
          </w:rPr>
          <w:t>June 7, 2021</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relating thereto, filed on </w:t>
      </w:r>
      <w:hyperlink r:id="rId58">
        <w:r>
          <w:rPr>
            <w:rFonts w:ascii="Arial" w:cs="Arial" w:eastAsia="Arial" w:hAnsi="Arial"/>
            <w:sz w:val="18"/>
            <w:szCs w:val="18"/>
            <w:u w:val="single" w:color="auto"/>
            <w:color w:val="0000EE"/>
          </w:rPr>
          <w:t>September 21, 2020</w:t>
        </w:r>
      </w:hyperlink>
      <w:r>
        <w:rPr>
          <w:rFonts w:ascii="Arial" w:cs="Arial" w:eastAsia="Arial" w:hAnsi="Arial"/>
          <w:sz w:val="18"/>
          <w:szCs w:val="18"/>
          <w:color w:val="auto"/>
        </w:rPr>
        <w:t>, including any amendment or report filed for the purpose of updating such description.</w:t>
      </w:r>
    </w:p>
    <w:p>
      <w:pPr>
        <w:spacing w:after="0" w:line="17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PMV Pharmaceuticals,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8 Clarke Drive, Suite 3</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Cranbury, New Jersey 08512</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(609) 642-6670</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00"/>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rFonts w:ascii="Arial" w:cs="Arial" w:eastAsia="Arial" w:hAnsi="Arial"/>
          <w:sz w:val="18"/>
          <w:szCs w:val="18"/>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6"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1591945</wp:posOffset>
            </wp:positionV>
            <wp:extent cx="3377565" cy="660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3377565" cy="660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20"/>
        <w:spacing w:after="0"/>
        <w:rPr>
          <w:sz w:val="20"/>
          <w:szCs w:val="20"/>
          <w:color w:val="auto"/>
        </w:rPr>
      </w:pPr>
      <w:r>
        <w:rPr>
          <w:rFonts w:ascii="Arial" w:cs="Arial" w:eastAsia="Arial" w:hAnsi="Arial"/>
          <w:sz w:val="30"/>
          <w:szCs w:val="30"/>
          <w:b w:val="1"/>
          <w:bCs w:val="1"/>
          <w:color w:val="auto"/>
        </w:rPr>
        <w:t>PMV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705485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October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660400</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720090</wp:posOffset>
            </wp:positionV>
            <wp:extent cx="699516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171450</wp:posOffset>
            </wp:positionV>
            <wp:extent cx="3377565" cy="660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3775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Up to $150,000,000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have entered into an Open Market Sale Agreement</w:t>
      </w:r>
      <w:r>
        <w:rPr>
          <w:rFonts w:ascii="Arial" w:cs="Arial" w:eastAsia="Arial" w:hAnsi="Arial"/>
          <w:sz w:val="14"/>
          <w:szCs w:val="14"/>
          <w:color w:val="auto"/>
        </w:rPr>
        <w:t>SM</w:t>
      </w:r>
      <w:r>
        <w:rPr>
          <w:rFonts w:ascii="Arial" w:cs="Arial" w:eastAsia="Arial" w:hAnsi="Arial"/>
          <w:sz w:val="17"/>
          <w:szCs w:val="17"/>
          <w:color w:val="auto"/>
        </w:rPr>
        <w:t>, or sales agreement, with Jefferies LLC, or Jefferies, relating to shares of our common stock offered by this prospectus supplement. In accordance with the terms of the sales agreement, we may offer and sell shares of our common stock having an aggregate offering price of up to $150.0 million from time to time to or through Jefferies as our sales agent.</w:t>
      </w:r>
    </w:p>
    <w:p>
      <w:pPr>
        <w:spacing w:after="0" w:line="16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“PMVP.” On October 1, 2021, the last reported sale price of our common stock was $30.24 per share.</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Sales of our common stock, if any, under this prospectus supplement may be made in sales deemed to be “at the market offerings” as defined in Rule 415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5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compensation to Jefferies for sales of common stock sold pursuant to the sales agreement will be equal to 3.0% of the gross proceeds of any shares of common stock sold under the sales agreement. See “Plan of Distribution” beginning on page S-12 for additional information regarding Jefferies’ compensation.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w:t>
      </w:r>
    </w:p>
    <w:p>
      <w:pPr>
        <w:spacing w:after="0" w:line="188" w:lineRule="exact"/>
        <w:rPr>
          <w:sz w:val="20"/>
          <w:szCs w:val="20"/>
          <w:color w:val="auto"/>
        </w:rPr>
      </w:pPr>
    </w:p>
    <w:p>
      <w:pPr>
        <w:ind w:left="120" w:right="140" w:firstLine="440"/>
        <w:spacing w:after="0" w:line="282" w:lineRule="auto"/>
        <w:rPr>
          <w:rFonts w:ascii="Arial" w:cs="Arial" w:eastAsia="Arial" w:hAnsi="Arial"/>
          <w:sz w:val="18"/>
          <w:szCs w:val="18"/>
          <w:b w:val="1"/>
          <w:bCs w:val="1"/>
          <w:color w:val="0000EE"/>
        </w:rPr>
      </w:pPr>
      <w:hyperlink w:anchor="page38">
        <w:r>
          <w:rPr>
            <w:rFonts w:ascii="Arial" w:cs="Arial" w:eastAsia="Arial" w:hAnsi="Arial"/>
            <w:sz w:val="18"/>
            <w:szCs w:val="18"/>
            <w:b w:val="1"/>
            <w:bCs w:val="1"/>
            <w:color w:val="auto"/>
          </w:rPr>
          <w:t>INVESTING IN OUR COMMON STOCK INVOLVES SIGNIFICANT RISKS. YOU SHOULD REVIEW CAREFULLY THE “</w:t>
        </w:r>
        <w:r>
          <w:rPr>
            <w:rFonts w:ascii="Arial" w:cs="Arial" w:eastAsia="Arial" w:hAnsi="Arial"/>
            <w:sz w:val="18"/>
            <w:szCs w:val="18"/>
            <w:b w:val="1"/>
            <w:bCs w:val="1"/>
            <w:u w:val="single" w:color="auto"/>
            <w:color w:val="0000EE"/>
          </w:rPr>
          <w:t>RISK</w:t>
        </w:r>
      </w:hyperlink>
      <w:r>
        <w:rPr>
          <w:rFonts w:ascii="Arial" w:cs="Arial" w:eastAsia="Arial" w:hAnsi="Arial"/>
          <w:sz w:val="18"/>
          <w:szCs w:val="18"/>
          <w:b w:val="1"/>
          <w:bCs w:val="1"/>
          <w:color w:val="auto"/>
        </w:rPr>
        <w:t xml:space="preserve"> </w:t>
      </w:r>
      <w:hyperlink w:anchor="page38">
        <w:r>
          <w:rPr>
            <w:rFonts w:ascii="Arial" w:cs="Arial" w:eastAsia="Arial" w:hAnsi="Arial"/>
            <w:sz w:val="18"/>
            <w:szCs w:val="18"/>
            <w:b w:val="1"/>
            <w:bCs w:val="1"/>
            <w:u w:val="single" w:color="auto"/>
            <w:color w:val="0000EE"/>
          </w:rPr>
          <w:t>FACTORS</w:t>
        </w:r>
        <w:r>
          <w:rPr>
            <w:rFonts w:ascii="Arial" w:cs="Arial" w:eastAsia="Arial" w:hAnsi="Arial"/>
            <w:sz w:val="18"/>
            <w:szCs w:val="18"/>
            <w:b w:val="1"/>
            <w:bCs w:val="1"/>
            <w:color w:val="000000"/>
          </w:rPr>
          <w:t>” ON PAGE S-5 OF THIS PROSPECTUS SUPPLEMENT BEFORE INVESTING IN OUR COMMON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supplement is October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471805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200" w:type="dxa"/>
            <w:vAlign w:val="bottom"/>
            <w:gridSpan w:val="1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5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gridSpan w:val="2"/>
          </w:tcPr>
          <w:p>
            <w:pPr>
              <w:jc w:val="right"/>
              <w:ind w:right="439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37"/>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60" w:type="dxa"/>
            <w:vAlign w:val="bottom"/>
            <w:gridSpan w:val="2"/>
          </w:tcPr>
          <w:p>
            <w:pPr>
              <w:jc w:val="right"/>
              <w:ind w:right="4770"/>
              <w:spacing w:after="0"/>
              <w:rPr>
                <w:sz w:val="20"/>
                <w:szCs w:val="20"/>
                <w:color w:val="auto"/>
              </w:rPr>
            </w:pPr>
            <w:r>
              <w:rPr>
                <w:rFonts w:ascii="Arial" w:cs="Arial" w:eastAsia="Arial" w:hAnsi="Arial"/>
                <w:sz w:val="18"/>
                <w:szCs w:val="18"/>
                <w:b w:val="1"/>
                <w:bCs w:val="1"/>
                <w:color w:val="auto"/>
                <w:w w:val="96"/>
              </w:rPr>
              <w:t>Prospectus Supplement</w:t>
            </w:r>
          </w:p>
        </w:tc>
      </w:tr>
      <w:tr>
        <w:trPr>
          <w:trHeight w:val="392"/>
        </w:trPr>
        <w:tc>
          <w:tcPr>
            <w:tcW w:w="12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About this Prospectus Supplement</w:t>
              </w:r>
            </w:hyperlink>
          </w:p>
        </w:tc>
        <w:tc>
          <w:tcPr>
            <w:tcW w:w="1600" w:type="dxa"/>
            <w:vAlign w:val="bottom"/>
            <w:gridSpan w:val="3"/>
          </w:tcPr>
          <w:p>
            <w:pPr>
              <w:spacing w:after="0"/>
              <w:rPr>
                <w:sz w:val="24"/>
                <w:szCs w:val="24"/>
                <w:color w:val="auto"/>
              </w:rPr>
            </w:pPr>
          </w:p>
        </w:tc>
        <w:tc>
          <w:tcPr>
            <w:tcW w:w="65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408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Prospectus Supplement Summary</w:t>
              </w:r>
            </w:hyperlink>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1660" w:type="dxa"/>
            <w:vAlign w:val="bottom"/>
            <w:gridSpan w:val="4"/>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Special Note Regarding Forward-Looking Statements</w:t>
              </w:r>
            </w:hyperlink>
          </w:p>
        </w:tc>
        <w:tc>
          <w:tcPr>
            <w:tcW w:w="2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4080" w:type="dxa"/>
            <w:vAlign w:val="bottom"/>
            <w:gridSpan w:val="1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Dilution</w:t>
              </w:r>
            </w:hyperlink>
          </w:p>
        </w:tc>
        <w:tc>
          <w:tcPr>
            <w:tcW w:w="560" w:type="dxa"/>
            <w:vAlign w:val="bottom"/>
            <w:tcBorders>
              <w:top w:val="single" w:sz="8" w:color="0000EE"/>
            </w:tcBorders>
            <w:gridSpan w:val="3"/>
          </w:tcPr>
          <w:p>
            <w:pPr>
              <w:spacing w:after="0"/>
              <w:rPr>
                <w:sz w:val="17"/>
                <w:szCs w:val="17"/>
                <w:color w:val="auto"/>
              </w:rPr>
            </w:pPr>
          </w:p>
        </w:tc>
        <w:tc>
          <w:tcPr>
            <w:tcW w:w="2920" w:type="dxa"/>
            <w:vAlign w:val="bottom"/>
            <w:gridSpan w:val="8"/>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S-10</w:t>
            </w:r>
          </w:p>
        </w:tc>
      </w:tr>
      <w:tr>
        <w:trPr>
          <w:trHeight w:val="196"/>
        </w:trPr>
        <w:tc>
          <w:tcPr>
            <w:tcW w:w="120" w:type="dxa"/>
            <w:vAlign w:val="bottom"/>
          </w:tcPr>
          <w:p>
            <w:pPr>
              <w:spacing w:after="0"/>
              <w:rPr>
                <w:sz w:val="17"/>
                <w:szCs w:val="17"/>
                <w:color w:val="auto"/>
              </w:rPr>
            </w:pPr>
          </w:p>
        </w:tc>
        <w:tc>
          <w:tcPr>
            <w:tcW w:w="4080" w:type="dxa"/>
            <w:vAlign w:val="bottom"/>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S-12</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2660" w:type="dxa"/>
            <w:vAlign w:val="bottom"/>
            <w:gridSpan w:val="6"/>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S-14</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3080" w:type="dxa"/>
            <w:vAlign w:val="bottom"/>
            <w:gridSpan w:val="9"/>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S-14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S-14</w:t>
            </w:r>
          </w:p>
        </w:tc>
      </w:tr>
      <w:tr>
        <w:trPr>
          <w:trHeight w:val="196"/>
        </w:trPr>
        <w:tc>
          <w:tcPr>
            <w:tcW w:w="12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Incorporation by Reference</w:t>
              </w:r>
            </w:hyperlink>
          </w:p>
        </w:tc>
        <w:tc>
          <w:tcPr>
            <w:tcW w:w="880" w:type="dxa"/>
            <w:vAlign w:val="bottom"/>
            <w:tcBorders>
              <w:top w:val="single" w:sz="8" w:color="0000EE"/>
            </w:tcBorders>
            <w:gridSpan w:val="3"/>
          </w:tcPr>
          <w:p>
            <w:pPr>
              <w:spacing w:after="0"/>
              <w:rPr>
                <w:sz w:val="17"/>
                <w:szCs w:val="17"/>
                <w:color w:val="auto"/>
              </w:rPr>
            </w:pPr>
          </w:p>
        </w:tc>
        <w:tc>
          <w:tcPr>
            <w:tcW w:w="1220" w:type="dxa"/>
            <w:vAlign w:val="bottom"/>
            <w:gridSpan w:val="2"/>
          </w:tcPr>
          <w:p>
            <w:pPr>
              <w:spacing w:after="0"/>
              <w:rPr>
                <w:sz w:val="17"/>
                <w:szCs w:val="17"/>
                <w:color w:val="auto"/>
              </w:rPr>
            </w:pPr>
          </w:p>
        </w:tc>
        <w:tc>
          <w:tcPr>
            <w:tcW w:w="6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S-14</w:t>
            </w:r>
          </w:p>
        </w:tc>
      </w:tr>
    </w:tbl>
    <w:p>
      <w:pPr>
        <w:jc w:val="right"/>
        <w:spacing w:after="0" w:line="196" w:lineRule="exact"/>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supplement relates to the offering of our common stock. Before buying any of the common stock that we are offering, we urge you to carefully read this prospectus supplement, the accompanying prospectus, any free writing prospectus that we have authorized for use in connection with this offering, and the information incorporated by reference as described under the headings “Where You Can Find More Information” and “Incorporation by Reference” in this prospectus supplement. These documents contain important information that you should consider when making your investment decision. Generally, when we refer to this “prospectus,” we are referring to the prospectus supplement and the accompanying prospectus combined.</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supplement describes the terms of this offering of common stock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9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not, and Jefferies has not, authorized anyone to provide you with information different than or inconsistent with the information contained in or incorporated by reference into this prospectus supplement or in any free writing prospectus that we have authorized for use in connection with this offering. We and Jefferies take no responsibility for, and can provide no assurance as to the reliability of, any other information that others may give you. We are not, and Jefferies is not, making an offer to sell these securities in any jurisdiction where the offer or sale is not permitted. You should assume that the information appearing in this prospectus supplement and the documents incorporated by reference into this prospectus supplement, and in any free writing prospectus that we have authorized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supplement, the documents incorporated by reference into this prospectus supplement, and any free writing prospectus that we have authorized for use in connection with this offering, in their entirety before making an investment decision. You should also read and consider the information in the documents to which we have referred you to in the section of this prospectus supplement titled “Incorporation by Reference.”</w:t>
      </w:r>
    </w:p>
    <w:p>
      <w:pPr>
        <w:spacing w:after="0" w:line="182"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i w:val="1"/>
          <w:iCs w:val="1"/>
          <w:color w:val="auto"/>
        </w:rPr>
        <w:t>The following summary of our business highlights certain of the information contained elsewhere in, or incorporated by reference into, this prospectus supplement and the accompanying prospectus. This summary does not contain all of the information that may be important to you. You should carefully read this entire prospectus supplement and the accompanying prospectus, including any information incorporated by reference, which are described under the headings “Where You Can Find More Information” and “Incorporation by Reference” herein and therein. In particular, you should carefully consider the risks and uncertainties described under the heading “Risk Factors” in this prospectus supplement and in the accompanying prospectus, as well as those contained in the other documents incorporated by reference and any related free writing prospectus. As used in this prospectus supplement, unless the context otherwise requires, references to “we,” “us,” “our,” “our company,” and “PMV” refer to PMV Pharmaceuticals, Inc.</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80" w:firstLine="426"/>
        <w:spacing w:after="0" w:line="290" w:lineRule="auto"/>
        <w:rPr>
          <w:sz w:val="20"/>
          <w:szCs w:val="20"/>
          <w:color w:val="auto"/>
        </w:rPr>
      </w:pPr>
      <w:r>
        <w:rPr>
          <w:rFonts w:ascii="Arial" w:cs="Arial" w:eastAsia="Arial" w:hAnsi="Arial"/>
          <w:sz w:val="16"/>
          <w:szCs w:val="16"/>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65"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initiated a Phase 1/2 clinical trial in October 2020. Our strategy is to seek approval under an accelerated pathway, and we believe our Phase 1/2 clinical trial has the potential to serve as a pivotal study. In October 2020, we were granted U.S. Food and Drug Administration, or the FDA, Fast Track designation of PC14586 for the treatment of patients with locally advanced or metastatic solid tumors that have a p53 Y220C mutation. We dosed our first patient in this clinical trial in the fourth quarter of 2020. We cannot guarantee that the FDA will agree with this strategy of utilizing the Phase 1/2 clinical trial as a pivotal study, which could require us to conduct additional clinical trials prior to seeking FDA approval. In addition, we are leveraging our precision oncology platform to develop a pipeline of oral small molecule product candidates that structurally correct other p53 hotspot mutations to restore their wild-type function.</w:t>
      </w:r>
    </w:p>
    <w:p>
      <w:pPr>
        <w:spacing w:after="0" w:line="17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81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998970" cy="51816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31" w:lineRule="exact"/>
        <w:rPr>
          <w:sz w:val="20"/>
          <w:szCs w:val="20"/>
          <w:color w:val="auto"/>
        </w:rPr>
      </w:pPr>
    </w:p>
    <w:p>
      <w:pPr>
        <w:ind w:left="1240" w:hanging="415"/>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targeting individual mutations;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ability to design structure-based oral small molecule product candidates that selectively target and correct specific p53 mutants; and</w:t>
      </w:r>
    </w:p>
    <w:p>
      <w:pPr>
        <w:spacing w:after="0" w:line="153" w:lineRule="exact"/>
        <w:rPr>
          <w:rFonts w:ascii="Arial" w:cs="Arial" w:eastAsia="Arial" w:hAnsi="Arial"/>
          <w:sz w:val="16"/>
          <w:szCs w:val="16"/>
          <w:color w:val="auto"/>
        </w:rPr>
      </w:pPr>
    </w:p>
    <w:p>
      <w:pPr>
        <w:ind w:left="1240" w:right="36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assays, screens, preclinical model systems and biomarkers that enable us to assess and optimize selective small molecule product candidates for specific p53 mutants.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right="40" w:firstLine="426"/>
        <w:spacing w:after="0" w:line="301" w:lineRule="auto"/>
        <w:rPr>
          <w:sz w:val="20"/>
          <w:szCs w:val="20"/>
          <w:color w:val="auto"/>
        </w:rPr>
      </w:pPr>
      <w:r>
        <w:rPr>
          <w:rFonts w:ascii="Arial" w:cs="Arial" w:eastAsia="Arial" w:hAnsi="Arial"/>
          <w:sz w:val="16"/>
          <w:szCs w:val="16"/>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 (609) 642-6670. Our website address is www.pmvpharma.com. Information contained on, or that can be accessible through, our website is not a part of this prospectus supplement and the inclusion of our website address in this prospectus supplement is an inactive textual reference only.</w:t>
      </w:r>
    </w:p>
    <w:p>
      <w:pPr>
        <w:spacing w:after="0" w:line="15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are an emerging growth company, or EGC, as defined in the Jumpstart Our Business Startups Act of 2012, as amended, or JOBS Act, enacted in April 2012. For as long as we continue to be an EGC, we may take advantage of exemptions from various reporting requirements that are applicable to other public companies that are not EGCs, including not being required to comply with the auditor attestation requirements of Section 404 of the Sarbanes-Oxley Act of 2002, as amended, or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remain an EGC until the earlier of (1) the last day of the fiscal year (a) following the fifth anniversary of the closing of our initial public offering, (b) in which we have total annual gross revenue of at least $1.07 billion or (c) in which we are deemed to be a large accelerated filer, which requires the market value of our common stock that is held by non-affiliates to exceed $700 million as of the prior June 30th, or (2) the date on which we have issued more than $1 billion in non-convertible debt during the prior three-year period. Based on the market value of our common stock held by non-affiliates as of June 30, 2021, we expect to lose our EGC status on December 31, 2021 and qualify as a large accelerated filer and, as a result, will be subject to increased disclosure and governance requirements.</w:t>
      </w:r>
    </w:p>
    <w:p>
      <w:pPr>
        <w:spacing w:after="0" w:line="179"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Under the JOBS Act, EGCs can also delay adopting new or revised accounting standards until such time as those standards apply to private companies. For as long as we continue to be an EGC,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EGC.</w:t>
      </w:r>
    </w:p>
    <w:p>
      <w:pPr>
        <w:spacing w:after="0" w:line="3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80"/>
          </w:cols>
          <w:pgMar w:left="320" w:top="459" w:right="6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$150.0 million.</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Up to 50,173,884 shares, assuming the sale of 4,960,317 shares of our common stock in this offering at an offering price of $30.24 per share, which was the closing price of our common stock on the Nasdaq Global Select Market on October 1, 2021. The actual number of shares issued will vary depending on the sales price under this offering.</w:t>
      </w:r>
    </w:p>
    <w:p>
      <w:pPr>
        <w:spacing w:after="0" w:line="198" w:lineRule="exact"/>
        <w:rPr>
          <w:sz w:val="20"/>
          <w:szCs w:val="20"/>
          <w:color w:val="auto"/>
        </w:rPr>
      </w:pPr>
    </w:p>
    <w:p>
      <w:pPr>
        <w:sectPr>
          <w:pgSz w:w="11900" w:h="16838" w:orient="portrait"/>
          <w:cols w:equalWidth="0" w:num="2">
            <w:col w:w="3740" w:space="60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Plan of Distribution</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Jefferies. See “Plan of Distribution” on page S-12.</w:t>
      </w:r>
    </w:p>
    <w:p>
      <w:pPr>
        <w:spacing w:after="0" w:line="197"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60"/>
        <w:spacing w:after="0" w:line="254" w:lineRule="auto"/>
        <w:rPr>
          <w:sz w:val="20"/>
          <w:szCs w:val="20"/>
          <w:color w:val="auto"/>
        </w:rPr>
      </w:pPr>
      <w:r>
        <w:rPr>
          <w:rFonts w:ascii="Arial" w:cs="Arial" w:eastAsia="Arial" w:hAnsi="Arial"/>
          <w:sz w:val="18"/>
          <w:szCs w:val="18"/>
          <w:color w:val="auto"/>
        </w:rPr>
        <w:t>We currently anticipate that we will use the net proceeds from this offering, together with our existing cash, cash equivalents and short-term marketable securities, for general corporate purposes, which may include clinical trial and other research and development expenses, commercialization expenses, capital expenditures, working capital and general and administrative expenses, and potential acquisitions or investments in businesses, products and technologies that complement our business. See “Use of Proceeds” on page S-9.</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Investing in our common stock involves significant risks. You should read the “Risk Factors” section of this prospectus supplement and in the documents incorporated by reference in this prospectus supplement and accompanying prospectus for a discussion of factors to consider before deciding to purchase shares of our common stock.</w:t>
      </w:r>
    </w:p>
    <w:p>
      <w:pPr>
        <w:spacing w:after="0" w:line="184"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“PMVP”</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39"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number of our shares of common stock outstanding after this offering is based on 45,213,567 shares of our common stock outstanding as of June 30, 2021, and excludes:</w:t>
      </w:r>
    </w:p>
    <w:p>
      <w:pPr>
        <w:spacing w:after="0" w:line="76" w:lineRule="exact"/>
        <w:rPr>
          <w:sz w:val="20"/>
          <w:szCs w:val="20"/>
          <w:color w:val="auto"/>
        </w:rPr>
      </w:pPr>
    </w:p>
    <w:p>
      <w:pPr>
        <w:ind w:left="1240" w:right="2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4,367,298 shares of our common stock issuable upon the exercise of options outstanding as of June 30, 2021, with a weighted-average exercise price of $7.55 per share;</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1,995 shares of common stock issuable upon the exercise of options that we granted after June 30, 2021, with a weighted-average exercise price of $32.82 per share;</w:t>
      </w:r>
    </w:p>
    <w:p>
      <w:pPr>
        <w:spacing w:after="0" w:line="75" w:lineRule="exact"/>
        <w:rPr>
          <w:rFonts w:ascii="Arial" w:cs="Arial" w:eastAsia="Arial" w:hAnsi="Arial"/>
          <w:sz w:val="18"/>
          <w:szCs w:val="18"/>
          <w:color w:val="auto"/>
        </w:rPr>
      </w:pPr>
    </w:p>
    <w:p>
      <w:pPr>
        <w:ind w:left="1240" w:right="160" w:hanging="415"/>
        <w:spacing w:after="0" w:line="342"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4,406,374 shares of common stock reserved for future issuance under our 2020 Equity Incentive Plan as of June 30, 2021, as well as any automatic increases in the number of shares of our common stock reserved for future issuance under this plan; and</w:t>
      </w:r>
    </w:p>
    <w:p>
      <w:pPr>
        <w:spacing w:after="0" w:line="29" w:lineRule="exact"/>
        <w:rPr>
          <w:rFonts w:ascii="Arial" w:cs="Arial" w:eastAsia="Arial" w:hAnsi="Arial"/>
          <w:sz w:val="16"/>
          <w:szCs w:val="16"/>
          <w:color w:val="auto"/>
        </w:rPr>
      </w:pPr>
    </w:p>
    <w:p>
      <w:pPr>
        <w:ind w:left="1240" w:right="160" w:hanging="415"/>
        <w:spacing w:after="0" w:line="308" w:lineRule="auto"/>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400,572 shares of common stock reserved for future issuance under our 2020 Employee Stock Purchase Plan as of June 30, 2021, as well as any automatic increases in the number of our common stock reserved for future issuances under this plan.</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Unless otherwise indicated, all information in this prospectus supplement assumes no exercise of outstanding options after June 30, 2021.</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20"/>
          </w:cols>
          <w:pgMar w:left="320" w:top="459" w:right="6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Investing in our common stock involves a high degree of risk. Before making a decision to invest in our common stock, you should consider carefully the risks and uncertainties described under the heading “Risk Factors” contained or incorporated by reference in this prospectus supplement and the accompanying prospectus, including the risk factors incorporated by reference herein from our Annual Report on Form 10-K for the fiscal year ended December 31, 2020 and our most recent Quarterly Report on Form 10-Q, as may be updated by our subsequent annual reports, quarterly reports and other filings we make with the SEC.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common stock to decline, resulting in a loss of all or part of your investment. Please also read carefully the section below titled “Special Note Regarding Forward-Looking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titled “Use of Proceeds,”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 ultimately increase or maintain the value of your investment. If we do not invest or apply the net proceeds from this offering in ways that enhance stockholder value, we may fail to achieve expected financial results, which could cause our stock price to decline.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you purchase our common stock in this offering, you will incur immediate and substantial dilution in the net tangible book value of your shares.</w:t>
      </w:r>
    </w:p>
    <w:p>
      <w:pPr>
        <w:spacing w:after="0" w:line="15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offering price per share in this offering may exceed the net tangible book value per share of our common stock outstanding prior to this offering. Assuming that an aggregate of 4,960,317 shares of our common stock are sold at a price of $30.24 per share, the last reported sale price of our common stock on the Nasdaq Global Select Market on October 1, 2021, for aggregate gross proceeds of $150.0 million, and after deducting commissions and estimated offering expenses payable by us, you would experience immediate dilution of $20.61 per share, representing the difference between our as adjusted net tangible book value per share as of June 30, 2021 after giving effect to this offering and the assumed offering price. The exercise of outstanding stock options would result in further dilution of your investment. See the section titled “Dilution” below for a more detailed illustration of the dilution you would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order to raise additional capital, we expect to in the future offer additional shares of common stock or other securities convertible into or exchangeable for our shares of common stock. We cannot assure you that we will be able to sell shares or other securities in any other offering at a price per share that is equal to or greater than the price per share paid by investors in this offering, and investors purchasing shares or other securities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the future could have rights superior to existing stockholders. The price per share at which we sell additional shares of common stock or other securities convertible into or exchangeable for our shares of common stock in future transactions may be higher or lower than the price per share in this offering.</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shares we will issue under the sales agreement in this offering, at any one time or in total, is uncertain.</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Subject to certain limitations in the sales agreement and compliance with applicable law, we have the discretion to deliver a placement notice to Jefferies at any time throughout the term of the offering under this prospectus supplement. The number of shares that are sold by Jefferies after delivering a placement notice will fluctuate based on the market price of the shares of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or the gross proceeds to be raised in connection with those sales.</w:t>
      </w:r>
    </w:p>
    <w:p>
      <w:pPr>
        <w:spacing w:after="0" w:line="26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Future sales or issuances of our common stock in the public markets, or the perception of such sales, could depress the trading price of our common stock.</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26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predetermined minimum or maximum sales price. Investors may experience a decline in the value of their shares as a result of share sales made at prices lower than the prices they paid.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stock price is and may continue to be volatile and you may not be able to resell our securities at or above the price you paid.</w:t>
      </w:r>
    </w:p>
    <w:p>
      <w:pPr>
        <w:spacing w:after="0" w:line="1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market price for our common stock is volatile and may fluctuate significantly in response to a number of factors, most of which we cannot control, such as quarterly fluctuations in financial results, the timing and our ability to advance the development of our product candidates or changes in securities analysts’ recommendations. Each of these factors, among others, could harm your investment in our common stock and could result in your being unable to resell the common stock that you purchase at a price equal to or above the price you paid.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This prospectus supplement and the accompany prospectus, including the documents incorporated or deemed to be incorporated by reference into this prospectus supplement and the accompanying prospectus, contain forward-looking statements. All statements other than statements of historical facts contained in this prospectus supplement,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8"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In some cases, you can identify forward-looking statements by terms such as “may,” “should,” “would,” “expect,” “plan,” “anticipate,” “could,” “intend,” “target,” “project,” “contemplate,” “believe,” “estimate,” “predict,” “potential” or “continue” or the negative of these terms or other similar expressions. Forward-looking statements contained in this prospectus supplement include, but are not limited to, statements about:</w:t>
      </w:r>
    </w:p>
    <w:p>
      <w:pPr>
        <w:spacing w:after="0" w:line="7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anticipated use of our existing cash, cash equivalents and short-term marketable securities and the proceeds from this offering;</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any clinical trials and, investigational new drug application and other regulatory submissions;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estimates of the number of patients expected to have certain p53 mutants and the number of participants that will enroll in our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special designations, such as orphan drug designation, for our product candidates;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ongoing COVID-19 pandemic or other related disruptions on our business;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170"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You should read this prospectus supplement, the accompanying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issue and sell shares of our common stock having aggregate sales proceeds of up to $150.0 million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Jefferies as a source of financing.</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currently intend to use any net proceeds from this offering for general corporate purposes, which may include clinical trial and other research and development expenses, commercialization expenses, capital expenditures, working capital and general and administrative expenses, and potential acquisitions of or investments in businesses, products and technologies that complement our business. While we have no current agreements, commitments or understandings for any specific acquisitions of or investments in businesses, products and technologies as of the date of this prospectus supplement, we may use a portion of the net proceeds for these purposes. The amounts and timing of our actual expenditures will depend on numerous factors, including our development efforts with respect to our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these uses, we intend to invest any net proceeds in short- and intermediate-term, interest-bearing obligations, investment-grade instruments, certificates of deposit or direct or guaranteed obligations of the U.S. government.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If you invest in our common stock, your interest will be diluted to the extent of the difference between the price per share of our common stock you pay in this offering and the as adjusted net tangible book value per share of our common stock immediately after this offering.</w:t>
      </w:r>
    </w:p>
    <w:p>
      <w:pPr>
        <w:spacing w:after="0" w:line="146"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Our net tangible book value as of June 30, 2021 was approximately $337.9 million, or $7.47 per share. Net tangible book value per share is determined by dividing our total tangible assets, less total liabilities, by the number of shares of our common stock outstanding as of June 30, 2021.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After giving effect to the sale of our common stock in the aggregate amount of $150.0 million in this offering at an assumed offering price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$30.24, the last reported sale price of our common stock on the Nasdaq Global Select Market on October 1, 2021, and after deducting commissions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estimated aggregate offering expenses payable by us, our as adjusted net tangible book value as of June 30, 2021 would have been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$483.1 million, or $9.63 per share. This represents an immediate increase in net tangible book value of $2.16 per share to existing stockholders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immediate dilution in net tangible book value of $20.61 per share to new investors purchasing our common stock in this offering.</w:t>
      </w:r>
    </w:p>
    <w:p>
      <w:pPr>
        <w:spacing w:after="0" w:line="21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following table illustrates this dilution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30.24</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June 30, 2021</w:t>
            </w:r>
          </w:p>
        </w:tc>
        <w:tc>
          <w:tcPr>
            <w:tcW w:w="1520" w:type="dxa"/>
            <w:vAlign w:val="bottom"/>
            <w:gridSpan w:val="3"/>
          </w:tcPr>
          <w:p>
            <w:pPr>
              <w:jc w:val="right"/>
              <w:ind w:right="39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152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6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9.63</w:t>
            </w:r>
          </w:p>
        </w:tc>
      </w:tr>
      <w:tr>
        <w:trPr>
          <w:trHeight w:val="27"/>
        </w:trPr>
        <w:tc>
          <w:tcPr>
            <w:tcW w:w="6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20.61</w:t>
            </w:r>
          </w:p>
        </w:tc>
      </w:tr>
    </w:tbl>
    <w:p>
      <w:pPr>
        <w:spacing w:after="0" w:line="20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shares subject to the sales agreement with Jefferies are being sold from time to time at various prices. An increase of $1.00 per share in the price at which the shares are sold from the assumed offering price of $30.24 per share shown in the table above, assuming all of our common stock in the aggregate amount of $150.0 million during the term of the sales agreement with Jefferies is sold at that price, would increase our adjusted net tangible book value per share after the offering to $9.65 per share and would increase the dilution in net tangible book value per share to new investors in this offering to $21.59 per share, after deducting commissions and estimated offering expenses payable by us. A decrease of $1.00 per share in the price at which the shares are sold from the assumed offering price of $30.24 per share shown in the table above, assuming all of our common stock in the amount of $150.0 million during the term of the sales agreement with Jefferies is sold at that price, would decrease our adjusted net tangible book value per share after the offering to $9.59 per share and would decrease the dilution in net tangible book value per share to new investors in this offering to $19.65 per share, after deducting commissions and estimated aggregate offering expenses payable by us. This information is supplied for illustrative purposes only and may differ based on the actual offering price and the actual number of shares offered.</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foregoing table and calculations are based on 45,213,567 shares of our common stock outstanding as of June 30, 2021, and excludes:</w:t>
      </w:r>
    </w:p>
    <w:p>
      <w:pPr>
        <w:spacing w:after="0" w:line="142" w:lineRule="exact"/>
        <w:rPr>
          <w:sz w:val="20"/>
          <w:szCs w:val="20"/>
          <w:color w:val="auto"/>
        </w:rPr>
      </w:pPr>
    </w:p>
    <w:p>
      <w:pPr>
        <w:ind w:left="1080" w:right="3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4,367,298 shares of our common stock issuable upon the exercise of options outstanding as of June 30, 2021, with a weighted-average exercise price of $7.55 per share;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1,995 shares of common stock issuable upon the exercise of options that we granted after June 30, 2021, with a weighted-average exercise price of $32.82 per share;</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4,406,374 shares of common stock reserved for future issuance under our 2020 Equity Incentive Plan as of June 30, 2021, as well as any automatic increases in the number of shares of our common stock reserved for future issuance under this plan; and</w:t>
      </w:r>
    </w:p>
    <w:p>
      <w:pPr>
        <w:spacing w:after="0" w:line="51" w:lineRule="exact"/>
        <w:rPr>
          <w:rFonts w:ascii="Arial" w:cs="Arial" w:eastAsia="Arial" w:hAnsi="Arial"/>
          <w:sz w:val="17"/>
          <w:szCs w:val="17"/>
          <w:color w:val="auto"/>
        </w:rPr>
      </w:pPr>
    </w:p>
    <w:p>
      <w:pPr>
        <w:ind w:left="1080" w:right="10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400,572 shares of common stock reserved for future issuance under our 2020 Employee Stock Purchase Plan as of June 30, 2021, as well as any automatic increases in the number of our common stock reserved for future issuances under this plan.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Unless otherwise indicated, all information in this prospectus supplement assumes no exercise of outstanding options after June 30, 2021.</w:t>
      </w:r>
    </w:p>
    <w:p>
      <w:pPr>
        <w:spacing w:after="0" w:line="23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To the extent that outstanding options are exercised,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have entered into a sales agreement with Jefferies, under which we may offer and sell up to $150,000,000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$404,405. The remaining sale proceeds, after deducting any other transaction fees, will equal our net proceeds from the sale of such shares.</w:t>
      </w:r>
    </w:p>
    <w:p>
      <w:pPr>
        <w:spacing w:after="0" w:line="19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Jefferies will provide written confirmation to us before the open on the Nasdaq Global Select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days’ prior notice.</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20"/>
          </w:cols>
          <w:pgMar w:left="320" w:top="459" w:right="5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issuance of our common stock offered by this prospectus supplement will be passed upon for us by Wilson Sonsini Goodrich &amp; Rosati, Professional Corporation, New York, New York. Certain members of, and investment partnerships comprised of members of, and persons associated with, Wilson Sonsini Goodrich &amp; Rosati, Professional Corporation, owns less than one percent of our common stock. Jefferies LLC is being represented in connection with this offering by Latham &amp; Watkins LLP, Menlo Park, California.</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financial statements of PMV Pharmaceuticals, Inc. as of December 31, 2020 and 2019, and for each of the years in the three-year period ended December 31, 2020, have been incorporated by reference herein and in the registration statement in reliance upon the report of Ernst &amp; Young LLP, independent registered public accounting firm, incorporated by reference herein, and upon the authority of said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supplement and the inclusion of our website address in this prospectus supplement is an inactive textual reference only.</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This prospectus supplement and the accompany prospectus are part of a registration statement that we filed with the SEC and do not contain all of the information in the registration statement. The full registration statement may be obtained from the SEC or us, as provided in the section titled “Incorporation by Reference.”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rather than filed, including Items 2.02 or 7.01 of any Current Report on Form 8-K and, except as may be noted in any such Form 8-K, exhibits filed on such form that are related to such information), until the offering of the securities under this prospectus supplement is terminated or completed:</w:t>
      </w:r>
    </w:p>
    <w:p>
      <w:pPr>
        <w:spacing w:after="0" w:line="74" w:lineRule="exact"/>
        <w:rPr>
          <w:sz w:val="20"/>
          <w:szCs w:val="20"/>
          <w:color w:val="auto"/>
        </w:rPr>
      </w:pPr>
    </w:p>
    <w:p>
      <w:pPr>
        <w:ind w:left="1540" w:hanging="331"/>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2020, filed with the SEC on </w:t>
      </w:r>
      <w:hyperlink r:id="rId51">
        <w:r>
          <w:rPr>
            <w:rFonts w:ascii="Arial" w:cs="Arial" w:eastAsia="Arial" w:hAnsi="Arial"/>
            <w:sz w:val="18"/>
            <w:szCs w:val="18"/>
            <w:u w:val="single" w:color="auto"/>
            <w:color w:val="0000EE"/>
          </w:rPr>
          <w:t>March 3, 2021</w:t>
        </w:r>
      </w:hyperlink>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80" w:hanging="331"/>
        <w:spacing w:after="0" w:line="277" w:lineRule="auto"/>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2021, filed with the SEC on </w:t>
      </w:r>
      <w:hyperlink r:id="rId53">
        <w:r>
          <w:rPr>
            <w:rFonts w:ascii="Arial" w:cs="Arial" w:eastAsia="Arial" w:hAnsi="Arial"/>
            <w:sz w:val="18"/>
            <w:szCs w:val="18"/>
            <w:u w:val="single" w:color="auto"/>
            <w:color w:val="0000EE"/>
          </w:rPr>
          <w:t>May 14, 2021</w:t>
        </w:r>
      </w:hyperlink>
      <w:r>
        <w:rPr>
          <w:rFonts w:ascii="Arial" w:cs="Arial" w:eastAsia="Arial" w:hAnsi="Arial"/>
          <w:sz w:val="18"/>
          <w:szCs w:val="18"/>
          <w:color w:val="auto"/>
        </w:rPr>
        <w:t xml:space="preserve">, and June 30, 2021, filed with the SEC on </w:t>
      </w:r>
      <w:hyperlink r:id="rId54">
        <w:r>
          <w:rPr>
            <w:rFonts w:ascii="Arial" w:cs="Arial" w:eastAsia="Arial" w:hAnsi="Arial"/>
            <w:sz w:val="18"/>
            <w:szCs w:val="18"/>
            <w:u w:val="single" w:color="auto"/>
            <w:color w:val="0000EE"/>
          </w:rPr>
          <w:t>August 13,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540" w:right="480" w:hanging="331"/>
        <w:spacing w:after="0" w:line="308" w:lineRule="auto"/>
        <w:tabs>
          <w:tab w:leader="none" w:pos="1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the portions of our Definitive Proxy Statement on Schedule 14A (other than information furnished rather than filed) that are incorporated by reference into our Annual Report on Form 10-K, filed with the SEC on </w:t>
      </w:r>
      <w:hyperlink r:id="rId55">
        <w:r>
          <w:rPr>
            <w:rFonts w:ascii="Arial" w:cs="Arial" w:eastAsia="Arial" w:hAnsi="Arial"/>
            <w:sz w:val="17"/>
            <w:szCs w:val="17"/>
            <w:u w:val="single" w:color="auto"/>
            <w:color w:val="0000EE"/>
          </w:rPr>
          <w:t>April 23, 2021</w:t>
        </w:r>
      </w:hyperlink>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56">
        <w:r>
          <w:rPr>
            <w:rFonts w:ascii="Arial" w:cs="Arial" w:eastAsia="Arial" w:hAnsi="Arial"/>
            <w:sz w:val="18"/>
            <w:szCs w:val="18"/>
            <w:u w:val="single" w:color="auto"/>
            <w:color w:val="0000EE"/>
          </w:rPr>
          <w:t>April 6,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Items 7.01 and 9.01) and </w:t>
      </w:r>
      <w:hyperlink r:id="rId57">
        <w:r>
          <w:rPr>
            <w:rFonts w:ascii="Arial" w:cs="Arial" w:eastAsia="Arial" w:hAnsi="Arial"/>
            <w:sz w:val="18"/>
            <w:szCs w:val="18"/>
            <w:u w:val="single" w:color="auto"/>
            <w:color w:val="0000EE"/>
          </w:rPr>
          <w:t>June 7, 2021</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27"/>
        </w:numPr>
        <w:rPr>
          <w:rFonts w:ascii="Arial" w:cs="Arial" w:eastAsia="Arial" w:hAnsi="Arial"/>
          <w:sz w:val="18"/>
          <w:szCs w:val="18"/>
          <w:color w:val="0000EE"/>
        </w:rPr>
      </w:pPr>
      <w:hyperlink r:id="rId58">
        <w:r>
          <w:rPr>
            <w:rFonts w:ascii="Arial" w:cs="Arial" w:eastAsia="Arial" w:hAnsi="Arial"/>
            <w:sz w:val="18"/>
            <w:szCs w:val="18"/>
            <w:color w:val="auto"/>
          </w:rPr>
          <w:t xml:space="preserve">the description of our common stock contained in the Registration Statement on Form 8-A relating thereto, filed on </w:t>
        </w:r>
        <w:r>
          <w:rPr>
            <w:rFonts w:ascii="Arial" w:cs="Arial" w:eastAsia="Arial" w:hAnsi="Arial"/>
            <w:sz w:val="18"/>
            <w:szCs w:val="18"/>
            <w:u w:val="single" w:color="auto"/>
            <w:color w:val="0000EE"/>
          </w:rPr>
          <w:t>September 21,</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2020</w:t>
        </w:r>
        <w:r>
          <w:rPr>
            <w:rFonts w:ascii="Arial" w:cs="Arial" w:eastAsia="Arial" w:hAnsi="Arial"/>
            <w:sz w:val="18"/>
            <w:szCs w:val="18"/>
            <w:color w:val="000000"/>
          </w:rPr>
          <w:t>, including any amendment or report filed for the purpose of updating such description.</w:t>
        </w:r>
      </w:hyperlink>
    </w:p>
    <w:p>
      <w:pPr>
        <w:spacing w:after="0" w:line="17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25" w:lineRule="exact"/>
        <w:rPr>
          <w:rFonts w:ascii="Arial" w:cs="Arial" w:eastAsia="Arial" w:hAnsi="Arial"/>
          <w:sz w:val="18"/>
          <w:szCs w:val="18"/>
          <w:color w:val="auto"/>
        </w:rPr>
      </w:pPr>
    </w:p>
    <w:p>
      <w:pPr>
        <w:jc w:val="center"/>
        <w:ind w:right="-339"/>
        <w:spacing w:after="0"/>
        <w:rPr>
          <w:sz w:val="20"/>
          <w:szCs w:val="20"/>
          <w:color w:val="auto"/>
        </w:rPr>
      </w:pPr>
      <w:r>
        <w:rPr>
          <w:rFonts w:ascii="Arial" w:cs="Arial" w:eastAsia="Arial" w:hAnsi="Arial"/>
          <w:sz w:val="18"/>
          <w:szCs w:val="18"/>
          <w:color w:val="auto"/>
        </w:rPr>
        <w:t>PMV Pharmaceuticals, Inc.</w:t>
      </w:r>
    </w:p>
    <w:p>
      <w:pPr>
        <w:spacing w:after="0" w:line="23" w:lineRule="exact"/>
        <w:rPr>
          <w:rFonts w:ascii="Arial" w:cs="Arial" w:eastAsia="Arial" w:hAnsi="Arial"/>
          <w:sz w:val="18"/>
          <w:szCs w:val="18"/>
          <w:color w:val="auto"/>
        </w:rPr>
      </w:pPr>
    </w:p>
    <w:p>
      <w:pPr>
        <w:jc w:val="center"/>
        <w:ind w:right="-339"/>
        <w:spacing w:after="0"/>
        <w:rPr>
          <w:sz w:val="20"/>
          <w:szCs w:val="20"/>
          <w:color w:val="auto"/>
        </w:rPr>
      </w:pPr>
      <w:r>
        <w:rPr>
          <w:rFonts w:ascii="Arial" w:cs="Arial" w:eastAsia="Arial" w:hAnsi="Arial"/>
          <w:sz w:val="18"/>
          <w:szCs w:val="18"/>
          <w:color w:val="auto"/>
        </w:rPr>
        <w:t>8 Clarke Drive, Suite 3</w:t>
      </w:r>
    </w:p>
    <w:p>
      <w:pPr>
        <w:spacing w:after="0" w:line="9" w:lineRule="exact"/>
        <w:rPr>
          <w:rFonts w:ascii="Arial" w:cs="Arial" w:eastAsia="Arial" w:hAnsi="Arial"/>
          <w:sz w:val="18"/>
          <w:szCs w:val="18"/>
          <w:color w:val="auto"/>
        </w:rPr>
      </w:pPr>
    </w:p>
    <w:p>
      <w:pPr>
        <w:jc w:val="center"/>
        <w:ind w:right="-339"/>
        <w:spacing w:after="0"/>
        <w:rPr>
          <w:sz w:val="20"/>
          <w:szCs w:val="20"/>
          <w:color w:val="auto"/>
        </w:rPr>
      </w:pPr>
      <w:r>
        <w:rPr>
          <w:rFonts w:ascii="Arial" w:cs="Arial" w:eastAsia="Arial" w:hAnsi="Arial"/>
          <w:sz w:val="18"/>
          <w:szCs w:val="18"/>
          <w:color w:val="auto"/>
        </w:rPr>
        <w:t>Cranbury, New Jersey 08512</w:t>
      </w:r>
    </w:p>
    <w:p>
      <w:pPr>
        <w:spacing w:after="0" w:line="9" w:lineRule="exact"/>
        <w:rPr>
          <w:rFonts w:ascii="Arial" w:cs="Arial" w:eastAsia="Arial" w:hAnsi="Arial"/>
          <w:sz w:val="18"/>
          <w:szCs w:val="18"/>
          <w:color w:val="auto"/>
        </w:rPr>
      </w:pPr>
    </w:p>
    <w:p>
      <w:pPr>
        <w:jc w:val="center"/>
        <w:ind w:right="-3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460" w:right="4740" w:hanging="398"/>
        <w:spacing w:after="0" w:line="834" w:lineRule="auto"/>
        <w:tabs>
          <w:tab w:leader="none" w:pos="55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642-6670 S-15</w:t>
      </w:r>
    </w:p>
    <w:p>
      <w:pPr>
        <w:sectPr>
          <w:pgSz w:w="11900" w:h="16838" w:orient="portrait"/>
          <w:cols w:equalWidth="0" w:num="1">
            <w:col w:w="10920"/>
          </w:cols>
          <w:pgMar w:left="320" w:top="459" w:right="6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965835</wp:posOffset>
            </wp:positionV>
            <wp:extent cx="3377565" cy="659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377565" cy="65976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Up to $150,000,000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0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October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970915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1031240</wp:posOffset>
            </wp:positionV>
            <wp:extent cx="699516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estimated expenses in connection with the issuance and distribution of the securities being registered:</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to be Paid</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w w:val="89"/>
              </w:rPr>
              <w:t>225,500</w:t>
            </w:r>
          </w:p>
        </w:tc>
        <w:tc>
          <w:tcPr>
            <w:tcW w:w="24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Trustee’s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Warrant agent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6"/>
              </w:rPr>
              <w:t>225,500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w:t>
            </w: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5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Rules 456(b) and 457(r), the registrant is deferring payment of all applicable registration fees for the securities offered by this registration statement, other than the $13,905 of registration fees applicable to the offering of up to $150,000,000 of common stock pursuant to the sales agreement prospectus supplement.</w:t>
      </w:r>
    </w:p>
    <w:p>
      <w:pPr>
        <w:spacing w:after="0" w:line="2" w:lineRule="exact"/>
        <w:rPr>
          <w:rFonts w:ascii="Arial" w:cs="Arial" w:eastAsia="Arial" w:hAnsi="Arial"/>
          <w:sz w:val="18"/>
          <w:szCs w:val="18"/>
          <w:color w:val="auto"/>
        </w:rPr>
      </w:pPr>
    </w:p>
    <w:p>
      <w:pPr>
        <w:ind w:left="540" w:right="620" w:hanging="424"/>
        <w:spacing w:after="0" w:line="25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3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DGCL. In addition, the amended and restated bylaws of the registrant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(i) for any breach of the director’s duty of loyalty to the corporation or its stockholders, (ii) for acts or omissions not in good faith or which involve intentional misconduct or a knowing violation of law, (iii) for payments of unlawful dividends or unlawful stock repurchases or redemptions or (iv) for any transaction from which the director derived an improper personal benefit. The registrant’s amended and restated certificate of incorporation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5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the undertakings set out in response to Item 17 herein.</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4380" w:type="dxa"/>
            <w:vAlign w:val="bottom"/>
            <w:gridSpan w:val="6"/>
          </w:tcPr>
          <w:p>
            <w:pPr>
              <w:ind w:left="200"/>
              <w:spacing w:after="0"/>
              <w:rPr>
                <w:sz w:val="20"/>
                <w:szCs w:val="20"/>
                <w:color w:val="auto"/>
              </w:rPr>
            </w:pPr>
            <w:r>
              <w:rPr>
                <w:rFonts w:ascii="Arial" w:cs="Arial" w:eastAsia="Arial" w:hAnsi="Arial"/>
                <w:sz w:val="18"/>
                <w:szCs w:val="18"/>
                <w:b w:val="1"/>
                <w:bCs w:val="1"/>
                <w:color w:val="auto"/>
              </w:rPr>
              <w:t>Exhibits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Incorporation by Reference</w:t>
            </w:r>
          </w:p>
        </w:tc>
        <w:tc>
          <w:tcPr>
            <w:tcW w:w="26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8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3640" w:type="dxa"/>
            <w:vAlign w:val="bottom"/>
            <w:gridSpan w:val="5"/>
            <w:vMerge w:val="restart"/>
          </w:tcPr>
          <w:p>
            <w:pPr>
              <w:ind w:left="920"/>
              <w:spacing w:after="0"/>
              <w:rPr>
                <w:sz w:val="20"/>
                <w:szCs w:val="20"/>
                <w:color w:val="auto"/>
              </w:rPr>
            </w:pPr>
            <w:r>
              <w:rPr>
                <w:rFonts w:ascii="Arial" w:cs="Arial" w:eastAsia="Arial" w:hAnsi="Arial"/>
                <w:sz w:val="14"/>
                <w:szCs w:val="14"/>
                <w:b w:val="1"/>
                <w:bCs w:val="1"/>
                <w:color w:val="auto"/>
              </w:rPr>
              <w:t>Exhibit Description</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Exhibit</w:t>
            </w:r>
          </w:p>
        </w:tc>
        <w:tc>
          <w:tcPr>
            <w:tcW w:w="19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Filing Date</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36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Number</w:t>
            </w:r>
          </w:p>
        </w:tc>
        <w:tc>
          <w:tcPr>
            <w:tcW w:w="196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04"/>
        </w:trPr>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43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Form of Underwriting Agreement</w:t>
            </w: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Pr>
          <w:p>
            <w:pPr>
              <w:ind w:left="8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4380" w:type="dxa"/>
            <w:vAlign w:val="bottom"/>
            <w:gridSpan w:val="6"/>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Open Market Sale Agreement, dated as of October 4, 2021,</w:t>
              </w:r>
            </w:hyperlink>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between the Registrant and Jefferies LLC</w:t>
              </w:r>
            </w:hyperlink>
          </w:p>
        </w:tc>
        <w:tc>
          <w:tcPr>
            <w:tcW w:w="128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160" w:type="dxa"/>
            <w:vAlign w:val="bottom"/>
            <w:tcBorders>
              <w:bottom w:val="single" w:sz="8" w:color="0000EE"/>
            </w:tcBorders>
            <w:gridSpan w:val="4"/>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Amended and Restated Certificate of Incorporation of the</w:t>
              </w:r>
            </w:hyperlink>
          </w:p>
        </w:tc>
        <w:tc>
          <w:tcPr>
            <w:tcW w:w="2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001-39539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960" w:type="dxa"/>
            <w:vAlign w:val="bottom"/>
            <w:gridSpan w:val="2"/>
          </w:tcPr>
          <w:p>
            <w:pPr>
              <w:ind w:left="260"/>
              <w:spacing w:after="0"/>
              <w:rPr>
                <w:sz w:val="20"/>
                <w:szCs w:val="20"/>
                <w:color w:val="auto"/>
              </w:rPr>
            </w:pPr>
            <w:r>
              <w:rPr>
                <w:rFonts w:ascii="Arial" w:cs="Arial" w:eastAsia="Arial" w:hAnsi="Arial"/>
                <w:sz w:val="18"/>
                <w:szCs w:val="18"/>
                <w:color w:val="auto"/>
              </w:rPr>
              <w:t>September 29, 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gridSpan w:val="6"/>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Registrant</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ind w:left="8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4380" w:type="dxa"/>
            <w:vAlign w:val="bottom"/>
            <w:gridSpan w:val="6"/>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Amended and Restated Bylaws of the Registrant</w:t>
              </w:r>
            </w:hyperlink>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001-39539</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960" w:type="dxa"/>
            <w:vAlign w:val="bottom"/>
            <w:gridSpan w:val="2"/>
          </w:tcPr>
          <w:p>
            <w:pPr>
              <w:ind w:left="260"/>
              <w:spacing w:after="0"/>
              <w:rPr>
                <w:sz w:val="20"/>
                <w:szCs w:val="20"/>
                <w:color w:val="auto"/>
              </w:rPr>
            </w:pPr>
            <w:r>
              <w:rPr>
                <w:rFonts w:ascii="Arial" w:cs="Arial" w:eastAsia="Arial" w:hAnsi="Arial"/>
                <w:sz w:val="18"/>
                <w:szCs w:val="18"/>
                <w:color w:val="auto"/>
              </w:rPr>
              <w:t>September 29, 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ind w:left="100"/>
              <w:spacing w:after="0"/>
              <w:rPr>
                <w:sz w:val="20"/>
                <w:szCs w:val="20"/>
                <w:color w:val="auto"/>
              </w:rPr>
            </w:pPr>
            <w:r>
              <w:rPr>
                <w:rFonts w:ascii="Arial" w:cs="Arial" w:eastAsia="Arial" w:hAnsi="Arial"/>
                <w:sz w:val="18"/>
                <w:szCs w:val="18"/>
                <w:color w:val="auto"/>
              </w:rPr>
              <w:t>II-2</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3"/>
              </w:rPr>
              <w:t>Incorporation by Reference</w:t>
            </w:r>
          </w:p>
        </w:tc>
        <w:tc>
          <w:tcPr>
            <w:tcW w:w="1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9"/>
        </w:trPr>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60" w:type="dxa"/>
            <w:vAlign w:val="bottom"/>
            <w:gridSpan w:val="11"/>
            <w:vMerge w:val="restart"/>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vMerge w:val="restart"/>
          </w:tcPr>
          <w:p>
            <w:pPr>
              <w:spacing w:after="0"/>
              <w:rPr>
                <w:sz w:val="10"/>
                <w:szCs w:val="10"/>
                <w:color w:val="auto"/>
              </w:rPr>
            </w:pPr>
          </w:p>
        </w:tc>
        <w:tc>
          <w:tcPr>
            <w:tcW w:w="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280" w:type="dxa"/>
            <w:vAlign w:val="bottom"/>
            <w:vMerge w:val="restart"/>
          </w:tcPr>
          <w:p>
            <w:pPr>
              <w:spacing w:after="0"/>
              <w:rPr>
                <w:sz w:val="10"/>
                <w:szCs w:val="10"/>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File No.</w:t>
            </w:r>
          </w:p>
        </w:tc>
        <w:tc>
          <w:tcPr>
            <w:tcW w:w="280" w:type="dxa"/>
            <w:vAlign w:val="bottom"/>
            <w:vMerge w:val="restart"/>
          </w:tcPr>
          <w:p>
            <w:pPr>
              <w:spacing w:after="0"/>
              <w:rPr>
                <w:sz w:val="10"/>
                <w:szCs w:val="10"/>
                <w:color w:val="auto"/>
              </w:rPr>
            </w:pPr>
          </w:p>
        </w:tc>
        <w:tc>
          <w:tcPr>
            <w:tcW w:w="108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Exhibit</w:t>
            </w:r>
          </w:p>
        </w:tc>
        <w:tc>
          <w:tcPr>
            <w:tcW w:w="14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280" w:type="dxa"/>
            <w:vAlign w:val="bottom"/>
            <w:vMerge w:val="restart"/>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1"/>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63"/>
        </w:trPr>
        <w:tc>
          <w:tcPr>
            <w:tcW w:w="58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4500" w:type="dxa"/>
            <w:vAlign w:val="bottom"/>
            <w:gridSpan w:val="15"/>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Amended and Restated Investors’ Rights Agreement, dated</w:t>
              </w:r>
            </w:hyperlink>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333-248627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2"/>
                <w:szCs w:val="22"/>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September 4, 2020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July 17, 2020, by and among the Registrant and certain of</w:t>
              </w:r>
            </w:hyperlink>
          </w:p>
        </w:tc>
        <w:tc>
          <w:tcPr>
            <w:tcW w:w="2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its stockholders</w:t>
              </w:r>
            </w:hyperlink>
          </w:p>
        </w:tc>
        <w:tc>
          <w:tcPr>
            <w:tcW w:w="3080" w:type="dxa"/>
            <w:vAlign w:val="bottom"/>
            <w:tcBorders>
              <w:top w:val="single" w:sz="8" w:color="0000EE"/>
            </w:tcBorders>
            <w:gridSpan w:val="10"/>
          </w:tcPr>
          <w:p>
            <w:pPr>
              <w:spacing w:after="0"/>
              <w:rPr>
                <w:sz w:val="17"/>
                <w:szCs w:val="17"/>
                <w:color w:val="auto"/>
              </w:rPr>
            </w:pPr>
          </w:p>
        </w:tc>
        <w:tc>
          <w:tcPr>
            <w:tcW w:w="30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ind w:right="17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2680" w:type="dxa"/>
            <w:vAlign w:val="bottom"/>
            <w:tcBorders>
              <w:bottom w:val="single" w:sz="8" w:color="0000EE"/>
            </w:tcBorders>
            <w:gridSpan w:val="6"/>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Specimen Common Stock Certificate</w:t>
              </w:r>
            </w:hyperlink>
          </w:p>
        </w:tc>
        <w:tc>
          <w:tcPr>
            <w:tcW w:w="1820" w:type="dxa"/>
            <w:vAlign w:val="bottom"/>
            <w:gridSpan w:val="9"/>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333-248627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September 21, 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rPr>
              <w:t>Form of Specimen Preferred Stock Certificate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0" w:type="dxa"/>
            <w:vAlign w:val="bottom"/>
          </w:tcPr>
          <w:p>
            <w:pPr>
              <w:jc w:val="right"/>
              <w:ind w:right="17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3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Form of Indenture</w:t>
              </w:r>
            </w:hyperlink>
          </w:p>
        </w:tc>
        <w:tc>
          <w:tcPr>
            <w:tcW w:w="318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44"/>
        </w:trPr>
        <w:tc>
          <w:tcPr>
            <w:tcW w:w="58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rPr>
              <w:t>Form of Debt Security</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rPr>
              <w:t>Form of Warrant Agreement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rPr>
              <w:t>Form of Warrant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rPr>
              <w:t>Form of Subscription Agreement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rPr>
              <w:t>Form of Purchase Contract Agreement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center"/>
              <w:spacing w:after="0"/>
              <w:rPr>
                <w:sz w:val="20"/>
                <w:szCs w:val="20"/>
                <w:color w:val="auto"/>
              </w:rPr>
            </w:pPr>
            <w:r>
              <w:rPr>
                <w:rFonts w:ascii="Arial" w:cs="Arial" w:eastAsia="Arial" w:hAnsi="Arial"/>
                <w:sz w:val="18"/>
                <w:szCs w:val="18"/>
                <w:color w:val="auto"/>
                <w:w w:val="99"/>
              </w:rPr>
              <w:t>4.10*</w:t>
            </w:r>
          </w:p>
        </w:tc>
        <w:tc>
          <w:tcPr>
            <w:tcW w:w="22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rPr>
              <w:t>Form of Unit Agreement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center"/>
              <w:spacing w:after="0"/>
              <w:rPr>
                <w:sz w:val="20"/>
                <w:szCs w:val="20"/>
                <w:color w:val="auto"/>
              </w:rPr>
            </w:pPr>
            <w:r>
              <w:rPr>
                <w:rFonts w:ascii="Arial" w:cs="Arial" w:eastAsia="Arial" w:hAnsi="Arial"/>
                <w:sz w:val="18"/>
                <w:szCs w:val="18"/>
                <w:color w:val="auto"/>
                <w:w w:val="95"/>
              </w:rPr>
              <w:t>4.11*</w:t>
            </w:r>
          </w:p>
        </w:tc>
        <w:tc>
          <w:tcPr>
            <w:tcW w:w="22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rPr>
              <w:t>Form of Unit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0" w:type="dxa"/>
            <w:vAlign w:val="bottom"/>
          </w:tcPr>
          <w:p>
            <w:pPr>
              <w:jc w:val="right"/>
              <w:ind w:right="172"/>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33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47">
              <w:r>
                <w:rPr>
                  <w:rFonts w:ascii="Arial" w:cs="Arial" w:eastAsia="Arial" w:hAnsi="Arial"/>
                  <w:sz w:val="18"/>
                  <w:szCs w:val="18"/>
                  <w:color w:val="0000EE"/>
                  <w:w w:val="93"/>
                </w:rPr>
                <w:t>Opinion of Wilson Sonsini Goodrich &amp; Rosati,</w:t>
              </w:r>
            </w:hyperlink>
          </w:p>
        </w:tc>
        <w:tc>
          <w:tcPr>
            <w:tcW w:w="112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Professional Corporation</w:t>
              </w:r>
            </w:hyperlink>
          </w:p>
        </w:tc>
        <w:tc>
          <w:tcPr>
            <w:tcW w:w="270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23.1</w:t>
            </w:r>
          </w:p>
        </w:tc>
        <w:tc>
          <w:tcPr>
            <w:tcW w:w="220" w:type="dxa"/>
            <w:vAlign w:val="bottom"/>
          </w:tcPr>
          <w:p>
            <w:pPr>
              <w:spacing w:after="0"/>
              <w:rPr>
                <w:sz w:val="24"/>
                <w:szCs w:val="24"/>
                <w:color w:val="auto"/>
              </w:rPr>
            </w:pPr>
          </w:p>
        </w:tc>
        <w:tc>
          <w:tcPr>
            <w:tcW w:w="39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52">
              <w:r>
                <w:rPr>
                  <w:rFonts w:ascii="Arial" w:cs="Arial" w:eastAsia="Arial" w:hAnsi="Arial"/>
                  <w:sz w:val="18"/>
                  <w:szCs w:val="18"/>
                  <w:color w:val="0000EE"/>
                  <w:w w:val="90"/>
                </w:rPr>
                <w:t>Consent of Independent Registered Public Accounting</w:t>
              </w:r>
            </w:hyperlink>
          </w:p>
        </w:tc>
        <w:tc>
          <w:tcPr>
            <w:tcW w:w="5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gridSpan w:val="1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Firm</w:t>
              </w:r>
            </w:hyperlink>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23.2</w:t>
            </w:r>
          </w:p>
        </w:tc>
        <w:tc>
          <w:tcPr>
            <w:tcW w:w="220" w:type="dxa"/>
            <w:vAlign w:val="bottom"/>
          </w:tcPr>
          <w:p>
            <w:pPr>
              <w:spacing w:after="0"/>
              <w:rPr>
                <w:sz w:val="24"/>
                <w:szCs w:val="24"/>
                <w:color w:val="auto"/>
              </w:rPr>
            </w:pPr>
          </w:p>
        </w:tc>
        <w:tc>
          <w:tcPr>
            <w:tcW w:w="33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Consent of Wilson Sonsini Goodrich &amp; Rosati,</w:t>
              </w:r>
            </w:hyperlink>
          </w:p>
        </w:tc>
        <w:tc>
          <w:tcPr>
            <w:tcW w:w="112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Professional Corporation (included in the opinion filed as</w:t>
              </w:r>
            </w:hyperlink>
          </w:p>
        </w:tc>
        <w:tc>
          <w:tcPr>
            <w:tcW w:w="36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Exhibit 5.1 to this Registration Statement)</w:t>
              </w:r>
            </w:hyperlink>
          </w:p>
        </w:tc>
        <w:tc>
          <w:tcPr>
            <w:tcW w:w="146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24.1</w:t>
            </w:r>
          </w:p>
        </w:tc>
        <w:tc>
          <w:tcPr>
            <w:tcW w:w="220" w:type="dxa"/>
            <w:vAlign w:val="bottom"/>
          </w:tcPr>
          <w:p>
            <w:pPr>
              <w:spacing w:after="0"/>
              <w:rPr>
                <w:sz w:val="24"/>
                <w:szCs w:val="24"/>
                <w:color w:val="auto"/>
              </w:rPr>
            </w:pPr>
          </w:p>
        </w:tc>
        <w:tc>
          <w:tcPr>
            <w:tcW w:w="4500" w:type="dxa"/>
            <w:vAlign w:val="bottom"/>
            <w:gridSpan w:val="15"/>
          </w:tcPr>
          <w:p>
            <w:pPr>
              <w:spacing w:after="0"/>
              <w:rPr>
                <w:rFonts w:ascii="Arial" w:cs="Arial" w:eastAsia="Arial" w:hAnsi="Arial"/>
                <w:sz w:val="18"/>
                <w:szCs w:val="18"/>
                <w:color w:val="0000EE"/>
                <w:w w:val="98"/>
              </w:rPr>
            </w:pPr>
            <w:hyperlink w:anchor="page55">
              <w:r>
                <w:rPr>
                  <w:rFonts w:ascii="Arial" w:cs="Arial" w:eastAsia="Arial" w:hAnsi="Arial"/>
                  <w:sz w:val="18"/>
                  <w:szCs w:val="18"/>
                  <w:color w:val="0000EE"/>
                  <w:w w:val="98"/>
                </w:rPr>
                <w:t>Power of Attorney (included on the signature page to this</w:t>
              </w:r>
            </w:hyperlink>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Registration Statement)</w:t>
              </w:r>
            </w:hyperlink>
          </w:p>
        </w:tc>
        <w:tc>
          <w:tcPr>
            <w:tcW w:w="2420" w:type="dxa"/>
            <w:vAlign w:val="bottom"/>
            <w:tcBorders>
              <w:top w:val="single" w:sz="8" w:color="0000EE"/>
            </w:tcBorders>
            <w:gridSpan w:val="6"/>
          </w:tcPr>
          <w:p>
            <w:pPr>
              <w:spacing w:after="0"/>
              <w:rPr>
                <w:sz w:val="17"/>
                <w:szCs w:val="17"/>
                <w:color w:val="auto"/>
              </w:rPr>
            </w:pPr>
          </w:p>
        </w:tc>
        <w:tc>
          <w:tcPr>
            <w:tcW w:w="38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580" w:type="dxa"/>
            <w:vAlign w:val="bottom"/>
          </w:tcPr>
          <w:p>
            <w:pPr>
              <w:jc w:val="right"/>
              <w:spacing w:after="0"/>
              <w:rPr>
                <w:sz w:val="20"/>
                <w:szCs w:val="20"/>
                <w:color w:val="auto"/>
              </w:rPr>
            </w:pPr>
            <w:r>
              <w:rPr>
                <w:rFonts w:ascii="Arial" w:cs="Arial" w:eastAsia="Arial" w:hAnsi="Arial"/>
                <w:sz w:val="18"/>
                <w:szCs w:val="18"/>
                <w:color w:val="auto"/>
                <w:w w:val="97"/>
              </w:rPr>
              <w:t>25.1**</w:t>
            </w:r>
          </w:p>
        </w:tc>
        <w:tc>
          <w:tcPr>
            <w:tcW w:w="22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w w:val="99"/>
              </w:rPr>
              <w:t>Form T-1 Statement of Eligibility of Trustee for Indenture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auto"/>
              </w:rPr>
              <w:t>under the Trust Indenture Act of 1939</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right="2380" w:hanging="4"/>
        <w:spacing w:after="0" w:line="277" w:lineRule="auto"/>
        <w:tabs>
          <w:tab w:leader="none" w:pos="5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if applicable, by amendment or incorporated by reference pursuant to a Current Report on Form 8-K. ** To be filed pursuant to Section 305(b)(2) of the Trust Indenture Act of 1939, as amended.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320" w:top="459"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20" w:hanging="241"/>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760" w:hanging="252"/>
        <w:spacing w:after="0"/>
        <w:tabs>
          <w:tab w:leader="none" w:pos="17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2140" w:hanging="209"/>
        <w:spacing w:after="0"/>
        <w:tabs>
          <w:tab w:leader="none" w:pos="21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540" w:right="80" w:firstLine="391"/>
        <w:spacing w:after="0" w:line="263" w:lineRule="auto"/>
        <w:tabs>
          <w:tab w:leader="none" w:pos="2188"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75" w:lineRule="exact"/>
        <w:rPr>
          <w:rFonts w:ascii="Arial" w:cs="Arial" w:eastAsia="Arial" w:hAnsi="Arial"/>
          <w:sz w:val="18"/>
          <w:szCs w:val="18"/>
          <w:color w:val="auto"/>
        </w:rPr>
      </w:pPr>
    </w:p>
    <w:p>
      <w:pPr>
        <w:ind w:left="1540" w:right="440" w:firstLine="391"/>
        <w:spacing w:after="0" w:line="277" w:lineRule="auto"/>
        <w:tabs>
          <w:tab w:leader="none" w:pos="2238"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1100" w:right="40" w:firstLine="408"/>
        <w:spacing w:after="0" w:line="263" w:lineRule="auto"/>
        <w:tabs>
          <w:tab w:leader="none" w:pos="17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5" w:lineRule="exact"/>
        <w:rPr>
          <w:rFonts w:ascii="Arial" w:cs="Arial" w:eastAsia="Arial" w:hAnsi="Arial"/>
          <w:sz w:val="18"/>
          <w:szCs w:val="18"/>
          <w:color w:val="auto"/>
        </w:rPr>
      </w:pPr>
    </w:p>
    <w:p>
      <w:pPr>
        <w:ind w:left="1100" w:right="20" w:firstLine="408"/>
        <w:spacing w:after="0" w:line="277" w:lineRule="auto"/>
        <w:tabs>
          <w:tab w:leader="none" w:pos="17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760" w:hanging="252"/>
        <w:spacing w:after="0"/>
        <w:tabs>
          <w:tab w:leader="none" w:pos="1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540" w:right="120" w:firstLine="391"/>
        <w:spacing w:after="0" w:line="277" w:lineRule="auto"/>
        <w:tabs>
          <w:tab w:leader="none" w:pos="2138"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540" w:firstLine="391"/>
        <w:spacing w:after="0" w:line="287" w:lineRule="auto"/>
        <w:tabs>
          <w:tab w:leader="none" w:pos="2188"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9" w:lineRule="exact"/>
        <w:rPr>
          <w:rFonts w:ascii="Arial" w:cs="Arial" w:eastAsia="Arial" w:hAnsi="Arial"/>
          <w:sz w:val="16"/>
          <w:szCs w:val="16"/>
          <w:color w:val="auto"/>
        </w:rPr>
      </w:pPr>
    </w:p>
    <w:p>
      <w:pPr>
        <w:ind w:left="1100" w:right="180" w:firstLine="408"/>
        <w:spacing w:after="0" w:line="277" w:lineRule="auto"/>
        <w:tabs>
          <w:tab w:leader="none" w:pos="17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to any purchaser in the initial distribution of the securities, the undersigned registrant undertakes that in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540" w:right="140" w:firstLine="391"/>
        <w:spacing w:after="0" w:line="277" w:lineRule="auto"/>
        <w:tabs>
          <w:tab w:leader="none" w:pos="2138"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540" w:firstLine="391"/>
        <w:spacing w:after="0" w:line="277" w:lineRule="auto"/>
        <w:tabs>
          <w:tab w:leader="none" w:pos="2188"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540" w:right="760" w:firstLine="391"/>
        <w:spacing w:after="0" w:line="277" w:lineRule="auto"/>
        <w:tabs>
          <w:tab w:leader="none" w:pos="2238"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2240" w:hanging="309"/>
        <w:spacing w:after="0"/>
        <w:tabs>
          <w:tab w:leader="none" w:pos="22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1100" w:right="20" w:firstLine="408"/>
        <w:spacing w:after="0" w:line="257" w:lineRule="auto"/>
        <w:tabs>
          <w:tab w:leader="none" w:pos="17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9" w:lineRule="exact"/>
        <w:rPr>
          <w:rFonts w:ascii="Arial" w:cs="Arial" w:eastAsia="Arial" w:hAnsi="Arial"/>
          <w:sz w:val="18"/>
          <w:szCs w:val="18"/>
          <w:color w:val="auto"/>
        </w:rPr>
      </w:pPr>
    </w:p>
    <w:p>
      <w:pPr>
        <w:ind w:left="1100" w:right="140" w:firstLine="408"/>
        <w:spacing w:after="0" w:line="263" w:lineRule="auto"/>
        <w:tabs>
          <w:tab w:leader="none" w:pos="17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75" w:lineRule="exact"/>
        <w:rPr>
          <w:rFonts w:ascii="Arial" w:cs="Arial" w:eastAsia="Arial" w:hAnsi="Arial"/>
          <w:sz w:val="18"/>
          <w:szCs w:val="18"/>
          <w:color w:val="auto"/>
        </w:rPr>
      </w:pPr>
    </w:p>
    <w:p>
      <w:pPr>
        <w:ind w:left="560" w:right="60" w:firstLine="419"/>
        <w:spacing w:after="0" w:line="271" w:lineRule="auto"/>
        <w:tabs>
          <w:tab w:leader="none" w:pos="12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Cranbury, State of New Jersey, on October 4,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David H. Mack,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David H. Mack, Ph.D. and Winston Kung,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19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02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H. Mack, Ph.D.</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 (Principal</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4, 2021</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2"/>
              </w:rPr>
              <w:t>David H. Mack, Ph.D.</w:t>
            </w:r>
          </w:p>
        </w:tc>
        <w:tc>
          <w:tcPr>
            <w:tcW w:w="120" w:type="dxa"/>
            <w:vAlign w:val="bottom"/>
          </w:tcPr>
          <w:p>
            <w:pPr>
              <w:spacing w:after="0"/>
              <w:rPr>
                <w:sz w:val="19"/>
                <w:szCs w:val="19"/>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Executive Officer)</w:t>
            </w:r>
          </w:p>
        </w:tc>
        <w:tc>
          <w:tcPr>
            <w:tcW w:w="18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Winston Kung</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Chief Operating Officer and Chief Financial Officer (Principal</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4, 2021</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2"/>
              </w:rPr>
              <w:t>Winston Kung</w:t>
            </w:r>
          </w:p>
        </w:tc>
        <w:tc>
          <w:tcPr>
            <w:tcW w:w="120" w:type="dxa"/>
            <w:vAlign w:val="bottom"/>
          </w:tcPr>
          <w:p>
            <w:pPr>
              <w:spacing w:after="0"/>
              <w:rPr>
                <w:sz w:val="19"/>
                <w:szCs w:val="19"/>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Financial and Accounting Officer)</w:t>
            </w:r>
          </w:p>
        </w:tc>
        <w:tc>
          <w:tcPr>
            <w:tcW w:w="18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Richard Heyman, Ph.D.</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Chair of the Board</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4, 2021</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0"/>
              </w:rPr>
              <w:t>Richard Heyman, Ph.D.</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Charles M. Baum M.D., Ph.D.</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4, 2021</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2"/>
              </w:rPr>
              <w:t>Charles M. Baum M.D., Ph.D.</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Arnold Levine, Ph.D.</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4, 2021</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4"/>
              </w:rPr>
              <w:t>Arnold Levine, Ph.D.</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64"/>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2"/>
          </w:tcPr>
          <w:p>
            <w:pPr>
              <w:ind w:left="1360"/>
              <w:spacing w:after="0"/>
              <w:rPr>
                <w:sz w:val="20"/>
                <w:szCs w:val="20"/>
                <w:color w:val="auto"/>
              </w:rPr>
            </w:pPr>
            <w:r>
              <w:rPr>
                <w:rFonts w:ascii="Arial" w:cs="Arial" w:eastAsia="Arial" w:hAnsi="Arial"/>
                <w:sz w:val="18"/>
                <w:szCs w:val="18"/>
                <w:color w:val="auto"/>
              </w:rPr>
              <w:t>II-6</w:t>
            </w:r>
          </w:p>
        </w:tc>
        <w:tc>
          <w:tcPr>
            <w:tcW w:w="18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02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Thilo Schroeder, Ph.D.</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4, 2021</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0"/>
              </w:rPr>
              <w:t>Thilo Schroeder, Ph.D.</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Laurie Stelzer</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4, 2021</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0"/>
              </w:rPr>
              <w:t>Laurie Stelzer</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Thompson, M.D.</w:t>
            </w:r>
          </w:p>
        </w:tc>
        <w:tc>
          <w:tcPr>
            <w:tcW w:w="1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4, 2021</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0"/>
              </w:rPr>
              <w:t>Peter Thompson, M.D.</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64"/>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2"/>
          </w:tcPr>
          <w:p>
            <w:pPr>
              <w:ind w:left="1360"/>
              <w:spacing w:after="0"/>
              <w:rPr>
                <w:sz w:val="20"/>
                <w:szCs w:val="20"/>
                <w:color w:val="auto"/>
              </w:rPr>
            </w:pPr>
            <w:r>
              <w:rPr>
                <w:rFonts w:ascii="Arial" w:cs="Arial" w:eastAsia="Arial" w:hAnsi="Arial"/>
                <w:sz w:val="18"/>
                <w:szCs w:val="18"/>
                <w:color w:val="auto"/>
              </w:rPr>
              <w:t>II-7</w:t>
            </w:r>
          </w:p>
        </w:tc>
        <w:tc>
          <w:tcPr>
            <w:tcW w:w="18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15"/>
          <w:szCs w:val="15"/>
          <w:b w:val="1"/>
          <w:bCs w:val="1"/>
          <w:color w:val="auto"/>
        </w:rPr>
        <w:t>SM</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PMV Pharmaceuticals,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subject to the terms and conditions stated herein, to issue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sell from time to time through Jefferies LLC, as sales agent and/or principal (the “</w:t>
      </w:r>
      <w:r>
        <w:rPr>
          <w:rFonts w:ascii="Arial" w:cs="Arial" w:eastAsia="Arial" w:hAnsi="Arial"/>
          <w:sz w:val="16"/>
          <w:szCs w:val="16"/>
          <w:b w:val="1"/>
          <w:bCs w:val="1"/>
          <w:color w:val="auto"/>
        </w:rPr>
        <w:t>Agent</w:t>
      </w:r>
      <w:r>
        <w:rPr>
          <w:rFonts w:ascii="Arial" w:cs="Arial" w:eastAsia="Arial" w:hAnsi="Arial"/>
          <w:sz w:val="16"/>
          <w:szCs w:val="16"/>
          <w:color w:val="auto"/>
        </w:rPr>
        <w:t>”), shares of the Company’s common stock, par value $0.00001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$150.0 million on the terms set forth in this agreement (this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Unless the context otherwise requires, all references to the Company include the Company and each of its subsidiaries (whether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presently existing or hereinafter established).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121" w:lineRule="exact"/>
        <w:rPr>
          <w:sz w:val="20"/>
          <w:szCs w:val="20"/>
          <w:color w:val="auto"/>
        </w:rPr>
      </w:pPr>
    </w:p>
    <w:p>
      <w:pPr>
        <w:ind w:right="720" w:firstLine="436"/>
        <w:spacing w:after="0" w:line="277"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0"/>
          </w:cols>
          <w:pgMar w:left="440" w:top="121" w:right="439" w:bottom="1440" w:gutter="0" w:footer="0" w:header="0"/>
        </w:sectPr>
      </w:pPr>
    </w:p>
    <w:bookmarkStart w:id="57" w:name="page58"/>
    <w:bookmarkEnd w:id="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President and Chief Executive Officer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spacing w:after="0" w:line="187"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 or such other national securities exchange on which the Common Shares,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58" w:name="page59"/>
    <w:bookmarkEnd w:id="5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means the Common Shares issued or issuable pursuant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ind w:left="4" w:right="500" w:hanging="4"/>
        <w:spacing w:after="0" w:line="277" w:lineRule="auto"/>
        <w:tabs>
          <w:tab w:leader="none" w:pos="259"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Settlement Date, (4) each Triggering Event Date (as defined below) and (5) as of each Time of Sale (as defined below) (each of the times referenced above is referred to herein as a “</w:t>
      </w:r>
      <w:r>
        <w:rPr>
          <w:rFonts w:ascii="Arial" w:cs="Arial" w:eastAsia="Arial" w:hAnsi="Arial"/>
          <w:sz w:val="17"/>
          <w:szCs w:val="17"/>
          <w:b w:val="1"/>
          <w:bCs w:val="1"/>
          <w:color w:val="auto"/>
        </w:rPr>
        <w:t>Representation Date</w:t>
      </w:r>
      <w:r>
        <w:rPr>
          <w:rFonts w:ascii="Arial" w:cs="Arial" w:eastAsia="Arial" w:hAnsi="Arial"/>
          <w:sz w:val="17"/>
          <w:szCs w:val="17"/>
          <w:color w:val="auto"/>
        </w:rPr>
        <w:t>”), except as may be disclosed in the Prospectus (including any documents incorporated by reference therein and any supplements thereto) on or before a Representation Date:</w:t>
      </w:r>
    </w:p>
    <w:p>
      <w:pPr>
        <w:spacing w:after="0" w:line="64" w:lineRule="exact"/>
        <w:rPr>
          <w:rFonts w:ascii="Arial" w:cs="Arial" w:eastAsia="Arial" w:hAnsi="Arial"/>
          <w:sz w:val="17"/>
          <w:szCs w:val="17"/>
          <w:color w:val="auto"/>
        </w:rPr>
      </w:pPr>
    </w:p>
    <w:p>
      <w:pPr>
        <w:ind w:left="4" w:firstLine="436"/>
        <w:spacing w:after="0" w:line="285" w:lineRule="auto"/>
        <w:tabs>
          <w:tab w:leader="none" w:pos="689"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or will file with the Commission an automatic shelf registration statement on Form S-3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is concurrently filing with the Base Prospectus a sales agreement prospectus supplement and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(including the Base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4"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59" w:name="page60"/>
    <w:bookmarkEnd w:id="59"/>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the Commission’s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At the time the Original Registration Statement became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79" w:lineRule="exact"/>
        <w:rPr>
          <w:sz w:val="20"/>
          <w:szCs w:val="20"/>
          <w:color w:val="auto"/>
        </w:rPr>
      </w:pPr>
    </w:p>
    <w:p>
      <w:pPr>
        <w:ind w:right="100" w:firstLine="436"/>
        <w:spacing w:after="0" w:line="275" w:lineRule="auto"/>
        <w:tabs>
          <w:tab w:leader="none" w:pos="69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Compliance with Registration Requirements</w:t>
      </w:r>
      <w:r>
        <w:rPr>
          <w:rFonts w:ascii="Arial" w:cs="Arial" w:eastAsia="Arial" w:hAnsi="Arial"/>
          <w:sz w:val="17"/>
          <w:szCs w:val="17"/>
          <w:color w:val="auto"/>
        </w:rPr>
        <w:t>. The Original Registration Statement and any Rule 462(b) Registration Statement will have been declared or deemed effective by the Commission under the Securities Act prior to the date of their first use. The Company has complied to the Commission’s satisfaction with all requests of the Commission for additional or supplemental information, if any.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7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Prospectus, when filed, complied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60" w:name="page61"/>
    <w:bookmarkEnd w:id="60"/>
    <w:p>
      <w:pPr>
        <w:ind w:left="-20" w:firstLine="436"/>
        <w:spacing w:after="0" w:line="269" w:lineRule="auto"/>
        <w:tabs>
          <w:tab w:leader="none" w:pos="66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Ineligible Issuer Status</w:t>
      </w:r>
      <w:r>
        <w:rPr>
          <w:rFonts w:ascii="Arial" w:cs="Arial" w:eastAsia="Arial" w:hAnsi="Arial"/>
          <w:sz w:val="17"/>
          <w:szCs w:val="17"/>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which consent shall not be unreasonably withheld, conditioned or delayed, prepare, use or refer to, any Free Writing Prospectus.</w:t>
      </w:r>
    </w:p>
    <w:p>
      <w:pPr>
        <w:spacing w:after="0" w:line="73" w:lineRule="exact"/>
        <w:rPr>
          <w:rFonts w:ascii="Arial" w:cs="Arial" w:eastAsia="Arial" w:hAnsi="Arial"/>
          <w:sz w:val="17"/>
          <w:szCs w:val="17"/>
          <w:color w:val="auto"/>
        </w:rPr>
      </w:pPr>
    </w:p>
    <w:p>
      <w:pPr>
        <w:ind w:left="-20" w:right="60" w:firstLine="436"/>
        <w:spacing w:after="0" w:line="257" w:lineRule="auto"/>
        <w:tabs>
          <w:tab w:leader="none" w:pos="67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Incorporated Documents</w:t>
      </w:r>
      <w:r>
        <w:rPr>
          <w:rFonts w:ascii="Arial" w:cs="Arial" w:eastAsia="Arial" w:hAnsi="Arial"/>
          <w:sz w:val="18"/>
          <w:szCs w:val="18"/>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79" w:lineRule="exact"/>
        <w:rPr>
          <w:rFonts w:ascii="Arial" w:cs="Arial" w:eastAsia="Arial" w:hAnsi="Arial"/>
          <w:sz w:val="18"/>
          <w:szCs w:val="18"/>
          <w:color w:val="auto"/>
        </w:rPr>
      </w:pPr>
    </w:p>
    <w:p>
      <w:pPr>
        <w:ind w:left="-20" w:right="20" w:firstLine="436"/>
        <w:spacing w:after="0" w:line="293" w:lineRule="auto"/>
        <w:tabs>
          <w:tab w:leader="none" w:pos="66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56" w:lineRule="exact"/>
        <w:rPr>
          <w:rFonts w:ascii="Arial" w:cs="Arial" w:eastAsia="Arial" w:hAnsi="Arial"/>
          <w:sz w:val="16"/>
          <w:szCs w:val="16"/>
          <w:color w:val="auto"/>
        </w:rPr>
      </w:pPr>
    </w:p>
    <w:p>
      <w:pPr>
        <w:jc w:val="both"/>
        <w:ind w:left="-20" w:right="60" w:firstLine="436"/>
        <w:spacing w:after="0" w:line="263" w:lineRule="auto"/>
        <w:tabs>
          <w:tab w:leader="none" w:pos="64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The statistical and market-related data included in the Registration Statement or the Prospectus are based on or derived from sources that the Company believes to be reliable and accurate. To the extent required, the Company has obtained the written consent for the use of such data from such sources.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61" w:name="page62"/>
    <w:bookmarkEnd w:id="61"/>
    <w:p>
      <w:pPr>
        <w:ind w:firstLine="436"/>
        <w:spacing w:after="0" w:line="269" w:lineRule="auto"/>
        <w:tabs>
          <w:tab w:leader="none" w:pos="69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Controls and Procedures; Deficiencies in or Changes to Internal Control Over Financial Reporting</w:t>
      </w:r>
      <w:r>
        <w:rPr>
          <w:rFonts w:ascii="Arial" w:cs="Arial" w:eastAsia="Arial" w:hAnsi="Arial"/>
          <w:sz w:val="17"/>
          <w:szCs w:val="17"/>
          <w:color w:val="auto"/>
        </w:rPr>
        <w:t>. The Company has established and maintains disclosure controls and procedures (as defined in Rules 13a-15 and 15d-15 under the Exchange Act), which (i) are designed to ensure that material information relating to the Company, including any of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73" w:lineRule="exact"/>
        <w:rPr>
          <w:rFonts w:ascii="Arial" w:cs="Arial" w:eastAsia="Arial" w:hAnsi="Arial"/>
          <w:sz w:val="17"/>
          <w:szCs w:val="17"/>
          <w:color w:val="auto"/>
        </w:rPr>
      </w:pPr>
    </w:p>
    <w:p>
      <w:pPr>
        <w:ind w:left="700" w:hanging="26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240" w:firstLine="436"/>
        <w:spacing w:after="0" w:line="311"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Authorization of the Shares</w:t>
      </w:r>
      <w:r>
        <w:rPr>
          <w:rFonts w:ascii="Arial" w:cs="Arial" w:eastAsia="Arial" w:hAnsi="Arial"/>
          <w:sz w:val="16"/>
          <w:szCs w:val="16"/>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40" w:lineRule="exact"/>
        <w:rPr>
          <w:rFonts w:ascii="Arial" w:cs="Arial" w:eastAsia="Arial" w:hAnsi="Arial"/>
          <w:sz w:val="16"/>
          <w:szCs w:val="16"/>
          <w:color w:val="auto"/>
        </w:rPr>
      </w:pPr>
    </w:p>
    <w:p>
      <w:pPr>
        <w:ind w:right="140" w:firstLine="436"/>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rights or other similar rights to have any securities registered pursuant to the Registration Statement, included in the offering contemplated by this Agreement or otherwise registered by the Company under the Securities Act except as have been validly waived or complied with.</w:t>
      </w:r>
    </w:p>
    <w:p>
      <w:pPr>
        <w:spacing w:after="0" w:line="75" w:lineRule="exact"/>
        <w:rPr>
          <w:rFonts w:ascii="Arial" w:cs="Arial" w:eastAsia="Arial" w:hAnsi="Arial"/>
          <w:sz w:val="18"/>
          <w:szCs w:val="18"/>
          <w:color w:val="auto"/>
        </w:rPr>
      </w:pPr>
    </w:p>
    <w:p>
      <w:pPr>
        <w:ind w:right="20" w:firstLine="436"/>
        <w:spacing w:after="0" w:line="253"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8"/>
          <w:szCs w:val="18"/>
          <w:b w:val="1"/>
          <w:bCs w:val="1"/>
          <w:color w:val="auto"/>
        </w:rPr>
        <w:t>Material Adverse Change</w:t>
      </w:r>
      <w:r>
        <w:rPr>
          <w:rFonts w:ascii="Arial" w:cs="Arial" w:eastAsia="Arial" w:hAnsi="Arial"/>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2" w:name="page63"/>
    <w:bookmarkEnd w:id="62"/>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considered as one entity, and have not entered into any transactions not in the ordinary course of business; and (iii) there has not been any material change in the capital stock (other than the issuance of shares of Common Stock upon exercise of stock options and warrants described as outstanding in, and the grant of options and awards under equity incentive plans described in, and the issuance of any stock upon conversion of Company securities described in the Registration Statement and the Prospectus, and the repurchase of shares of capital stock pursuant to the agreements providing for an option to repurchase or a right of first refusal on behalf of the Company pursuant to the Company’s repurchase rights), any material increase in short-term or long-term indebtedness of the Company or its subsidiaries, or any dividend or distribution of any kind declared, paid or made by the Company on any class of capital stock, or any repurchase or redemption by the Company of any class of capital stock (other than the repurchase of shares of capital stock pursuant to the agreements providing for an option to repurchase or a right of first refusal on behalf of the Company pursuant to the Company’s repurchase rights).</w:t>
      </w:r>
    </w:p>
    <w:p>
      <w:pPr>
        <w:spacing w:after="0" w:line="73" w:lineRule="exact"/>
        <w:rPr>
          <w:sz w:val="20"/>
          <w:szCs w:val="20"/>
          <w:color w:val="auto"/>
        </w:rPr>
      </w:pPr>
    </w:p>
    <w:p>
      <w:pPr>
        <w:ind w:right="100" w:firstLine="436"/>
        <w:spacing w:after="0" w:line="273"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Ernst &amp; Young LLP, which has expressed its opinion with respect to the financial statements (which term as used in this Agreement includes the related notes thereto) and supporting schedules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69" w:lineRule="exact"/>
        <w:rPr>
          <w:rFonts w:ascii="Arial" w:cs="Arial" w:eastAsia="Arial" w:hAnsi="Arial"/>
          <w:sz w:val="17"/>
          <w:szCs w:val="17"/>
          <w:color w:val="auto"/>
        </w:rPr>
      </w:pPr>
    </w:p>
    <w:p>
      <w:pPr>
        <w:ind w:firstLine="436"/>
        <w:spacing w:after="0" w:line="285" w:lineRule="auto"/>
        <w:tabs>
          <w:tab w:leader="none" w:pos="74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filed with the Commission as a part of the Registration Statement and the Prospectus present fairly, in all material respects, the consolidated financial position of the Company and its subsidiaries, as applicable, as of the dates indicated and the results of operations, changes in stockholders’ equity and cash flows for the periods specified. The supporting schedules included in the Registration Statement present fairly in all material respects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selected financial data and the summary financial information included or incorporated by reference in the Registration Statement and Prospectus fairly present, in all material respects, the information set forth therein on a basis consistent with that of the audited financial statements contained in the Registration Statement and the Prospectus. All disclosures contained in the Registration Statement and the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63" w:name="page64"/>
    <w:bookmarkEnd w:id="63"/>
    <w:p>
      <w:pPr>
        <w:ind w:right="20" w:firstLine="436"/>
        <w:spacing w:after="0" w:line="287"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Accounting System.</w:t>
      </w:r>
      <w:r>
        <w:rPr>
          <w:rFonts w:ascii="Arial" w:cs="Arial" w:eastAsia="Arial" w:hAnsi="Arial"/>
          <w:sz w:val="16"/>
          <w:szCs w:val="16"/>
          <w:color w:val="auto"/>
        </w:rPr>
        <w:t xml:space="preserve"> The Company maintains a system of internal control over financial reporting (as such term is defined the Exchange Act) that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is designed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w:t>
      </w:r>
    </w:p>
    <w:p>
      <w:pPr>
        <w:spacing w:after="0" w:line="59" w:lineRule="exact"/>
        <w:rPr>
          <w:rFonts w:ascii="Arial" w:cs="Arial" w:eastAsia="Arial" w:hAnsi="Arial"/>
          <w:sz w:val="16"/>
          <w:szCs w:val="16"/>
          <w:color w:val="auto"/>
        </w:rPr>
      </w:pPr>
    </w:p>
    <w:p>
      <w:pPr>
        <w:ind w:firstLine="436"/>
        <w:spacing w:after="0" w:line="255"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Incorporation and Good Standing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has been (i) duly organized and is validly existing and in good standing under the laws of its jurisdiction of organization, with power and authority (corporate and other) to own and/or lease its properties and conduct its business as described in the Registration Statement and the Prospectus, and (ii) duly qualified as a foreign corporation for the transaction of business and is in good standing under the laws of each other jurisdiction in which it owns or leases properties or conducts any business so as to require such qualification, except, in the case of clause (ii), where the failure to be so qualified or in good standing would not, individually or in the aggregate, have a Material Adverse Change.</w:t>
      </w:r>
    </w:p>
    <w:p>
      <w:pPr>
        <w:spacing w:after="0" w:line="84" w:lineRule="exact"/>
        <w:rPr>
          <w:rFonts w:ascii="Arial" w:cs="Arial" w:eastAsia="Arial" w:hAnsi="Arial"/>
          <w:sz w:val="18"/>
          <w:szCs w:val="18"/>
          <w:color w:val="auto"/>
        </w:rPr>
      </w:pPr>
    </w:p>
    <w:p>
      <w:pPr>
        <w:ind w:right="60" w:firstLine="436"/>
        <w:spacing w:after="0" w:line="270" w:lineRule="auto"/>
        <w:tabs>
          <w:tab w:leader="none" w:pos="69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The Company has no subsidiaries. To the extent the Company forms any subsidiary after the date of this Agreement,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All of the issued and outstanding capital stock or other equity or ownership interests of each of the Company’s subsidiaries have been duly authorized and validly issued, are fully paid and nonassessable and are owned by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4" w:name="page65"/>
    <w:bookmarkEnd w:id="64"/>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 incorporated by reference into the Registration Statement and Prospectus.</w:t>
      </w:r>
    </w:p>
    <w:p>
      <w:pPr>
        <w:spacing w:after="0" w:line="84" w:lineRule="exact"/>
        <w:rPr>
          <w:sz w:val="20"/>
          <w:szCs w:val="20"/>
          <w:color w:val="auto"/>
        </w:rPr>
      </w:pPr>
    </w:p>
    <w:p>
      <w:pPr>
        <w:ind w:right="20" w:firstLine="436"/>
        <w:spacing w:after="0" w:line="287"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Capitalization and Other Capital Stock Matters</w:t>
      </w:r>
      <w:r>
        <w:rPr>
          <w:rFonts w:ascii="Arial" w:cs="Arial" w:eastAsia="Arial" w:hAnsi="Arial"/>
          <w:sz w:val="16"/>
          <w:szCs w:val="16"/>
          <w:color w:val="auto"/>
        </w:rPr>
        <w:t>. The authorized, issued and outstanding capital stock of the Company is as set forth in the Registration Statement and the Prospectus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in all material respects, presents the information required to be shown with respect to such plans, arrangements, options and rights.</w:t>
      </w:r>
    </w:p>
    <w:p>
      <w:pPr>
        <w:spacing w:after="0" w:line="63" w:lineRule="exact"/>
        <w:rPr>
          <w:rFonts w:ascii="Arial" w:cs="Arial" w:eastAsia="Arial" w:hAnsi="Arial"/>
          <w:sz w:val="16"/>
          <w:szCs w:val="16"/>
          <w:color w:val="auto"/>
        </w:rPr>
      </w:pPr>
    </w:p>
    <w:p>
      <w:pPr>
        <w:ind w:right="40" w:firstLine="436"/>
        <w:spacing w:after="0" w:line="257" w:lineRule="auto"/>
        <w:tabs>
          <w:tab w:leader="none" w:pos="66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79" w:lineRule="exact"/>
        <w:rPr>
          <w:rFonts w:ascii="Arial" w:cs="Arial" w:eastAsia="Arial" w:hAnsi="Arial"/>
          <w:sz w:val="18"/>
          <w:szCs w:val="18"/>
          <w:color w:val="auto"/>
        </w:rPr>
      </w:pPr>
    </w:p>
    <w:p>
      <w:pPr>
        <w:ind w:firstLine="436"/>
        <w:spacing w:after="0" w:line="254" w:lineRule="auto"/>
        <w:tabs>
          <w:tab w:leader="none" w:pos="67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Non-Contravention of Existing Instruments</w:t>
      </w:r>
      <w:r>
        <w:rPr>
          <w:rFonts w:ascii="Arial" w:cs="Arial" w:eastAsia="Arial" w:hAnsi="Arial"/>
          <w:sz w:val="18"/>
          <w:szCs w:val="18"/>
          <w:color w:val="auto"/>
        </w:rPr>
        <w:t>; No Further Authorizations or Approvals Required. The Company’s execution, delivery and performance of this Agreement, the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will not conflict with or result in a breach or violation of any of the terms or provisions of, or constitute a default under, (i) any indenture, mortgage, deed of trust, loan agreement or other agreement or instrument to which the Company is a party or by which the Company is bound or to which any of the property or assets of the Company is subject, (ii) the certificate of incorporation or by-laws (or other applicable organizational document)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65" w:name="page66"/>
    <w:bookmarkEnd w:id="65"/>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(iii) any statute or any judgment, order, rule or regulation of any court or governmental agency or body having jurisdiction over the Company or any of its properties except, in the case of clauses (i) or (ii), for such defaults, breaches, or violations that would not, individually or in the aggregate, have a Material Adverse Change; and no consent, approval, authorization, order, registration or qualification of or with any such court or governmental agency or body is required for the Company’s execution, delivery and performance of this Agreement and the consummation of the transactions contemplated hereby and by the Registration Statement and the Prospectus, except for (i) the registration of the Shares under the Securities Act and (ii) such consents, approvals, authorizations, orders and registrations as have been obtained or made by the Company and are in full force and effect under the Securities Act and such as may be required under applicable state securities or blue sky laws or FINRA (as defined below).</w:t>
      </w:r>
    </w:p>
    <w:p>
      <w:pPr>
        <w:spacing w:after="0" w:line="58" w:lineRule="exact"/>
        <w:rPr>
          <w:sz w:val="20"/>
          <w:szCs w:val="20"/>
          <w:color w:val="auto"/>
        </w:rPr>
      </w:pPr>
    </w:p>
    <w:p>
      <w:pPr>
        <w:ind w:left="4" w:firstLine="436"/>
        <w:spacing w:after="0" w:line="273" w:lineRule="auto"/>
        <w:tabs>
          <w:tab w:leader="none" w:pos="659"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No Material Actions or Proceedings</w:t>
      </w:r>
      <w:r>
        <w:rPr>
          <w:rFonts w:ascii="Arial" w:cs="Arial" w:eastAsia="Arial" w:hAnsi="Arial"/>
          <w:sz w:val="17"/>
          <w:szCs w:val="17"/>
          <w:color w:val="auto"/>
        </w:rPr>
        <w:t>. Except as otherwise disclosed in the Prospectus, there is no action, suit, proceeding, inquiry or investigation brought by or before any legal or governmental entity now pending or, to the knowledge of the Company, threatened, against or affecting the Company, which could be expected, individually or in the aggregate, to result in a Material Adverse Change. No material labor disturbance by or dispute with the employees of the Company exists or, to the knowledge of the Company, is contemplated or threatened, and the Company is not aware of any existing or imminent labor disturbance by, or dispute with, the employees of any of its principal suppliers, manufacturers, customers or contractors, which, in either case, would, individually or in the aggregate, result in a Material Adverse Change.</w:t>
      </w:r>
    </w:p>
    <w:p>
      <w:pPr>
        <w:spacing w:after="0" w:line="69" w:lineRule="exact"/>
        <w:rPr>
          <w:rFonts w:ascii="Arial" w:cs="Arial" w:eastAsia="Arial" w:hAnsi="Arial"/>
          <w:sz w:val="17"/>
          <w:szCs w:val="17"/>
          <w:color w:val="auto"/>
        </w:rPr>
      </w:pPr>
    </w:p>
    <w:p>
      <w:pPr>
        <w:ind w:left="4" w:right="60" w:firstLine="436"/>
        <w:spacing w:after="0" w:line="284" w:lineRule="auto"/>
        <w:tabs>
          <w:tab w:leader="none" w:pos="699"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Except as otherwise disclosed in the Registration Statement or the Prospectus, the Company owns or has obtained valid and enforceable licenses for, the inventions, patent applications, patents, trademarks, trade names, service names, copyrights, trade secrets, domain names, technology, know-how and other intellectual property described in the Registration Statement and the Prospectus as being owned or licensed by it or which are necessary for the conduct of its business as currently conducted and as proposed to be conducted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w:t>
      </w:r>
    </w:p>
    <w:p>
      <w:pPr>
        <w:spacing w:after="0" w:line="4" w:lineRule="exact"/>
        <w:rPr>
          <w:rFonts w:ascii="Arial" w:cs="Arial" w:eastAsia="Arial" w:hAnsi="Arial"/>
          <w:sz w:val="16"/>
          <w:szCs w:val="16"/>
          <w:color w:val="auto"/>
        </w:rPr>
      </w:pPr>
    </w:p>
    <w:p>
      <w:pPr>
        <w:ind w:left="4" w:right="20" w:hanging="4"/>
        <w:spacing w:after="0" w:line="268" w:lineRule="auto"/>
        <w:tabs>
          <w:tab w:leader="none" w:pos="26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is not infringing or misappropriating the intellectual property rights of third parties; and (iii) the Company is either the sole owner or the co-owner of the Intellectual Property owned by it and has the valid, enforceable right to use the Intellectual Property without the obligation to obtain consent to sublicense and without a duty of accounting to the co-owner, as applicable. There is no pending or, to the Company’s knowledge, threatened action, suit, proceeding or claim by others and the Company has not received notice of and is unaware of any facts which would form a reasonable basis for any such claim: (A) challenging the Company’s rights in or to any Intellectual Property; (B) challenging the validity, enforceability or scope of any Intellectual Property; or (C) asserting that the Company infringes, misappropriates or otherwise violates, or would, upon the manufacture or commercialization of any product or service described in the Registration Statement and the Prospectus as under development, infringe, misappropriate or violate, any patent, trademark, trade name, service name, copyright, trade secret or other proprietary rights of others. The Company has complied with the terms of each agreement pursuant to which Intellectual Property has been licensed to the Company, and all such agreements are in full force and effect. To the Company’s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66" w:name="page67"/>
    <w:bookmarkEnd w:id="6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knowledge,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such violation has a Material Adverse Change on the Company. The Company has taken reasonable steps necessary to secure assignments to the Company of the Intellectual Property purported to be owned by the Company from any employees, consultants, agents or contractors that developed (in whole or in part) such Intellectual Property. No government funding, facilities or resources of a university, college, other educational institution or research center was used in the development of any Intellectual Property that is owned or purported to be owned by the Company that would confer upon any governmental agency or body, university, college, other educational institution or research center any claim or right of ownership to any such Intellectual Property.</w:t>
      </w:r>
    </w:p>
    <w:p>
      <w:pPr>
        <w:spacing w:after="0" w:line="70" w:lineRule="exact"/>
        <w:rPr>
          <w:sz w:val="20"/>
          <w:szCs w:val="20"/>
          <w:color w:val="auto"/>
        </w:rPr>
      </w:pPr>
    </w:p>
    <w:p>
      <w:pPr>
        <w:ind w:right="40" w:firstLine="436"/>
        <w:spacing w:after="0" w:line="289"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Patents</w:t>
      </w:r>
      <w:r>
        <w:rPr>
          <w:rFonts w:ascii="Arial" w:cs="Arial" w:eastAsia="Arial" w:hAnsi="Arial"/>
          <w:sz w:val="16"/>
          <w:szCs w:val="16"/>
          <w:color w:val="auto"/>
        </w:rPr>
        <w:t>. Except as described in the Registration Statement and the Prospectus, all patents and patent applications owned by or licensed to the Company or under which the Company has rights have, to the knowledge of the Company, been duly and properly filed and maintained and are valid and enforceable; the Company has, to the knowledge of the Company, complied with its duty of candor and disclosure to the U.S. Patent and Trademark Office (the “</w:t>
      </w:r>
      <w:r>
        <w:rPr>
          <w:rFonts w:ascii="Arial" w:cs="Arial" w:eastAsia="Arial" w:hAnsi="Arial"/>
          <w:sz w:val="16"/>
          <w:szCs w:val="16"/>
          <w:b w:val="1"/>
          <w:bCs w:val="1"/>
          <w:color w:val="auto"/>
        </w:rPr>
        <w:t>USPTO</w:t>
      </w:r>
      <w:r>
        <w:rPr>
          <w:rFonts w:ascii="Arial" w:cs="Arial" w:eastAsia="Arial" w:hAnsi="Arial"/>
          <w:sz w:val="16"/>
          <w:szCs w:val="16"/>
          <w:color w:val="auto"/>
        </w:rPr>
        <w:t>”) in connection with such patents and patent applications for which it has filing, prosecution, and/or maintenance responsibilities; to the knowledge of the Company, the parties having filing, prosecuting and/or maintenance responsibilities for such patents and patent applications have complied with their duty of candor and disclosure to the USPTO in connection with such patents and patent applications; and the Company is not aware of any prior art or public or commercial activity or other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been issued with respect to such applications.</w:t>
      </w:r>
    </w:p>
    <w:p>
      <w:pPr>
        <w:spacing w:after="0" w:line="58" w:lineRule="exact"/>
        <w:rPr>
          <w:rFonts w:ascii="Arial" w:cs="Arial" w:eastAsia="Arial" w:hAnsi="Arial"/>
          <w:sz w:val="16"/>
          <w:szCs w:val="16"/>
          <w:color w:val="auto"/>
        </w:rPr>
      </w:pPr>
    </w:p>
    <w:p>
      <w:pPr>
        <w:ind w:right="220" w:firstLine="436"/>
        <w:spacing w:after="0" w:line="275" w:lineRule="auto"/>
        <w:tabs>
          <w:tab w:leader="none" w:pos="73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All Necessary Permits, etc</w:t>
      </w:r>
      <w:r>
        <w:rPr>
          <w:rFonts w:ascii="Arial" w:cs="Arial" w:eastAsia="Arial" w:hAnsi="Arial"/>
          <w:sz w:val="17"/>
          <w:szCs w:val="17"/>
          <w:color w:val="auto"/>
        </w:rPr>
        <w:t>. The Company possesses such material permits, licenses, clearances, approvals, consents, exemptions, registrations, and other authorizations as required by applicable law (collectively, “</w:t>
      </w:r>
      <w:r>
        <w:rPr>
          <w:rFonts w:ascii="Arial" w:cs="Arial" w:eastAsia="Arial" w:hAnsi="Arial"/>
          <w:sz w:val="17"/>
          <w:szCs w:val="17"/>
          <w:b w:val="1"/>
          <w:bCs w:val="1"/>
          <w:color w:val="auto"/>
        </w:rPr>
        <w:t>Governmental Licenses</w:t>
      </w:r>
      <w:r>
        <w:rPr>
          <w:rFonts w:ascii="Arial" w:cs="Arial" w:eastAsia="Arial" w:hAnsi="Arial"/>
          <w:sz w:val="17"/>
          <w:szCs w:val="17"/>
          <w:color w:val="auto"/>
        </w:rPr>
        <w:t>”) issued by applicable governmental entities necessary to conduct the business now operated by the Company. The Company is in material compliance with the terms and conditions of all such Governmental Licenses, and all Governmental Licenses are valid and in full force and effect. The Company has not received any notice of proceedings relating to the revocation material modification, or suspension of any Governmental Licenses.</w:t>
      </w:r>
    </w:p>
    <w:p>
      <w:pPr>
        <w:spacing w:after="0" w:line="68" w:lineRule="exact"/>
        <w:rPr>
          <w:rFonts w:ascii="Arial" w:cs="Arial" w:eastAsia="Arial" w:hAnsi="Arial"/>
          <w:sz w:val="17"/>
          <w:szCs w:val="17"/>
          <w:color w:val="auto"/>
        </w:rPr>
      </w:pPr>
    </w:p>
    <w:p>
      <w:pPr>
        <w:ind w:right="40" w:firstLine="436"/>
        <w:spacing w:after="0" w:line="272" w:lineRule="auto"/>
        <w:tabs>
          <w:tab w:leader="none" w:pos="69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Title to Properties</w:t>
      </w:r>
      <w:r>
        <w:rPr>
          <w:rFonts w:ascii="Arial" w:cs="Arial" w:eastAsia="Arial" w:hAnsi="Arial"/>
          <w:sz w:val="17"/>
          <w:szCs w:val="17"/>
          <w:color w:val="auto"/>
        </w:rPr>
        <w:t>. The Company has good and marketable title to all real and personal property owned by it (other than with respect to Intellectual Property, which is addressed exclusively in subsections (u) and (v) above) or has valid rights to lease or otherwise use, all real and personal property that are material to the business of the Company, in each case free and clear of all liens, encumbrances and defects except such as are described in the Prospectus or such as do not materially affect the value of such property and do not interfere with the use made and proposed to be made of such property by the Company; and any real property and buildings held under lease by the Company are, to the Company’s knowledge, held by the Company under valid, subsisting and enforceable leases with such exceptions as are, not material and do not materially interfere with the use made and proposed to be made of such property and buildings by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67" w:name="page68"/>
    <w:bookmarkEnd w:id="67"/>
    <w:p>
      <w:pPr>
        <w:jc w:val="both"/>
        <w:ind w:firstLine="436"/>
        <w:spacing w:after="0" w:line="259"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Law Compliance</w:t>
      </w:r>
      <w:r>
        <w:rPr>
          <w:rFonts w:ascii="Arial" w:cs="Arial" w:eastAsia="Arial" w:hAnsi="Arial"/>
          <w:sz w:val="18"/>
          <w:szCs w:val="18"/>
          <w:color w:val="auto"/>
        </w:rPr>
        <w:t>. Except as could not, individually or in the aggregate, reasonably be expected to result in a Material Adverse Change, the Company has filed all tax returns required to be filed through the date hereof, or have duly requested extensions thereof, all such tax returns are true and correct in all respects, and there is no tax deficiency that has been, or would reasonably expected to be, asserted against the Company or any of its properties or assets.</w:t>
      </w:r>
    </w:p>
    <w:p>
      <w:pPr>
        <w:spacing w:after="0" w:line="78" w:lineRule="exact"/>
        <w:rPr>
          <w:rFonts w:ascii="Arial" w:cs="Arial" w:eastAsia="Arial" w:hAnsi="Arial"/>
          <w:sz w:val="18"/>
          <w:szCs w:val="18"/>
          <w:color w:val="auto"/>
        </w:rPr>
      </w:pPr>
    </w:p>
    <w:p>
      <w:pPr>
        <w:jc w:val="both"/>
        <w:ind w:right="140" w:firstLine="436"/>
        <w:spacing w:after="0" w:line="263" w:lineRule="auto"/>
        <w:tabs>
          <w:tab w:leader="none" w:pos="68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Company Not an “Investment Company.”</w:t>
      </w:r>
      <w:r>
        <w:rPr>
          <w:rFonts w:ascii="Arial" w:cs="Arial" w:eastAsia="Arial" w:hAnsi="Arial"/>
          <w:sz w:val="18"/>
          <w:szCs w:val="18"/>
          <w:color w:val="auto"/>
        </w:rPr>
        <w:t xml:space="preserve"> The Company is not, and immediately after giving effect to the offering and sale of the Shares and the application of the proceeds thereof as described in the Registration Statement and the Prospectus, will not be, required to register as an “investment company”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76" w:lineRule="exact"/>
        <w:rPr>
          <w:sz w:val="20"/>
          <w:szCs w:val="20"/>
          <w:color w:val="auto"/>
        </w:rPr>
      </w:pPr>
    </w:p>
    <w:p>
      <w:pPr>
        <w:ind w:right="100" w:firstLine="436"/>
        <w:spacing w:after="0" w:line="257" w:lineRule="auto"/>
        <w:tabs>
          <w:tab w:leader="none" w:pos="76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insurance against such losses and risks and in such amounts as are prudent and customary for the size of the business and the industry in which it is engaged and the Company has not received notice from any insurer or agent of such insurer that capital improvements or other expenditures are required or necessary to be made in order to continue such insurance nor does the Company have any reason to believe that it will not be able to renew its existing insurance coverage as and when such coverage expires or to obtain similar coverage at reasonable cost from similar insurers as may be necessary to continue its business.</w:t>
      </w:r>
    </w:p>
    <w:p>
      <w:pPr>
        <w:spacing w:after="0" w:line="79" w:lineRule="exact"/>
        <w:rPr>
          <w:rFonts w:ascii="Arial" w:cs="Arial" w:eastAsia="Arial" w:hAnsi="Arial"/>
          <w:sz w:val="18"/>
          <w:szCs w:val="18"/>
          <w:color w:val="auto"/>
        </w:rPr>
      </w:pPr>
    </w:p>
    <w:p>
      <w:pPr>
        <w:ind w:right="20" w:firstLine="436"/>
        <w:spacing w:after="0" w:line="279" w:lineRule="auto"/>
        <w:tabs>
          <w:tab w:leader="none" w:pos="78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 Price Stabilization or Manipulation; Compliance with Regulation M</w:t>
      </w:r>
      <w:r>
        <w:rPr>
          <w:rFonts w:ascii="Arial" w:cs="Arial" w:eastAsia="Arial" w:hAnsi="Arial"/>
          <w:sz w:val="17"/>
          <w:szCs w:val="17"/>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with respect to the Common Shares, whether to facilitate the sale or resale of the Shares or otherwise, and has taken no action which would directly or indirectly violate Regulation M.</w:t>
      </w:r>
    </w:p>
    <w:p>
      <w:pPr>
        <w:spacing w:after="0" w:line="63" w:lineRule="exact"/>
        <w:rPr>
          <w:rFonts w:ascii="Arial" w:cs="Arial" w:eastAsia="Arial" w:hAnsi="Arial"/>
          <w:sz w:val="17"/>
          <w:szCs w:val="17"/>
          <w:color w:val="auto"/>
        </w:rPr>
      </w:pPr>
    </w:p>
    <w:p>
      <w:pPr>
        <w:ind w:right="80" w:firstLine="436"/>
        <w:spacing w:after="0" w:line="342" w:lineRule="auto"/>
        <w:tabs>
          <w:tab w:leader="none" w:pos="76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5" w:lineRule="exact"/>
        <w:rPr>
          <w:rFonts w:ascii="Arial" w:cs="Arial" w:eastAsia="Arial" w:hAnsi="Arial"/>
          <w:sz w:val="16"/>
          <w:szCs w:val="16"/>
          <w:color w:val="auto"/>
        </w:rPr>
      </w:pPr>
    </w:p>
    <w:p>
      <w:pPr>
        <w:ind w:right="40" w:firstLine="436"/>
        <w:spacing w:after="0" w:line="257" w:lineRule="auto"/>
        <w:tabs>
          <w:tab w:leader="none" w:pos="78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Arial" w:cs="Arial" w:eastAsia="Arial" w:hAnsi="Arial"/>
          <w:sz w:val="18"/>
          <w:szCs w:val="18"/>
          <w:b w:val="1"/>
          <w:bCs w:val="1"/>
          <w:color w:val="auto"/>
        </w:rPr>
        <w:t>FINRA</w:t>
      </w:r>
      <w:r>
        <w:rPr>
          <w:rFonts w:ascii="Arial" w:cs="Arial" w:eastAsia="Arial" w:hAnsi="Arial"/>
          <w:sz w:val="18"/>
          <w:szCs w:val="18"/>
          <w:color w:val="auto"/>
        </w:rPr>
        <w:t>”) rules and any letters, filings or other supplemental information provided to FINRA pursuant to FINRA Rules or NASD Conduct Rules is true, complete and correct. The Company meets the requirements for use of Form S-3 under the Securities Act specified in FINRA Rule 5110(b)(7)(C)(i).</w:t>
      </w:r>
    </w:p>
    <w:p>
      <w:pPr>
        <w:spacing w:after="0" w:line="79" w:lineRule="exact"/>
        <w:rPr>
          <w:rFonts w:ascii="Arial" w:cs="Arial" w:eastAsia="Arial" w:hAnsi="Arial"/>
          <w:sz w:val="18"/>
          <w:szCs w:val="18"/>
          <w:color w:val="auto"/>
        </w:rPr>
      </w:pPr>
    </w:p>
    <w:p>
      <w:pPr>
        <w:ind w:left="760" w:hanging="324"/>
        <w:spacing w:after="0"/>
        <w:tabs>
          <w:tab w:leader="none" w:pos="76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 Unlawful Contributions or Other Payments</w:t>
      </w:r>
      <w:r>
        <w:rPr>
          <w:rFonts w:ascii="Arial" w:cs="Arial" w:eastAsia="Arial" w:hAnsi="Arial"/>
          <w:sz w:val="17"/>
          <w:szCs w:val="17"/>
          <w:color w:val="auto"/>
        </w:rPr>
        <w:t>. Except as otherwise disclosed in the Prospectus, neither the Company nor any of its</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subsidiaries and,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8" w:name="page69"/>
    <w:bookmarkEnd w:id="68"/>
    <w:p>
      <w:pPr>
        <w:ind w:left="4" w:right="40" w:firstLine="436"/>
        <w:spacing w:after="0" w:line="283" w:lineRule="auto"/>
        <w:tabs>
          <w:tab w:leader="none" w:pos="726"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Environmental Laws</w:t>
      </w:r>
      <w:r>
        <w:rPr>
          <w:rFonts w:ascii="Arial" w:cs="Arial" w:eastAsia="Arial" w:hAnsi="Arial"/>
          <w:sz w:val="16"/>
          <w:szCs w:val="16"/>
          <w:color w:val="auto"/>
        </w:rPr>
        <w:t>. (i) The Company (x) is in compliance with all, and has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(y) has received and is in compliance with all, and have not violated any, permits, licenses, certificates or other authorizations or approvals required of it under any Environmental Laws to conduct its businesses, except where such non-compliance with Environmental Laws, failure to receive required permits, licenses or other approvals or failure to comply with such permits, licenses, certificates or approvals would not individually or in the aggregate, reasonably be expected to have a Material Adverse Change; (z) has not received written notice of any actual or potential liability by the Company or obligation of the Company under or relating to, or any material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and (iii)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w:t>
      </w:r>
    </w:p>
    <w:p>
      <w:pPr>
        <w:spacing w:after="0" w:line="1" w:lineRule="exact"/>
        <w:rPr>
          <w:rFonts w:ascii="Arial" w:cs="Arial" w:eastAsia="Arial" w:hAnsi="Arial"/>
          <w:sz w:val="16"/>
          <w:szCs w:val="16"/>
          <w:color w:val="auto"/>
        </w:rPr>
      </w:pPr>
    </w:p>
    <w:p>
      <w:pPr>
        <w:ind w:left="4" w:right="560" w:hanging="4"/>
        <w:spacing w:after="0" w:line="255"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is not aware of any facts or issues regarding compliance with Environmental Laws, or liabilities or other obligations under Environmental Laws or concerning hazardous or toxic substances or wastes, pollutants or contaminants, and (z) the Company does not anticipate material capital expenditures relating to any Environmental Laws.</w:t>
      </w:r>
    </w:p>
    <w:p>
      <w:pPr>
        <w:spacing w:after="0" w:line="81" w:lineRule="exact"/>
        <w:rPr>
          <w:rFonts w:ascii="Arial" w:cs="Arial" w:eastAsia="Arial" w:hAnsi="Arial"/>
          <w:sz w:val="18"/>
          <w:szCs w:val="18"/>
          <w:color w:val="auto"/>
        </w:rPr>
      </w:pPr>
    </w:p>
    <w:p>
      <w:pPr>
        <w:ind w:left="4" w:firstLine="436"/>
        <w:spacing w:after="0" w:line="273" w:lineRule="auto"/>
        <w:tabs>
          <w:tab w:leader="none" w:pos="789"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Periodic Review of Costs of Environmental Compliance</w:t>
      </w:r>
      <w:r>
        <w:rPr>
          <w:rFonts w:ascii="Arial" w:cs="Arial" w:eastAsia="Arial" w:hAnsi="Arial"/>
          <w:sz w:val="17"/>
          <w:szCs w:val="17"/>
          <w:color w:val="auto"/>
        </w:rPr>
        <w:t>.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result in a Material Adverse Change.</w:t>
      </w:r>
    </w:p>
    <w:p>
      <w:pPr>
        <w:spacing w:after="0" w:line="69" w:lineRule="exact"/>
        <w:rPr>
          <w:rFonts w:ascii="Arial" w:cs="Arial" w:eastAsia="Arial" w:hAnsi="Arial"/>
          <w:sz w:val="17"/>
          <w:szCs w:val="17"/>
          <w:color w:val="auto"/>
        </w:rPr>
      </w:pPr>
    </w:p>
    <w:p>
      <w:pPr>
        <w:ind w:left="784" w:hanging="344"/>
        <w:spacing w:after="0"/>
        <w:tabs>
          <w:tab w:leader="none" w:pos="784"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color w:val="auto"/>
        </w:rPr>
        <w:t>. Except as would not, individually or in the aggregate, reasonably be expected to have a Material Adverse Change,</w:t>
      </w:r>
    </w:p>
    <w:p>
      <w:pPr>
        <w:spacing w:after="0" w:line="35" w:lineRule="exact"/>
        <w:rPr>
          <w:sz w:val="20"/>
          <w:szCs w:val="20"/>
          <w:color w:val="auto"/>
        </w:rPr>
      </w:pPr>
    </w:p>
    <w:p>
      <w:pPr>
        <w:ind w:left="4" w:right="20" w:hanging="4"/>
        <w:spacing w:after="0" w:line="252" w:lineRule="auto"/>
        <w:tabs>
          <w:tab w:leader="none" w:pos="219"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employee benefit plan, within the meaning of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and no prohibited transaction, within the meaning of Section 406 of ERISA or Section 4975 of the Code, has occurred with respect to</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69" w:name="page70"/>
    <w:bookmarkEnd w:id="6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Plan, excluding transactions effected pursuant to a statutory or administrative exemption; (ii) for each Plan that is subject to the funding rules of Section 412 of the Code or Section 302 of ERISA, no Plan has failed, or is reasonably expected to fail, to satisfy the minimum funding standards (within the meaning of Section 302 of ERISA or Section 412 of the Code) applicable to such Plan; (iii) none of the Plans are “multiemployer plans” within the meaning of Section 4001(a)(3) of ERISA, and (iv) each Plan that is intended to be qualified under Section 401(a) of the Code is so qualified, and nothing has occurred, whether by action or failure to act, which would cause the loss of such qualification.</w:t>
      </w:r>
    </w:p>
    <w:p>
      <w:pPr>
        <w:spacing w:after="0" w:line="68" w:lineRule="exact"/>
        <w:rPr>
          <w:sz w:val="20"/>
          <w:szCs w:val="20"/>
          <w:color w:val="auto"/>
        </w:rPr>
      </w:pPr>
    </w:p>
    <w:p>
      <w:pPr>
        <w:ind w:right="100" w:firstLine="436"/>
        <w:spacing w:after="0" w:line="277"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62" w:lineRule="exact"/>
        <w:rPr>
          <w:rFonts w:ascii="Arial" w:cs="Arial" w:eastAsia="Arial" w:hAnsi="Arial"/>
          <w:sz w:val="18"/>
          <w:szCs w:val="18"/>
          <w:color w:val="auto"/>
        </w:rPr>
      </w:pPr>
    </w:p>
    <w:p>
      <w:pPr>
        <w:ind w:right="360" w:firstLine="436"/>
        <w:spacing w:after="0" w:line="263"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Extensions of Credit</w:t>
      </w:r>
      <w:r>
        <w:rPr>
          <w:rFonts w:ascii="Arial" w:cs="Arial" w:eastAsia="Arial" w:hAnsi="Arial"/>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75" w:lineRule="exact"/>
        <w:rPr>
          <w:rFonts w:ascii="Arial" w:cs="Arial" w:eastAsia="Arial" w:hAnsi="Arial"/>
          <w:sz w:val="18"/>
          <w:szCs w:val="18"/>
          <w:color w:val="auto"/>
        </w:rPr>
      </w:pPr>
    </w:p>
    <w:p>
      <w:pPr>
        <w:ind w:right="160" w:firstLine="436"/>
        <w:spacing w:after="0" w:line="277" w:lineRule="auto"/>
        <w:tabs>
          <w:tab w:leader="none" w:pos="7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has been and is in compliance with all applicable laws, rules and regulations, except where failure to be so in compliance could not be expected, individually or in the aggregate, to result in a Material Adverse Change.</w:t>
      </w:r>
    </w:p>
    <w:p>
      <w:pPr>
        <w:spacing w:after="0" w:line="58" w:lineRule="exact"/>
        <w:rPr>
          <w:rFonts w:ascii="Arial" w:cs="Arial" w:eastAsia="Arial" w:hAnsi="Arial"/>
          <w:sz w:val="18"/>
          <w:szCs w:val="18"/>
          <w:color w:val="auto"/>
        </w:rPr>
      </w:pPr>
    </w:p>
    <w:p>
      <w:pPr>
        <w:ind w:right="160" w:firstLine="436"/>
        <w:spacing w:after="0" w:line="277" w:lineRule="auto"/>
        <w:tabs>
          <w:tab w:leader="none" w:pos="70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Anti-Corruption and Anti-Bribery Laws</w:t>
      </w:r>
      <w:r>
        <w:rPr>
          <w:rFonts w:ascii="Arial" w:cs="Arial" w:eastAsia="Arial" w:hAnsi="Arial"/>
          <w:sz w:val="17"/>
          <w:szCs w:val="17"/>
          <w:b w:val="1"/>
          <w:bCs w:val="1"/>
          <w:color w:val="auto"/>
        </w:rPr>
        <w:t>.</w:t>
      </w:r>
      <w:r>
        <w:rPr>
          <w:rFonts w:ascii="Arial" w:cs="Arial" w:eastAsia="Arial" w:hAnsi="Arial"/>
          <w:sz w:val="17"/>
          <w:szCs w:val="17"/>
          <w:color w:val="auto"/>
        </w:rPr>
        <w:t xml:space="preserve"> Neither the Company nor, to the knowledge of the Company, any director, officer, agent, employee, affiliate or other person associated with or acting on behalf of the Company has (i) made, offered, promised or authorized any unlawful contribution, gift, entertainment or other unlawful expense or taken any act in furtherance thereof); (ii) made, offered, promised or authorized any direct or indirect unlawful payment; or (iii) violated or is in violation of any applicable provision of the U.S. Foreign Corrupt Practices Act of 1977, as amended, the Bribery Act 2010 of the United Kingdom or any other applicable anti-bribery or anti-corruption law.</w:t>
      </w:r>
    </w:p>
    <w:p>
      <w:pPr>
        <w:spacing w:after="0" w:line="63" w:lineRule="exact"/>
        <w:rPr>
          <w:rFonts w:ascii="Arial" w:cs="Arial" w:eastAsia="Arial" w:hAnsi="Arial"/>
          <w:sz w:val="17"/>
          <w:szCs w:val="17"/>
          <w:color w:val="auto"/>
        </w:rPr>
      </w:pPr>
    </w:p>
    <w:p>
      <w:pPr>
        <w:ind w:right="60" w:firstLine="436"/>
        <w:spacing w:after="0" w:line="296" w:lineRule="auto"/>
        <w:tabs>
          <w:tab w:leader="none" w:pos="88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the Company are, and have been conducted at all times in compliance with applicable anti-money laundering laws, including, but not limited to, the Bank Secrecy Act of 1970, as amended by the USA PATRIOT ACT of 2001, and the rules and regulations promulgated thereunder, and the anti-money laundering laws of the various jurisdictions in which the Company conducts business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53" w:lineRule="exact"/>
        <w:rPr>
          <w:rFonts w:ascii="Arial" w:cs="Arial" w:eastAsia="Arial" w:hAnsi="Arial"/>
          <w:sz w:val="16"/>
          <w:szCs w:val="16"/>
          <w:color w:val="auto"/>
        </w:rPr>
      </w:pPr>
    </w:p>
    <w:p>
      <w:pPr>
        <w:ind w:firstLine="436"/>
        <w:spacing w:after="0" w:line="257" w:lineRule="auto"/>
        <w:tabs>
          <w:tab w:leader="none" w:pos="7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Neither the Company nor, to the knowledge of the Company, any director, officer, agent, employee or affiliate of the Company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Her Majesty’s Treasury, the United Nations Security Council,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 is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70" w:name="page71"/>
    <w:bookmarkEnd w:id="70"/>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located, organized or resident in a country or territory that is the subject or target of Sanctions,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68" w:lineRule="exact"/>
        <w:rPr>
          <w:sz w:val="20"/>
          <w:szCs w:val="20"/>
          <w:color w:val="auto"/>
        </w:rPr>
      </w:pPr>
    </w:p>
    <w:p>
      <w:pPr>
        <w:ind w:firstLine="436"/>
        <w:spacing w:after="0" w:line="284" w:lineRule="auto"/>
        <w:tabs>
          <w:tab w:leader="none" w:pos="78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Health Care Laws</w:t>
      </w:r>
      <w:r>
        <w:rPr>
          <w:rFonts w:ascii="Arial" w:cs="Arial" w:eastAsia="Arial" w:hAnsi="Arial"/>
          <w:sz w:val="16"/>
          <w:szCs w:val="16"/>
          <w:color w:val="auto"/>
        </w:rPr>
        <w:t>. Except as described in the Registration Statement and the Prospectus, the Company: (i) has operated and currently operates its business in compliance in all material respects with applicable provisions of the Health Care Laws (as defined below) of the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the Department of Health and Human Services (“</w:t>
      </w:r>
      <w:r>
        <w:rPr>
          <w:rFonts w:ascii="Arial" w:cs="Arial" w:eastAsia="Arial" w:hAnsi="Arial"/>
          <w:sz w:val="16"/>
          <w:szCs w:val="16"/>
          <w:b w:val="1"/>
          <w:bCs w:val="1"/>
          <w:color w:val="auto"/>
        </w:rPr>
        <w:t>HHS</w:t>
      </w:r>
      <w:r>
        <w:rPr>
          <w:rFonts w:ascii="Arial" w:cs="Arial" w:eastAsia="Arial" w:hAnsi="Arial"/>
          <w:sz w:val="16"/>
          <w:szCs w:val="16"/>
          <w:color w:val="auto"/>
        </w:rPr>
        <w:t>”) and any comparable foreign or other regulatory authority to which they are subject (collectively, the “</w:t>
      </w:r>
      <w:r>
        <w:rPr>
          <w:rFonts w:ascii="Arial" w:cs="Arial" w:eastAsia="Arial" w:hAnsi="Arial"/>
          <w:sz w:val="16"/>
          <w:szCs w:val="16"/>
          <w:b w:val="1"/>
          <w:bCs w:val="1"/>
          <w:color w:val="auto"/>
        </w:rPr>
        <w:t>Applicable Regulatory Authorities</w:t>
      </w:r>
      <w:r>
        <w:rPr>
          <w:rFonts w:ascii="Arial" w:cs="Arial" w:eastAsia="Arial" w:hAnsi="Arial"/>
          <w:sz w:val="16"/>
          <w:szCs w:val="16"/>
          <w:color w:val="auto"/>
        </w:rPr>
        <w:t>”) applicable to the ownership, testing, development, manufacture, packaging, processing, use, distribution, storage, import, export or disposal of any of the Company’s product candidates or any product manufactured or distributed by the Company; (ii) has not received any FDA Form 483, written notice of adverse finding, warning letter, untitled letter or other correspondence or written notice from any court or arbitrator or the Applicable Regulatory Authorities alleging or asserting non-compliance with any Health Care Laws or the licenses, certificates, approvals, clearances, registrations, exemptions, authorizations, permits and supplements or amendments thereto as required by any such Health Care Laws (“</w:t>
      </w:r>
      <w:r>
        <w:rPr>
          <w:rFonts w:ascii="Arial" w:cs="Arial" w:eastAsia="Arial" w:hAnsi="Arial"/>
          <w:sz w:val="16"/>
          <w:szCs w:val="16"/>
          <w:b w:val="1"/>
          <w:bCs w:val="1"/>
          <w:color w:val="auto"/>
        </w:rPr>
        <w:t>Regulatory Authorizations</w:t>
      </w:r>
      <w:r>
        <w:rPr>
          <w:rFonts w:ascii="Arial" w:cs="Arial" w:eastAsia="Arial" w:hAnsi="Arial"/>
          <w:sz w:val="16"/>
          <w:szCs w:val="16"/>
          <w:color w:val="auto"/>
        </w:rPr>
        <w:t>”); (iii) possesses all Regulatory Authorizations required to conduct its business as currently conducted and such Regulatory Authorizations are valid and in full force and effect and the Company is not in violation, in any material respect, of any term of any such Regulatory Authorizations; (iv) has not received notice of any claim, action, suit, proceeding, hearing, enforcement, investigation, arbitration or other action from any court or arbitrator or the Applicable Regulatory Authorities or any other third party alleging that any product operation or activity is in material violation of any Health Care Laws and has no knowledge that the Applicable Regulatory Authorities or any other third party is considering any such claim, litigation, arbitration, action, suit, investigation or proceeding; (v) has not received notice that any of the Applicable Regulatory Authorities has taken, is taking or intends to take action to materially adversely limit, suspend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required reports, documents, forms, notices, applications, records, claims, submissions and supplements or amendments were materially complete and correct on the date filed (or were materially corrected or supplemented by a subsequent submission); (vii) is not a party to or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and directors,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71" w:name="page72"/>
    <w:bookmarkEnd w:id="71"/>
    <w:p>
      <w:pPr>
        <w:ind w:right="10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(“HIPAA”); the Civil Monetary Penalties Law, 42 U.S.C. §§ 1320a-7a and 1320a-7b; the Exclusion Laws, 42 U.S.C. § 1320a-7; HIPAA, as amended by the Health Information Technology for Economic and Clinical Health Act, 42 U.S.C. §§ 17921 et seq.; the Federal Food, Drug, and Cosmetic Act, 21 U.S.C. §§ 301 et seq.; in each case as amended; the regulations promulgated pursuant to such laws; and any similar federal, state and local laws and regulations.</w:t>
      </w:r>
    </w:p>
    <w:p>
      <w:pPr>
        <w:spacing w:after="0" w:line="70" w:lineRule="exact"/>
        <w:rPr>
          <w:sz w:val="20"/>
          <w:szCs w:val="20"/>
          <w:color w:val="auto"/>
        </w:rPr>
      </w:pPr>
    </w:p>
    <w:p>
      <w:pPr>
        <w:ind w:right="240" w:firstLine="436"/>
        <w:spacing w:after="0" w:line="308" w:lineRule="auto"/>
        <w:tabs>
          <w:tab w:leader="none" w:pos="78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Manufacturing</w:t>
      </w:r>
      <w:r>
        <w:rPr>
          <w:rFonts w:ascii="Arial" w:cs="Arial" w:eastAsia="Arial" w:hAnsi="Arial"/>
          <w:sz w:val="17"/>
          <w:szCs w:val="17"/>
          <w:color w:val="auto"/>
        </w:rPr>
        <w:t>. To the Company’s knowledge, the manufacturing facilities and operations of its suppliers are operated in compliance in all material respects with all applicable statutes, rules, regulations and legal requirements of the Applicable Regulatory Authorities.</w:t>
      </w:r>
    </w:p>
    <w:p>
      <w:pPr>
        <w:spacing w:after="0" w:line="38" w:lineRule="exact"/>
        <w:rPr>
          <w:rFonts w:ascii="Arial" w:cs="Arial" w:eastAsia="Arial" w:hAnsi="Arial"/>
          <w:sz w:val="17"/>
          <w:szCs w:val="17"/>
          <w:color w:val="auto"/>
        </w:rPr>
      </w:pPr>
    </w:p>
    <w:p>
      <w:pPr>
        <w:ind w:firstLine="436"/>
        <w:spacing w:after="0" w:line="268" w:lineRule="auto"/>
        <w:tabs>
          <w:tab w:leader="none" w:pos="78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Clinical Data and Regulatory Compliance</w:t>
      </w:r>
      <w:r>
        <w:rPr>
          <w:rFonts w:ascii="Arial" w:cs="Arial" w:eastAsia="Arial" w:hAnsi="Arial"/>
          <w:sz w:val="17"/>
          <w:szCs w:val="17"/>
          <w:color w:val="auto"/>
        </w:rPr>
        <w:t>. None of the Company’s product candidates have received marketing approval from any Applicable Regulatory Authority. All clinical and pre-clinical studies and trials with respect to the Company’s product candidates conducted or sponsored by the Company (collectively, “</w:t>
      </w:r>
      <w:r>
        <w:rPr>
          <w:rFonts w:ascii="Arial" w:cs="Arial" w:eastAsia="Arial" w:hAnsi="Arial"/>
          <w:sz w:val="17"/>
          <w:szCs w:val="17"/>
          <w:b w:val="1"/>
          <w:bCs w:val="1"/>
          <w:color w:val="auto"/>
        </w:rPr>
        <w:t>Company Trials</w:t>
      </w:r>
      <w:r>
        <w:rPr>
          <w:rFonts w:ascii="Arial" w:cs="Arial" w:eastAsia="Arial" w:hAnsi="Arial"/>
          <w:sz w:val="17"/>
          <w:szCs w:val="17"/>
          <w:color w:val="auto"/>
        </w:rPr>
        <w:t>”), were, and if still pending are, to the Company’s knowledge, being conducted in all material respects in accordance with all applicable Health Care Laws of the Applicable Regulatory Authorities and current Good Clinical Practices and Good Laboratory Practices, unless exempt, study protocols, applicable rules and regulations in the jurisdiction in which such trials and studies are being conducted; the descriptions in the Registration Statement and the Prospectus of the results of any Company Trials are accurate and fair summaries in all material respects and fairly present the data derived therefrom; the Company has not received any written notices, correspondence or other communications from the Applicable Regulatory Authorities or any other governmental entity requiring or threatening the termination, material adverse modification or suspension of Company Trials, other than ordinary course communications in connection with the design and implementation of such studies or trials, and, to the Company’s knowledge, there are no reasonable grounds for the same. No investigational new drug application or comparable submission filed by or on behalf of the Company with the FDA has been terminated or suspended by the FDA or any other Applicable Regulatory Authority. To the Company’s knowledge, none of the Company Trials have involved any investigator who has been disqualified as a clinical investigator or has been found by the FDA to have engaged in scientific misconduct.</w:t>
      </w:r>
    </w:p>
    <w:p>
      <w:pPr>
        <w:spacing w:after="0" w:line="78" w:lineRule="exact"/>
        <w:rPr>
          <w:rFonts w:ascii="Arial" w:cs="Arial" w:eastAsia="Arial" w:hAnsi="Arial"/>
          <w:sz w:val="17"/>
          <w:szCs w:val="17"/>
          <w:color w:val="auto"/>
        </w:rPr>
      </w:pPr>
    </w:p>
    <w:p>
      <w:pPr>
        <w:ind w:firstLine="436"/>
        <w:spacing w:after="0" w:line="277" w:lineRule="auto"/>
        <w:tabs>
          <w:tab w:leader="none" w:pos="72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in all material respects, with all applicable provisions of the Sarbanes-Oxley Act of 2002 and the rules and regulations promulgated thereunder.</w:t>
      </w:r>
    </w:p>
    <w:p>
      <w:pPr>
        <w:spacing w:after="0" w:line="62" w:lineRule="exact"/>
        <w:rPr>
          <w:rFonts w:ascii="Arial" w:cs="Arial" w:eastAsia="Arial" w:hAnsi="Arial"/>
          <w:sz w:val="18"/>
          <w:szCs w:val="18"/>
          <w:color w:val="auto"/>
        </w:rPr>
      </w:pPr>
    </w:p>
    <w:p>
      <w:pPr>
        <w:jc w:val="both"/>
        <w:ind w:right="40" w:firstLine="436"/>
        <w:spacing w:after="0" w:line="263" w:lineRule="auto"/>
        <w:tabs>
          <w:tab w:leader="none" w:pos="74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72" w:name="page73"/>
    <w:bookmarkEnd w:id="72"/>
    <w:p>
      <w:pPr>
        <w:ind w:firstLine="436"/>
        <w:spacing w:after="0" w:line="286"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Cybersecurity</w:t>
      </w:r>
      <w:r>
        <w:rPr>
          <w:rFonts w:ascii="Arial" w:cs="Arial" w:eastAsia="Arial" w:hAnsi="Arial"/>
          <w:sz w:val="16"/>
          <w:szCs w:val="16"/>
          <w:color w:val="auto"/>
        </w:rPr>
        <w:t>. Except as would not reasonably be expected to have a Material Adverse Change, the Company’s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in capacity and operation for, and operate and perform in all material respects as required in connection with the operation of the business of the Company as currently conducted, and to the Company’s knowledge, free and clear of all material Trojan horses, time bombs, malware and other malicious code. The Company has implemented and maintained commercially reasonable controls, policies, procedures, and safeguards to maintain and protect its material confidential information and the integrity, continuous operation, redundancy and security of all IT Systems and personal, sensitive, confidential, or regulated data (including all personal, personally identifiable, sensitive, confidential or regulated data (“</w:t>
      </w:r>
      <w:r>
        <w:rPr>
          <w:rFonts w:ascii="Arial" w:cs="Arial" w:eastAsia="Arial" w:hAnsi="Arial"/>
          <w:sz w:val="16"/>
          <w:szCs w:val="16"/>
          <w:b w:val="1"/>
          <w:bCs w:val="1"/>
          <w:color w:val="auto"/>
        </w:rPr>
        <w:t>Personal Data</w:t>
      </w:r>
      <w:r>
        <w:rPr>
          <w:rFonts w:ascii="Arial" w:cs="Arial" w:eastAsia="Arial" w:hAnsi="Arial"/>
          <w:sz w:val="16"/>
          <w:szCs w:val="16"/>
          <w:color w:val="auto"/>
        </w:rPr>
        <w:t>”)) in the Company’s possession or otherwise subject to its operational control, and there have been no breaches, violations, outages or known unauthorized uses of or known accesses to same, except for those that have been remedied without material cost or liability or the duty to notify any other person, and in each case except as would not reasonably be expected to have a Material Adverse Change. The Company is presently in material compliance with all applicable laws or statutes and all judgments, orders, rules and regulations of any court or arbitrator or governmental or regulatory authority of competent jurisdiction, and all of its internal policies and contractual obligations relating to the privacy and security of IT Systems and Personal Data and to the protection of such IT Systems and Personal Data from unauthorized use, access, misappropriation or modification, except where the failure to be in compliance would not reasonably be expected to have a Material Adverse Change.</w:t>
      </w:r>
    </w:p>
    <w:p>
      <w:pPr>
        <w:spacing w:after="0" w:line="62" w:lineRule="exact"/>
        <w:rPr>
          <w:rFonts w:ascii="Arial" w:cs="Arial" w:eastAsia="Arial" w:hAnsi="Arial"/>
          <w:sz w:val="16"/>
          <w:szCs w:val="16"/>
          <w:color w:val="auto"/>
        </w:rPr>
      </w:pPr>
    </w:p>
    <w:p>
      <w:pPr>
        <w:ind w:right="40" w:firstLine="436"/>
        <w:spacing w:after="0" w:line="285" w:lineRule="auto"/>
        <w:tabs>
          <w:tab w:leader="none" w:pos="78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Compliance with Data Privacy Laws</w:t>
      </w:r>
      <w:r>
        <w:rPr>
          <w:rFonts w:ascii="Arial" w:cs="Arial" w:eastAsia="Arial" w:hAnsi="Arial"/>
          <w:sz w:val="16"/>
          <w:szCs w:val="16"/>
          <w:color w:val="auto"/>
        </w:rPr>
        <w:t>. The Company is, and at all prior times was, in material compliance with all applicable data privacy and security laws and regulations, including without limitation, as applicable, HIPAA, as amended, and the European Union General Data Protection Regulation (“</w:t>
      </w:r>
      <w:r>
        <w:rPr>
          <w:rFonts w:ascii="Arial" w:cs="Arial" w:eastAsia="Arial" w:hAnsi="Arial"/>
          <w:sz w:val="16"/>
          <w:szCs w:val="16"/>
          <w:b w:val="1"/>
          <w:bCs w:val="1"/>
          <w:color w:val="auto"/>
        </w:rPr>
        <w:t>GDPR</w:t>
      </w:r>
      <w:r>
        <w:rPr>
          <w:rFonts w:ascii="Arial" w:cs="Arial" w:eastAsia="Arial" w:hAnsi="Arial"/>
          <w:sz w:val="16"/>
          <w:szCs w:val="16"/>
          <w:color w:val="auto"/>
        </w:rPr>
        <w:t>”) (EU 2016/679) (and all other applicable laws and regulations with respect to Personal Data (as defined below) that have been announced as of the date hereof as becoming effective within 12 months after the date hereof, and for which any non-compliance with the same would be reasonably likely to create a material liability) as soon as they take effect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To ensure material compliance with the Privacy Laws, the Company has in place and is in material compliance with commercially reasonable policies and procedures relating to data privacy and security and the collection, storage, use, disclosure, handling, and analysis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as applicable. The Company has since inception made all disclosures to users or customers required by applicable laws and regulatory rules or requirements, and has provided accurate notice of its Policies then in effect to its customers, employees, third party vendors and representatives as required by applicable laws and regulatory rules or requirements, except where the failure to do so would not, individually or in the aggregate, have a Material Adverse Change.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violation of any Privacy Laws or Policies. Except as would not, individually or in the aggregate, have a Material Adverse Change, the Company: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or (iii) is not a party to any order, decree, or agreement that imposes any obligation or liability under any Privacy Law.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73" w:name="page74"/>
    <w:bookmarkEnd w:id="73"/>
    <w:p>
      <w:pPr>
        <w:ind w:right="120" w:firstLine="436"/>
        <w:spacing w:after="0" w:line="286" w:lineRule="auto"/>
        <w:tabs>
          <w:tab w:leader="none" w:pos="78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Emerging Growth Company Status</w:t>
      </w:r>
      <w:r>
        <w:rPr>
          <w:rFonts w:ascii="Arial" w:cs="Arial" w:eastAsia="Arial" w:hAnsi="Arial"/>
          <w:sz w:val="17"/>
          <w:szCs w:val="17"/>
          <w:color w:val="auto"/>
        </w:rPr>
        <w:t>. On the date of the initial filing of the Registration Statement with the Commission, the Company has been and is an “emerging growth company,” as defined in Section 2(a) of the Securities Act (an “</w:t>
      </w:r>
      <w:r>
        <w:rPr>
          <w:rFonts w:ascii="Arial" w:cs="Arial" w:eastAsia="Arial" w:hAnsi="Arial"/>
          <w:sz w:val="17"/>
          <w:szCs w:val="17"/>
          <w:b w:val="1"/>
          <w:bCs w:val="1"/>
          <w:color w:val="auto"/>
        </w:rPr>
        <w:t>Emerging Growth Company</w:t>
      </w:r>
      <w:r>
        <w:rPr>
          <w:rFonts w:ascii="Arial" w:cs="Arial" w:eastAsia="Arial" w:hAnsi="Arial"/>
          <w:sz w:val="17"/>
          <w:szCs w:val="17"/>
          <w:color w:val="auto"/>
        </w:rPr>
        <w:t>”); provided, however, that the Company is expected to cease being an Emerging Growth Company as of December 31, 2021.</w:t>
      </w:r>
    </w:p>
    <w:p>
      <w:pPr>
        <w:spacing w:after="0" w:line="57" w:lineRule="exact"/>
        <w:rPr>
          <w:rFonts w:ascii="Arial" w:cs="Arial" w:eastAsia="Arial" w:hAnsi="Arial"/>
          <w:sz w:val="17"/>
          <w:szCs w:val="17"/>
          <w:color w:val="auto"/>
        </w:rPr>
      </w:pPr>
    </w:p>
    <w:p>
      <w:pPr>
        <w:ind w:right="60" w:firstLine="436"/>
        <w:spacing w:after="0" w:line="263" w:lineRule="auto"/>
        <w:tabs>
          <w:tab w:leader="none" w:pos="86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There are no off-balance sheet arrangements (as defined in Regulation S-K Item 303(a)(4)(ii) of the Act) that have or are reasonably likely to have a Material Adverse Change on the Company’s financial condition, changes in financial condition, results of operations, liquidity, capital expenditures or capital resources.</w:t>
      </w:r>
    </w:p>
    <w:p>
      <w:pPr>
        <w:spacing w:after="0" w:line="75" w:lineRule="exact"/>
        <w:rPr>
          <w:rFonts w:ascii="Arial" w:cs="Arial" w:eastAsia="Arial" w:hAnsi="Arial"/>
          <w:sz w:val="18"/>
          <w:szCs w:val="18"/>
          <w:color w:val="auto"/>
        </w:rPr>
      </w:pPr>
    </w:p>
    <w:p>
      <w:pPr>
        <w:ind w:right="220" w:firstLine="436"/>
        <w:spacing w:after="0" w:line="308" w:lineRule="auto"/>
        <w:tabs>
          <w:tab w:leader="none" w:pos="78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 Ratings</w:t>
      </w:r>
      <w:r>
        <w:rPr>
          <w:rFonts w:ascii="Arial" w:cs="Arial" w:eastAsia="Arial" w:hAnsi="Arial"/>
          <w:sz w:val="17"/>
          <w:szCs w:val="17"/>
          <w:color w:val="auto"/>
        </w:rPr>
        <w:t>. There are no debt securities, convertible securities or preferred stock issued or guaranteed by the Company that are rated by a “nationally recognized statistical rating organization”, as such term is defined in Section 3(a)(62) under the Exchange Act.</w:t>
      </w:r>
    </w:p>
    <w:p>
      <w:pPr>
        <w:spacing w:after="0" w:line="38" w:lineRule="exact"/>
        <w:rPr>
          <w:rFonts w:ascii="Arial" w:cs="Arial" w:eastAsia="Arial" w:hAnsi="Arial"/>
          <w:sz w:val="17"/>
          <w:szCs w:val="17"/>
          <w:color w:val="auto"/>
        </w:rPr>
      </w:pPr>
    </w:p>
    <w:p>
      <w:pPr>
        <w:ind w:right="40" w:firstLine="436"/>
        <w:spacing w:after="0" w:line="277" w:lineRule="auto"/>
        <w:tabs>
          <w:tab w:leader="none" w:pos="78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6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and delivered to the Agent or counsel for the Agent in connection with an issuance of Shares shall be deemed a representation and warranty by the Company to the Agent as to the matters covered thereby on the date of such certificate.</w:t>
      </w:r>
    </w:p>
    <w:p>
      <w:pPr>
        <w:spacing w:after="0" w:line="76"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The Company acknowledges that the Agent and, for purposes of the opinions to be delivered pursuant to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5(a)(v)</w:t>
      </w:r>
      <w:r>
        <w:rPr>
          <w:rFonts w:ascii="Arial" w:cs="Arial" w:eastAsia="Arial" w:hAnsi="Arial"/>
          <w:sz w:val="18"/>
          <w:szCs w:val="18"/>
          <w:color w:val="auto"/>
        </w:rPr>
        <w:t xml:space="preserve"> hereof, counsel to the Company and counsel to the Agent, will rely upon the accuracy and truthfulness of the foregoing representations and hereby consents to such reliance.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121" w:lineRule="exact"/>
        <w:rPr>
          <w:sz w:val="20"/>
          <w:szCs w:val="20"/>
          <w:color w:val="auto"/>
        </w:rPr>
      </w:pPr>
    </w:p>
    <w:p>
      <w:pPr>
        <w:ind w:firstLine="436"/>
        <w:spacing w:after="0" w:line="259" w:lineRule="auto"/>
        <w:tabs>
          <w:tab w:leader="none" w:pos="68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301"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 the sum of (x) the aggregate Sales Price of the requested Issuance Amount, plus (y) the aggregate Sales Price of all Shares issued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74" w:name="page75"/>
    <w:bookmarkEnd w:id="74"/>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80" w:lineRule="exact"/>
        <w:rPr>
          <w:sz w:val="20"/>
          <w:szCs w:val="20"/>
          <w:color w:val="auto"/>
        </w:rPr>
      </w:pPr>
    </w:p>
    <w:p>
      <w:pPr>
        <w:ind w:left="4" w:firstLine="436"/>
        <w:spacing w:after="0" w:line="296" w:lineRule="auto"/>
        <w:tabs>
          <w:tab w:leader="none" w:pos="709"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53" w:lineRule="exact"/>
        <w:rPr>
          <w:rFonts w:ascii="Arial" w:cs="Arial" w:eastAsia="Arial" w:hAnsi="Arial"/>
          <w:sz w:val="16"/>
          <w:szCs w:val="16"/>
          <w:color w:val="auto"/>
        </w:rPr>
      </w:pPr>
    </w:p>
    <w:p>
      <w:pPr>
        <w:ind w:left="764" w:hanging="324"/>
        <w:spacing w:after="0"/>
        <w:tabs>
          <w:tab w:leader="none" w:pos="764"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privately negotiated transactions with the consent of the Company;</w:t>
      </w:r>
    </w:p>
    <w:p>
      <w:pPr>
        <w:spacing w:after="0" w:line="46" w:lineRule="exact"/>
        <w:rPr>
          <w:rFonts w:ascii="Arial" w:cs="Arial" w:eastAsia="Arial" w:hAnsi="Arial"/>
          <w:sz w:val="16"/>
          <w:szCs w:val="16"/>
          <w:color w:val="auto"/>
        </w:rPr>
      </w:pPr>
    </w:p>
    <w:p>
      <w:pPr>
        <w:ind w:left="4" w:right="100" w:hanging="4"/>
        <w:spacing w:after="0" w:line="295" w:lineRule="auto"/>
        <w:tabs>
          <w:tab w:leader="none" w:pos="2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53" w:lineRule="exact"/>
        <w:rPr>
          <w:rFonts w:ascii="Arial" w:cs="Arial" w:eastAsia="Arial" w:hAnsi="Arial"/>
          <w:sz w:val="16"/>
          <w:szCs w:val="16"/>
          <w:color w:val="auto"/>
        </w:rPr>
      </w:pPr>
    </w:p>
    <w:p>
      <w:pPr>
        <w:ind w:left="4" w:right="20" w:firstLine="436"/>
        <w:spacing w:after="0" w:line="286" w:lineRule="auto"/>
        <w:tabs>
          <w:tab w:leader="none" w:pos="749"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57" w:lineRule="exact"/>
        <w:rPr>
          <w:rFonts w:ascii="Arial" w:cs="Arial" w:eastAsia="Arial" w:hAnsi="Arial"/>
          <w:sz w:val="17"/>
          <w:szCs w:val="17"/>
          <w:color w:val="auto"/>
        </w:rPr>
      </w:pPr>
    </w:p>
    <w:p>
      <w:pPr>
        <w:ind w:left="4" w:right="20" w:firstLine="436"/>
        <w:spacing w:after="0" w:line="291" w:lineRule="auto"/>
        <w:tabs>
          <w:tab w:leader="none" w:pos="699"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Each issuance of Shares will be settled on the applicable Settlement Date for such issuance of Shares and,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6"/>
          <w:szCs w:val="16"/>
          <w:b w:val="1"/>
          <w:bCs w:val="1"/>
          <w:color w:val="auto"/>
        </w:rPr>
        <w:t>Time of Sale</w:t>
      </w:r>
      <w:r>
        <w:rPr>
          <w:rFonts w:ascii="Arial" w:cs="Arial" w:eastAsia="Arial" w:hAnsi="Arial"/>
          <w:sz w:val="16"/>
          <w:szCs w:val="16"/>
          <w:color w:val="auto"/>
        </w:rPr>
        <w: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75" w:name="page76"/>
    <w:bookmarkEnd w:id="75"/>
    <w:p>
      <w:pPr>
        <w:ind w:left="-20" w:firstLine="436"/>
        <w:spacing w:after="0" w:line="287" w:lineRule="auto"/>
        <w:tabs>
          <w:tab w:leader="none" w:pos="72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20" w:firstLine="436"/>
        <w:spacing w:after="0" w:line="259" w:lineRule="auto"/>
        <w:tabs>
          <w:tab w:leader="none" w:pos="77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78" w:lineRule="exact"/>
        <w:rPr>
          <w:rFonts w:ascii="Arial" w:cs="Arial" w:eastAsia="Arial" w:hAnsi="Arial"/>
          <w:sz w:val="18"/>
          <w:szCs w:val="18"/>
          <w:color w:val="auto"/>
        </w:rPr>
      </w:pPr>
    </w:p>
    <w:p>
      <w:pPr>
        <w:ind w:left="-20" w:right="220" w:firstLine="436"/>
        <w:spacing w:after="0" w:line="263" w:lineRule="auto"/>
        <w:tabs>
          <w:tab w:leader="none" w:pos="82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76" w:lineRule="exact"/>
        <w:rPr>
          <w:sz w:val="20"/>
          <w:szCs w:val="20"/>
          <w:color w:val="auto"/>
        </w:rPr>
      </w:pPr>
    </w:p>
    <w:p>
      <w:pPr>
        <w:jc w:val="both"/>
        <w:ind w:left="-20" w:right="20" w:firstLine="436"/>
        <w:spacing w:after="0" w:line="263" w:lineRule="auto"/>
        <w:tabs>
          <w:tab w:leader="none" w:pos="66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75" w:lineRule="exact"/>
        <w:rPr>
          <w:rFonts w:ascii="Arial" w:cs="Arial" w:eastAsia="Arial" w:hAnsi="Arial"/>
          <w:sz w:val="18"/>
          <w:szCs w:val="18"/>
          <w:color w:val="auto"/>
        </w:rPr>
      </w:pPr>
    </w:p>
    <w:p>
      <w:pPr>
        <w:ind w:left="-20" w:firstLine="436"/>
        <w:spacing w:after="0" w:line="269" w:lineRule="auto"/>
        <w:tabs>
          <w:tab w:leader="none" w:pos="67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7"/>
          <w:szCs w:val="17"/>
          <w:b w:val="1"/>
          <w:bCs w:val="1"/>
          <w:color w:val="auto"/>
        </w:rPr>
        <w:t>Blue Sky Survey</w:t>
      </w:r>
      <w:r>
        <w:rPr>
          <w:rFonts w:ascii="Arial" w:cs="Arial" w:eastAsia="Arial" w:hAnsi="Arial"/>
          <w:sz w:val="17"/>
          <w:szCs w:val="17"/>
          <w:color w:val="auto"/>
        </w:rPr>
        <w:t>” or memorandum and a Canadian wrapper,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274" w:right="479" w:bottom="1440" w:gutter="0" w:footer="0" w:header="0"/>
        </w:sectPr>
      </w:pPr>
    </w:p>
    <w:bookmarkStart w:id="76" w:name="page77"/>
    <w:bookmarkEnd w:id="76"/>
    <w:p>
      <w:pPr>
        <w:jc w:val="both"/>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supplements thereto, advising the Agent of such qualifications, registrations, determinations and exemptions; (vii) the reasonable and documented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w:t>
      </w:r>
    </w:p>
    <w:p>
      <w:pPr>
        <w:spacing w:after="0" w:line="2" w:lineRule="exact"/>
        <w:rPr>
          <w:sz w:val="20"/>
          <w:szCs w:val="20"/>
          <w:color w:val="auto"/>
        </w:rPr>
      </w:pPr>
    </w:p>
    <w:p>
      <w:pPr>
        <w:ind w:left="4" w:right="40" w:hanging="4"/>
        <w:spacing w:after="0" w:line="268" w:lineRule="auto"/>
        <w:tabs>
          <w:tab w:leader="none" w:pos="309"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the execution of this Agreement and (B) $15,000 in connection with each Triggering Event Date (as defined below) on which the Company is required to provide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ADDITIONAL COVENANTS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left="4" w:right="60" w:firstLine="436"/>
        <w:spacing w:after="0" w:line="254" w:lineRule="auto"/>
        <w:tabs>
          <w:tab w:leader="none" w:pos="68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8"/>
          <w:szCs w:val="18"/>
          <w:b w:val="1"/>
          <w:bCs w:val="1"/>
          <w:color w:val="auto"/>
        </w:rPr>
        <w:t>Interim</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 Supplement”)</w:t>
      </w:r>
      <w:r>
        <w:rPr>
          <w:rFonts w:ascii="Arial" w:cs="Arial" w:eastAsia="Arial" w:hAnsi="Arial"/>
          <w:sz w:val="18"/>
          <w:szCs w:val="18"/>
          <w:color w:val="auto"/>
        </w:rPr>
        <w:t>, such summary information and, at least once a quarter and subject to this Section 4, file such Interim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pursuant to Rule 424(b) under the Securities Act (and within the time periods required by Rule 424(b) and Rule 430B under the Securities Act)).</w:t>
      </w:r>
    </w:p>
    <w:p>
      <w:pPr>
        <w:spacing w:after="0" w:line="83" w:lineRule="exact"/>
        <w:rPr>
          <w:rFonts w:ascii="Arial" w:cs="Arial" w:eastAsia="Arial" w:hAnsi="Arial"/>
          <w:sz w:val="18"/>
          <w:szCs w:val="18"/>
          <w:color w:val="auto"/>
        </w:rPr>
      </w:pPr>
    </w:p>
    <w:p>
      <w:pPr>
        <w:ind w:left="4" w:firstLine="436"/>
        <w:spacing w:after="0" w:line="271" w:lineRule="auto"/>
        <w:tabs>
          <w:tab w:leader="none" w:pos="699"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Securities Act Compliance</w:t>
      </w:r>
      <w:r>
        <w:rPr>
          <w:rFonts w:ascii="Arial" w:cs="Arial" w:eastAsia="Arial" w:hAnsi="Arial"/>
          <w:sz w:val="17"/>
          <w:szCs w:val="17"/>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77" w:name="page78"/>
    <w:bookmarkEnd w:id="77"/>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49" w:lineRule="exact"/>
        <w:rPr>
          <w:sz w:val="20"/>
          <w:szCs w:val="20"/>
          <w:color w:val="auto"/>
        </w:rPr>
      </w:pPr>
    </w:p>
    <w:p>
      <w:pPr>
        <w:ind w:right="80" w:firstLine="436"/>
        <w:spacing w:after="0" w:line="288" w:lineRule="auto"/>
        <w:tabs>
          <w:tab w:leader="none" w:pos="68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60" w:lineRule="exact"/>
        <w:rPr>
          <w:rFonts w:ascii="Arial" w:cs="Arial" w:eastAsia="Arial" w:hAnsi="Arial"/>
          <w:sz w:val="16"/>
          <w:szCs w:val="16"/>
          <w:color w:val="auto"/>
        </w:rPr>
      </w:pPr>
    </w:p>
    <w:p>
      <w:pPr>
        <w:ind w:right="20" w:firstLine="436"/>
        <w:spacing w:after="0" w:line="254"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Agent’s Review of Proposed Amendments and Supplements</w:t>
      </w:r>
      <w:r>
        <w:rPr>
          <w:rFonts w:ascii="Arial" w:cs="Arial" w:eastAsia="Arial" w:hAnsi="Arial"/>
          <w:sz w:val="18"/>
          <w:szCs w:val="18"/>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such consent not to be unreasonably withheld, conditioned or delayed, and to file with the Commission within the applicable period specified in Rule 424(b) under the Securities Act any prospectus required to be filed pursuant to such Rule.</w:t>
      </w:r>
    </w:p>
    <w:p>
      <w:pPr>
        <w:spacing w:after="0" w:line="86" w:lineRule="exact"/>
        <w:rPr>
          <w:rFonts w:ascii="Arial" w:cs="Arial" w:eastAsia="Arial" w:hAnsi="Arial"/>
          <w:sz w:val="18"/>
          <w:szCs w:val="18"/>
          <w:color w:val="auto"/>
        </w:rPr>
      </w:pPr>
    </w:p>
    <w:p>
      <w:pPr>
        <w:jc w:val="both"/>
        <w:ind w:right="60" w:firstLine="436"/>
        <w:spacing w:after="0" w:line="259" w:lineRule="auto"/>
        <w:tabs>
          <w:tab w:leader="none" w:pos="68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36"/>
        <w:spacing w:after="0" w:line="259" w:lineRule="auto"/>
        <w:tabs>
          <w:tab w:leader="none" w:pos="66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Free Writing Prospectuses</w:t>
      </w:r>
      <w:r>
        <w:rPr>
          <w:rFonts w:ascii="Arial" w:cs="Arial" w:eastAsia="Arial" w:hAnsi="Arial"/>
          <w:sz w:val="18"/>
          <w:szCs w:val="18"/>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78" w:name="page79"/>
    <w:bookmarkEnd w:id="7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consent, such consent not to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such consent not to be unreasonably withheld, conditioned or delayed.</w:t>
      </w:r>
    </w:p>
    <w:p>
      <w:pPr>
        <w:spacing w:after="0" w:line="76" w:lineRule="exact"/>
        <w:rPr>
          <w:sz w:val="20"/>
          <w:szCs w:val="20"/>
          <w:color w:val="auto"/>
        </w:rPr>
      </w:pPr>
    </w:p>
    <w:p>
      <w:pPr>
        <w:ind w:right="220" w:firstLine="436"/>
        <w:spacing w:after="0" w:line="263"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75" w:lineRule="exact"/>
        <w:rPr>
          <w:rFonts w:ascii="Arial" w:cs="Arial" w:eastAsia="Arial" w:hAnsi="Arial"/>
          <w:sz w:val="18"/>
          <w:szCs w:val="18"/>
          <w:color w:val="auto"/>
        </w:rPr>
      </w:pPr>
    </w:p>
    <w:p>
      <w:pPr>
        <w:jc w:val="both"/>
        <w:ind w:right="300" w:firstLine="436"/>
        <w:spacing w:after="0" w:line="286"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1" w:lineRule="exact"/>
        <w:rPr>
          <w:rFonts w:ascii="Arial" w:cs="Arial" w:eastAsia="Arial" w:hAnsi="Arial"/>
          <w:sz w:val="16"/>
          <w:szCs w:val="16"/>
          <w:color w:val="auto"/>
        </w:rPr>
      </w:pPr>
    </w:p>
    <w:p>
      <w:pPr>
        <w:ind w:right="60"/>
        <w:spacing w:after="0" w:line="286" w:lineRule="auto"/>
        <w:rPr>
          <w:rFonts w:ascii="Arial" w:cs="Arial" w:eastAsia="Arial" w:hAnsi="Arial"/>
          <w:sz w:val="16"/>
          <w:szCs w:val="16"/>
          <w:color w:val="auto"/>
        </w:rPr>
      </w:pPr>
      <w:r>
        <w:rPr>
          <w:rFonts w:ascii="Arial" w:cs="Arial" w:eastAsia="Arial" w:hAnsi="Arial"/>
          <w:sz w:val="16"/>
          <w:szCs w:val="16"/>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79" w:name="page80"/>
    <w:bookmarkEnd w:id="7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63" w:lineRule="exact"/>
        <w:rPr>
          <w:sz w:val="20"/>
          <w:szCs w:val="20"/>
          <w:color w:val="auto"/>
        </w:rPr>
      </w:pPr>
    </w:p>
    <w:p>
      <w:pPr>
        <w:ind w:right="120" w:firstLine="436"/>
        <w:spacing w:after="0" w:line="270" w:lineRule="auto"/>
        <w:tabs>
          <w:tab w:leader="none" w:pos="65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as soon as practicable.</w:t>
      </w:r>
    </w:p>
    <w:p>
      <w:pPr>
        <w:spacing w:after="0" w:line="72" w:lineRule="exact"/>
        <w:rPr>
          <w:rFonts w:ascii="Arial" w:cs="Arial" w:eastAsia="Arial" w:hAnsi="Arial"/>
          <w:sz w:val="17"/>
          <w:szCs w:val="17"/>
          <w:color w:val="auto"/>
        </w:rPr>
      </w:pPr>
    </w:p>
    <w:p>
      <w:pPr>
        <w:ind w:right="80" w:firstLine="436"/>
        <w:spacing w:after="0" w:line="311"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40" w:lineRule="exact"/>
        <w:rPr>
          <w:rFonts w:ascii="Arial" w:cs="Arial" w:eastAsia="Arial" w:hAnsi="Arial"/>
          <w:sz w:val="16"/>
          <w:szCs w:val="16"/>
          <w:color w:val="auto"/>
        </w:rPr>
      </w:pPr>
    </w:p>
    <w:p>
      <w:pPr>
        <w:jc w:val="both"/>
        <w:ind w:right="300" w:firstLine="436"/>
        <w:spacing w:after="0" w:line="263"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117" w:lineRule="exact"/>
        <w:rPr>
          <w:rFonts w:ascii="Arial" w:cs="Arial" w:eastAsia="Arial" w:hAnsi="Arial"/>
          <w:sz w:val="18"/>
          <w:szCs w:val="18"/>
          <w:color w:val="auto"/>
        </w:rPr>
      </w:pPr>
    </w:p>
    <w:p>
      <w:pPr>
        <w:ind w:right="220" w:firstLine="436"/>
        <w:spacing w:after="0" w:line="259" w:lineRule="auto"/>
        <w:tabs>
          <w:tab w:leader="none" w:pos="74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78" w:lineRule="exact"/>
        <w:rPr>
          <w:rFonts w:ascii="Arial" w:cs="Arial" w:eastAsia="Arial" w:hAnsi="Arial"/>
          <w:sz w:val="18"/>
          <w:szCs w:val="18"/>
          <w:color w:val="auto"/>
        </w:rPr>
      </w:pPr>
    </w:p>
    <w:p>
      <w:pPr>
        <w:ind w:right="60" w:firstLine="436"/>
        <w:spacing w:after="0" w:line="301"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80" w:name="page81"/>
    <w:bookmarkEnd w:id="80"/>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79" w:lineRule="exact"/>
        <w:rPr>
          <w:sz w:val="20"/>
          <w:szCs w:val="20"/>
          <w:color w:val="auto"/>
        </w:rPr>
      </w:pPr>
    </w:p>
    <w:p>
      <w:pPr>
        <w:ind w:left="4" w:right="180" w:firstLine="436"/>
        <w:spacing w:after="0" w:line="277" w:lineRule="auto"/>
        <w:tabs>
          <w:tab w:leader="none" w:pos="699"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62" w:lineRule="exact"/>
        <w:rPr>
          <w:rFonts w:ascii="Arial" w:cs="Arial" w:eastAsia="Arial" w:hAnsi="Arial"/>
          <w:sz w:val="18"/>
          <w:szCs w:val="18"/>
          <w:color w:val="auto"/>
        </w:rPr>
      </w:pPr>
    </w:p>
    <w:p>
      <w:pPr>
        <w:ind w:left="4" w:right="20" w:firstLine="987"/>
        <w:spacing w:after="0" w:line="311" w:lineRule="auto"/>
        <w:tabs>
          <w:tab w:leader="none" w:pos="129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40" w:lineRule="exact"/>
        <w:rPr>
          <w:rFonts w:ascii="Arial" w:cs="Arial" w:eastAsia="Arial" w:hAnsi="Arial"/>
          <w:sz w:val="16"/>
          <w:szCs w:val="16"/>
          <w:color w:val="auto"/>
        </w:rPr>
      </w:pPr>
    </w:p>
    <w:p>
      <w:pPr>
        <w:ind w:left="4" w:right="40" w:firstLine="987"/>
        <w:spacing w:after="0" w:line="263" w:lineRule="auto"/>
        <w:tabs>
          <w:tab w:leader="none" w:pos="12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75" w:lineRule="exact"/>
        <w:rPr>
          <w:rFonts w:ascii="Arial" w:cs="Arial" w:eastAsia="Arial" w:hAnsi="Arial"/>
          <w:sz w:val="18"/>
          <w:szCs w:val="18"/>
          <w:color w:val="auto"/>
        </w:rPr>
      </w:pPr>
    </w:p>
    <w:p>
      <w:pPr>
        <w:ind w:left="4" w:right="60" w:firstLine="987"/>
        <w:spacing w:after="0" w:line="259" w:lineRule="auto"/>
        <w:tabs>
          <w:tab w:leader="none" w:pos="12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such event described in clauses (A) through (C) above, a “</w:t>
      </w:r>
      <w:r>
        <w:rPr>
          <w:rFonts w:ascii="Arial" w:cs="Arial" w:eastAsia="Arial" w:hAnsi="Arial"/>
          <w:sz w:val="16"/>
          <w:szCs w:val="16"/>
          <w:b w:val="1"/>
          <w:bCs w:val="1"/>
          <w:color w:val="auto"/>
        </w:rPr>
        <w:t>Triggering Event Date</w:t>
      </w:r>
      <w:r>
        <w:rPr>
          <w:rFonts w:ascii="Arial" w:cs="Arial" w:eastAsia="Arial" w:hAnsi="Arial"/>
          <w:sz w:val="16"/>
          <w:szCs w:val="16"/>
          <w:color w:val="auto"/>
        </w:rPr>
        <w:t>”), the Company shall furnish the Agent (but in the case of clause</w:t>
      </w:r>
    </w:p>
    <w:p>
      <w:pPr>
        <w:spacing w:after="0" w:line="50" w:lineRule="exact"/>
        <w:rPr>
          <w:sz w:val="20"/>
          <w:szCs w:val="20"/>
          <w:color w:val="auto"/>
        </w:rPr>
      </w:pPr>
    </w:p>
    <w:p>
      <w:pPr>
        <w:ind w:left="4" w:hanging="4"/>
        <w:spacing w:after="0" w:line="267" w:lineRule="auto"/>
        <w:tabs>
          <w:tab w:leader="none" w:pos="2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7"/>
          <w:szCs w:val="17"/>
          <w:u w:val="single" w:color="auto"/>
          <w:color w:val="auto"/>
        </w:rPr>
        <w:t>Section 5(a)(iii)</w:t>
      </w:r>
      <w:r>
        <w:rPr>
          <w:rFonts w:ascii="Arial" w:cs="Arial" w:eastAsia="Arial" w:hAnsi="Arial"/>
          <w:sz w:val="17"/>
          <w:szCs w:val="17"/>
          <w:color w:val="auto"/>
        </w:rPr>
        <w:t xml:space="preserve"> hereof, and (C) containing any other certification that the Agent shall reasonably request. The requirement to provide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7"/>
          <w:szCs w:val="17"/>
          <w:u w:val="single" w:color="auto"/>
          <w:color w:val="auto"/>
        </w:rPr>
        <w:t>Section 4(o</w:t>
      </w:r>
      <w:r>
        <w:rPr>
          <w:rFonts w:ascii="Arial" w:cs="Arial" w:eastAsia="Arial" w:hAnsi="Arial"/>
          <w:sz w:val="17"/>
          <w:szCs w:val="17"/>
          <w:color w:val="auto"/>
        </w:rPr>
        <w:t>) dated as of the date that the instructions for the sale of Shares are issued.</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81" w:name="page82"/>
    <w:bookmarkEnd w:id="81"/>
    <w:p>
      <w:pPr>
        <w:ind w:left="-40" w:firstLine="436"/>
        <w:spacing w:after="0" w:line="269"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Opinions.</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to be furnished to the Agent (1) a negative assurances letter and the written legal opinion of Wilson Sonsini Goodrich &amp; Rosati PC, counsel to the Company and (2) the written legal opinion of Wilson Sonsini Goodrich &amp; Rosati PC, intellectual property and regulatory counsel to the Company,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77" w:lineRule="exact"/>
        <w:rPr>
          <w:rFonts w:ascii="Arial" w:cs="Arial" w:eastAsia="Arial" w:hAnsi="Arial"/>
          <w:sz w:val="17"/>
          <w:szCs w:val="17"/>
          <w:color w:val="auto"/>
        </w:rPr>
      </w:pPr>
    </w:p>
    <w:p>
      <w:pPr>
        <w:ind w:left="-40" w:right="20" w:firstLine="436"/>
        <w:spacing w:after="0" w:line="269"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73" w:lineRule="exact"/>
        <w:rPr>
          <w:rFonts w:ascii="Arial" w:cs="Arial" w:eastAsia="Arial" w:hAnsi="Arial"/>
          <w:sz w:val="17"/>
          <w:szCs w:val="17"/>
          <w:color w:val="auto"/>
        </w:rPr>
      </w:pPr>
    </w:p>
    <w:p>
      <w:pPr>
        <w:ind w:left="-40" w:right="20" w:firstLine="436"/>
        <w:spacing w:after="0" w:line="272" w:lineRule="auto"/>
        <w:tabs>
          <w:tab w:leader="none" w:pos="62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80" w:top="274" w:right="479" w:bottom="1440" w:gutter="0" w:footer="0" w:header="0"/>
        </w:sectPr>
      </w:pPr>
    </w:p>
    <w:bookmarkStart w:id="82" w:name="page83"/>
    <w:bookmarkEnd w:id="82"/>
    <w:p>
      <w:pPr>
        <w:ind w:right="380" w:firstLine="436"/>
        <w:spacing w:after="0" w:line="342" w:lineRule="auto"/>
        <w:tabs>
          <w:tab w:leader="none" w:pos="67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Own Account; Clients’ Account. The Company consents to the Agent trading, in compliance with applicable law, in the Common Shares for the Agent’s own account and for the account of its clients at the same time as sales of the Shares occur pursuant to this Agreement.</w:t>
      </w:r>
    </w:p>
    <w:p>
      <w:pPr>
        <w:spacing w:after="0" w:line="15" w:lineRule="exact"/>
        <w:rPr>
          <w:rFonts w:ascii="Arial" w:cs="Arial" w:eastAsia="Arial" w:hAnsi="Arial"/>
          <w:sz w:val="16"/>
          <w:szCs w:val="16"/>
          <w:color w:val="auto"/>
        </w:rPr>
      </w:pPr>
    </w:p>
    <w:p>
      <w:pPr>
        <w:ind w:right="280" w:firstLine="436"/>
        <w:spacing w:after="0" w:line="342" w:lineRule="auto"/>
        <w:tabs>
          <w:tab w:leader="none" w:pos="65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its subsidiaries to register as an investment company under the Investment Company Act.</w:t>
      </w:r>
    </w:p>
    <w:p>
      <w:pPr>
        <w:spacing w:after="0" w:line="15" w:lineRule="exact"/>
        <w:rPr>
          <w:rFonts w:ascii="Arial" w:cs="Arial" w:eastAsia="Arial" w:hAnsi="Arial"/>
          <w:sz w:val="16"/>
          <w:szCs w:val="16"/>
          <w:color w:val="auto"/>
        </w:rPr>
      </w:pPr>
    </w:p>
    <w:p>
      <w:pPr>
        <w:ind w:right="140" w:firstLine="436"/>
        <w:spacing w:after="0" w:line="291"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58" w:lineRule="exact"/>
        <w:rPr>
          <w:rFonts w:ascii="Arial" w:cs="Arial" w:eastAsia="Arial" w:hAnsi="Arial"/>
          <w:sz w:val="16"/>
          <w:szCs w:val="16"/>
          <w:color w:val="auto"/>
        </w:rPr>
      </w:pPr>
    </w:p>
    <w:p>
      <w:pPr>
        <w:ind w:firstLine="436"/>
        <w:spacing w:after="0" w:line="285"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effect a reverse stock split, recapitalization, share consolidation, reclassification or similar transaction affecting the outstanding Common Shares;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or the vesting of any of the foregoing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(iii) issuance or sale of Common Shares or securities convertible into or exchangeable for Common Shares as consideration for mergers, acquisitions or other business combinations, joint ventures, collaborations, licensing arrangements, strategic alliances, or manufacturing, distribution, marketing, supply, sponsored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83" w:name="page84"/>
    <w:bookmarkEnd w:id="83"/>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technology transfer or development, or third party service arrangements occurring after the date of this Agreement which are not used solely for capital raising purposes, provided that the aggregate number of Common Shares or securities convertible into or exercisable for Common Shares (on an as-converted or as-exercised basis, as the case may be) that the Company may sell or issue or agree to sell or issue as described in this clause</w:t>
      </w:r>
    </w:p>
    <w:p>
      <w:pPr>
        <w:spacing w:after="0" w:line="2" w:lineRule="exact"/>
        <w:rPr>
          <w:sz w:val="20"/>
          <w:szCs w:val="20"/>
          <w:color w:val="auto"/>
        </w:rPr>
      </w:pPr>
    </w:p>
    <w:p>
      <w:pPr>
        <w:ind w:left="324" w:hanging="324"/>
        <w:spacing w:after="0"/>
        <w:tabs>
          <w:tab w:leader="none" w:pos="324" w:val="left"/>
        </w:tabs>
        <w:numPr>
          <w:ilvl w:val="0"/>
          <w:numId w:val="72"/>
        </w:numPr>
        <w:rPr>
          <w:rFonts w:ascii="Arial" w:cs="Arial" w:eastAsia="Arial" w:hAnsi="Arial"/>
          <w:sz w:val="16"/>
          <w:szCs w:val="16"/>
          <w:color w:val="auto"/>
        </w:rPr>
      </w:pPr>
      <w:r>
        <w:rPr>
          <w:rFonts w:ascii="Arial" w:cs="Arial" w:eastAsia="Arial" w:hAnsi="Arial"/>
          <w:sz w:val="16"/>
          <w:szCs w:val="16"/>
          <w:color w:val="auto"/>
        </w:rPr>
        <w:t>shall not exceed five percent (5%) of the total number of shares of Common Shares issued and outstanding as of the date of this Agreement, and</w:t>
      </w:r>
    </w:p>
    <w:p>
      <w:pPr>
        <w:spacing w:after="0" w:line="32" w:lineRule="exact"/>
        <w:rPr>
          <w:rFonts w:ascii="Arial" w:cs="Arial" w:eastAsia="Arial" w:hAnsi="Arial"/>
          <w:sz w:val="16"/>
          <w:szCs w:val="16"/>
          <w:color w:val="auto"/>
        </w:rPr>
      </w:pPr>
    </w:p>
    <w:p>
      <w:pPr>
        <w:ind w:left="304" w:hanging="304"/>
        <w:spacing w:after="0"/>
        <w:tabs>
          <w:tab w:leader="none" w:pos="3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modification of any outstanding options, warrants of any rights to purchase or acquire Common Shares.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121" w:lineRule="exact"/>
        <w:rPr>
          <w:sz w:val="20"/>
          <w:szCs w:val="20"/>
          <w:color w:val="auto"/>
        </w:rPr>
      </w:pPr>
    </w:p>
    <w:p>
      <w:pPr>
        <w:ind w:left="4" w:right="60" w:firstLine="436"/>
        <w:spacing w:after="0" w:line="301" w:lineRule="auto"/>
        <w:tabs>
          <w:tab w:leader="none" w:pos="689"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Conditions 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62" w:lineRule="exact"/>
        <w:rPr>
          <w:rFonts w:ascii="Arial" w:cs="Arial" w:eastAsia="Arial" w:hAnsi="Arial"/>
          <w:sz w:val="16"/>
          <w:szCs w:val="16"/>
          <w:color w:val="auto"/>
        </w:rPr>
      </w:pPr>
    </w:p>
    <w:p>
      <w:pPr>
        <w:ind w:left="964" w:hanging="532"/>
        <w:spacing w:after="0" w:line="275" w:lineRule="auto"/>
        <w:tabs>
          <w:tab w:leader="none" w:pos="964"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Accuracy of the Company’s Representations and Warranties; Performance by the Company</w:t>
      </w:r>
      <w:r>
        <w:rPr>
          <w:rFonts w:ascii="Arial" w:cs="Arial" w:eastAsia="Arial" w:hAnsi="Arial"/>
          <w:sz w:val="17"/>
          <w:szCs w:val="17"/>
          <w:color w:val="auto"/>
        </w:rPr>
        <w:t xml:space="preserve">. The Company shall have delivered the certificate required to be delivered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on or before the date on which delivery of such certificate is required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7"/>
          <w:szCs w:val="17"/>
          <w:u w:val="single" w:color="auto"/>
          <w:color w:val="auto"/>
        </w:rPr>
        <w:t>Section 4(m), Section 4(p)</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4(r)</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964" w:right="60" w:hanging="532"/>
        <w:spacing w:after="0" w:line="257"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93" w:lineRule="exact"/>
        <w:rPr>
          <w:rFonts w:ascii="Arial" w:cs="Arial" w:eastAsia="Arial" w:hAnsi="Arial"/>
          <w:sz w:val="18"/>
          <w:szCs w:val="18"/>
          <w:color w:val="auto"/>
        </w:rPr>
      </w:pPr>
    </w:p>
    <w:p>
      <w:pPr>
        <w:ind w:left="964" w:right="80" w:hanging="532"/>
        <w:spacing w:after="0" w:line="275" w:lineRule="auto"/>
        <w:tabs>
          <w:tab w:leader="none" w:pos="964"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Material Adverse Changes</w:t>
      </w:r>
      <w:r>
        <w:rPr>
          <w:rFonts w:ascii="Arial" w:cs="Arial" w:eastAsia="Arial" w:hAnsi="Arial"/>
          <w:sz w:val="17"/>
          <w:szCs w:val="17"/>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84" w:name="page85"/>
    <w:bookmarkEnd w:id="84"/>
    <w:p>
      <w:pPr>
        <w:ind w:left="920" w:hanging="532"/>
        <w:spacing w:after="0" w:line="268" w:lineRule="auto"/>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91" w:lineRule="exact"/>
        <w:rPr>
          <w:rFonts w:ascii="Arial" w:cs="Arial" w:eastAsia="Arial" w:hAnsi="Arial"/>
          <w:sz w:val="17"/>
          <w:szCs w:val="17"/>
          <w:color w:val="auto"/>
        </w:rPr>
      </w:pPr>
    </w:p>
    <w:p>
      <w:pPr>
        <w:ind w:left="920" w:hanging="532"/>
        <w:spacing w:after="0" w:line="253" w:lineRule="auto"/>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Agent Counsel Opinion and Negative Assurances Letter</w:t>
      </w:r>
      <w:r>
        <w:rPr>
          <w:rFonts w:ascii="Arial" w:cs="Arial" w:eastAsia="Arial" w:hAnsi="Arial"/>
          <w:sz w:val="18"/>
          <w:szCs w:val="18"/>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for which no waiver is applicable and excluding the date of this Agreement, Latham &amp; Watkins LLP, counsel to the Agent (“</w:t>
      </w:r>
      <w:r>
        <w:rPr>
          <w:rFonts w:ascii="Arial" w:cs="Arial" w:eastAsia="Arial" w:hAnsi="Arial"/>
          <w:sz w:val="18"/>
          <w:szCs w:val="18"/>
          <w:b w:val="1"/>
          <w:bCs w:val="1"/>
          <w:color w:val="auto"/>
        </w:rPr>
        <w:t>Agent Counsel</w:t>
      </w:r>
      <w:r>
        <w:rPr>
          <w:rFonts w:ascii="Arial" w:cs="Arial" w:eastAsia="Arial" w:hAnsi="Arial"/>
          <w:sz w:val="18"/>
          <w:szCs w:val="18"/>
          <w:color w:val="auto"/>
        </w:rPr>
        <w:t>”), shall have furnished to the Agent a negative assurances letter and the written legal 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01" w:lineRule="exact"/>
        <w:rPr>
          <w:rFonts w:ascii="Arial" w:cs="Arial" w:eastAsia="Arial" w:hAnsi="Arial"/>
          <w:sz w:val="18"/>
          <w:szCs w:val="18"/>
          <w:color w:val="auto"/>
        </w:rPr>
      </w:pPr>
    </w:p>
    <w:p>
      <w:pPr>
        <w:ind w:left="920" w:right="140" w:hanging="532"/>
        <w:spacing w:after="0" w:line="259" w:lineRule="auto"/>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78" w:lineRule="exact"/>
        <w:rPr>
          <w:rFonts w:ascii="Arial" w:cs="Arial" w:eastAsia="Arial" w:hAnsi="Arial"/>
          <w:sz w:val="18"/>
          <w:szCs w:val="18"/>
          <w:color w:val="auto"/>
        </w:rPr>
      </w:pPr>
    </w:p>
    <w:p>
      <w:pPr>
        <w:ind w:left="-40" w:right="20" w:firstLine="436"/>
        <w:spacing w:after="0" w:line="275" w:lineRule="auto"/>
        <w:tabs>
          <w:tab w:leader="none" w:pos="655"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80" w:top="274" w:right="499" w:bottom="1440" w:gutter="0" w:footer="0" w:header="0"/>
        </w:sectPr>
      </w:pPr>
    </w:p>
    <w:bookmarkStart w:id="85" w:name="page86"/>
    <w:bookmarkEnd w:id="8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 INDEMNIFICATION AND CONTRIBUTION</w:t>
      </w:r>
    </w:p>
    <w:p>
      <w:pPr>
        <w:spacing w:after="0" w:line="121" w:lineRule="exact"/>
        <w:rPr>
          <w:sz w:val="20"/>
          <w:szCs w:val="20"/>
          <w:color w:val="auto"/>
        </w:rPr>
      </w:pPr>
    </w:p>
    <w:p>
      <w:pPr>
        <w:ind w:left="4" w:right="120" w:firstLine="436"/>
        <w:spacing w:after="0" w:line="284" w:lineRule="auto"/>
        <w:tabs>
          <w:tab w:leader="none" w:pos="689"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w:t>
      </w:r>
    </w:p>
    <w:p>
      <w:pPr>
        <w:ind w:left="4" w:right="20" w:hanging="4"/>
        <w:spacing w:after="0" w:line="285" w:lineRule="auto"/>
        <w:tabs>
          <w:tab w:leader="none" w:pos="26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documented and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63" w:lineRule="exact"/>
        <w:rPr>
          <w:rFonts w:ascii="Arial" w:cs="Arial" w:eastAsia="Arial" w:hAnsi="Arial"/>
          <w:sz w:val="16"/>
          <w:szCs w:val="16"/>
          <w:color w:val="auto"/>
        </w:rPr>
      </w:pPr>
    </w:p>
    <w:p>
      <w:pPr>
        <w:jc w:val="both"/>
        <w:ind w:left="4" w:firstLine="436"/>
        <w:spacing w:after="0" w:line="257" w:lineRule="auto"/>
        <w:tabs>
          <w:tab w:leader="none" w:pos="699"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Indemnification of the Company, its Directors and Officers</w:t>
      </w:r>
      <w:r>
        <w:rPr>
          <w:rFonts w:ascii="Arial" w:cs="Arial" w:eastAsia="Arial" w:hAnsi="Arial"/>
          <w:sz w:val="18"/>
          <w:szCs w:val="18"/>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86" w:name="page87"/>
    <w:bookmarkEnd w:id="8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sold or at common law or otherwise (including in settlement of any litigation), which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be in addition to any liabilities that the Agent or the Company may otherwise have.</w:t>
      </w:r>
    </w:p>
    <w:p>
      <w:pPr>
        <w:spacing w:after="0" w:line="59" w:lineRule="exact"/>
        <w:rPr>
          <w:sz w:val="20"/>
          <w:szCs w:val="20"/>
          <w:color w:val="auto"/>
        </w:rPr>
      </w:pPr>
    </w:p>
    <w:p>
      <w:pPr>
        <w:ind w:firstLine="436"/>
        <w:spacing w:after="0" w:line="286" w:lineRule="auto"/>
        <w:tabs>
          <w:tab w:leader="none" w:pos="68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87" w:name="page88"/>
    <w:bookmarkEnd w:id="87"/>
    <w:p>
      <w:pPr>
        <w:ind w:left="4"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57" w:lineRule="exact"/>
        <w:rPr>
          <w:sz w:val="20"/>
          <w:szCs w:val="20"/>
          <w:color w:val="auto"/>
        </w:rPr>
      </w:pPr>
    </w:p>
    <w:p>
      <w:pPr>
        <w:ind w:left="4" w:firstLine="436"/>
        <w:spacing w:after="0" w:line="285" w:lineRule="auto"/>
        <w:tabs>
          <w:tab w:leader="none" w:pos="69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60" w:hanging="4"/>
        <w:spacing w:after="0" w:line="270" w:lineRule="auto"/>
        <w:tabs>
          <w:tab w:leader="none" w:pos="219" w:val="left"/>
        </w:tabs>
        <w:numPr>
          <w:ilvl w:val="0"/>
          <w:numId w:val="82"/>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70" w:lineRule="exact"/>
        <w:rPr>
          <w:rFonts w:ascii="Arial" w:cs="Arial" w:eastAsia="Arial" w:hAnsi="Arial"/>
          <w:sz w:val="17"/>
          <w:szCs w:val="17"/>
          <w:color w:val="auto"/>
        </w:rPr>
      </w:pPr>
    </w:p>
    <w:p>
      <w:pPr>
        <w:ind w:left="4" w:right="20" w:firstLine="436"/>
        <w:spacing w:after="0" w:line="288" w:lineRule="auto"/>
        <w:tabs>
          <w:tab w:leader="none" w:pos="689"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88" w:name="page89"/>
    <w:bookmarkEnd w:id="88"/>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5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legal or other fees or expenses documented and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Section 6(e).</w:t>
      </w:r>
    </w:p>
    <w:p>
      <w:pPr>
        <w:spacing w:after="0" w:line="124"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121" w:lineRule="exact"/>
        <w:rPr>
          <w:sz w:val="20"/>
          <w:szCs w:val="20"/>
          <w:color w:val="auto"/>
        </w:rPr>
      </w:pPr>
    </w:p>
    <w:p>
      <w:pPr>
        <w:ind w:firstLine="436"/>
        <w:spacing w:after="0" w:line="277"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line="255" w:lineRule="auto"/>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w:t>
      </w:r>
      <w:r>
        <w:rPr>
          <w:rFonts w:ascii="Arial" w:cs="Arial" w:eastAsia="Arial" w:hAnsi="Arial"/>
          <w:sz w:val="18"/>
          <w:szCs w:val="18"/>
          <w:u w:val="single" w:color="auto"/>
          <w:color w:val="auto"/>
        </w:rPr>
        <w:t>the Company any sale of Shares</w:t>
      </w:r>
      <w:r>
        <w:rPr>
          <w:rFonts w:ascii="Arial" w:cs="Arial" w:eastAsia="Arial" w:hAnsi="Arial"/>
          <w:sz w:val="18"/>
          <w:szCs w:val="18"/>
          <w:color w:val="auto"/>
        </w:rPr>
        <w:t xml:space="preserve">, the Company shall remain obligated to comply with </w:t>
      </w:r>
      <w:r>
        <w:rPr>
          <w:rFonts w:ascii="Arial" w:cs="Arial" w:eastAsia="Arial" w:hAnsi="Arial"/>
          <w:sz w:val="18"/>
          <w:szCs w:val="18"/>
          <w:u w:val="single" w:color="auto"/>
          <w:color w:val="auto"/>
        </w:rPr>
        <w:t>Section 3(b)(v)</w:t>
      </w:r>
      <w:r>
        <w:rPr>
          <w:rFonts w:ascii="Arial" w:cs="Arial" w:eastAsia="Arial" w:hAnsi="Arial"/>
          <w:sz w:val="18"/>
          <w:szCs w:val="18"/>
          <w:color w:val="auto"/>
        </w:rPr>
        <w:t xml:space="preserve"> with respect to such Shares and (B)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89" w:name="page90"/>
    <w:bookmarkEnd w:id="89"/>
    <w:p>
      <w:pPr>
        <w:ind w:left="1420" w:right="40" w:hanging="439"/>
        <w:spacing w:after="0" w:line="275" w:lineRule="auto"/>
        <w:tabs>
          <w:tab w:leader="none" w:pos="1420" w:val="left"/>
        </w:tabs>
        <w:numPr>
          <w:ilvl w:val="0"/>
          <w:numId w:val="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to the survival provision of </w:t>
      </w:r>
      <w:r>
        <w:rPr>
          <w:rFonts w:ascii="Arial" w:cs="Arial" w:eastAsia="Arial" w:hAnsi="Arial"/>
          <w:sz w:val="17"/>
          <w:szCs w:val="17"/>
          <w:u w:val="single" w:color="auto"/>
          <w:color w:val="auto"/>
        </w:rPr>
        <w:t>Section 7(b)(i)</w:t>
      </w:r>
      <w:r>
        <w:rPr>
          <w:rFonts w:ascii="Arial" w:cs="Arial" w:eastAsia="Arial" w:hAnsi="Arial"/>
          <w:sz w:val="17"/>
          <w:szCs w:val="17"/>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121" w:lineRule="exact"/>
        <w:rPr>
          <w:sz w:val="20"/>
          <w:szCs w:val="20"/>
          <w:color w:val="auto"/>
        </w:rPr>
      </w:pPr>
    </w:p>
    <w:p>
      <w:pPr>
        <w:ind w:firstLine="436"/>
        <w:spacing w:after="0" w:line="269" w:lineRule="auto"/>
        <w:tabs>
          <w:tab w:leader="none" w:pos="68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73" w:lineRule="exact"/>
        <w:rPr>
          <w:rFonts w:ascii="Arial" w:cs="Arial" w:eastAsia="Arial" w:hAnsi="Arial"/>
          <w:sz w:val="17"/>
          <w:szCs w:val="17"/>
          <w:color w:val="auto"/>
        </w:rPr>
      </w:pPr>
    </w:p>
    <w:p>
      <w:pPr>
        <w:ind w:right="40" w:firstLine="436"/>
        <w:spacing w:after="0" w:line="269" w:lineRule="auto"/>
        <w:tabs>
          <w:tab w:leader="none" w:pos="69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90" w:name="page91"/>
    <w:bookmarkEnd w:id="90"/>
    <w:p>
      <w:pPr>
        <w:ind w:firstLine="436"/>
        <w:spacing w:after="0" w:line="254"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86"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Brian Cuneo</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PMV Pharmaceuticals,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 Clarke Drive, Suite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Cranbury, NJ 08512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David Mack</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Wilson Sonsini Goodrich &amp; Rosati, PC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1301 Avenue of the Americas, 40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Megan Baier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party hereto may change the address for receipt of communications by giving written notice to the others in accordance with this </w:t>
      </w:r>
      <w:r>
        <w:rPr>
          <w:rFonts w:ascii="Arial" w:cs="Arial" w:eastAsia="Arial" w:hAnsi="Arial"/>
          <w:sz w:val="16"/>
          <w:szCs w:val="16"/>
          <w:u w:val="single" w:color="auto"/>
          <w:color w:val="auto"/>
        </w:rPr>
        <w:t>Section 8(d)</w:t>
      </w:r>
      <w:r>
        <w:rPr>
          <w:rFonts w:ascii="Arial" w:cs="Arial" w:eastAsia="Arial" w:hAnsi="Arial"/>
          <w:sz w:val="16"/>
          <w:szCs w:val="16"/>
          <w:color w:val="auto"/>
        </w:rPr>
        <w:t>.</w:t>
      </w:r>
    </w:p>
    <w:p>
      <w:pPr>
        <w:spacing w:after="0" w:line="248" w:lineRule="exact"/>
        <w:rPr>
          <w:sz w:val="20"/>
          <w:szCs w:val="20"/>
          <w:color w:val="auto"/>
        </w:rPr>
      </w:pPr>
    </w:p>
    <w:p>
      <w:pPr>
        <w:jc w:val="both"/>
        <w:ind w:right="140" w:firstLine="436"/>
        <w:spacing w:after="0" w:line="311" w:lineRule="auto"/>
        <w:tabs>
          <w:tab w:leader="none" w:pos="68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440" w:top="274" w:right="559" w:bottom="1440" w:gutter="0" w:footer="0" w:header="0"/>
        </w:sectPr>
      </w:pPr>
    </w:p>
    <w:bookmarkStart w:id="91" w:name="page92"/>
    <w:bookmarkEnd w:id="91"/>
    <w:p>
      <w:pPr>
        <w:ind w:right="220" w:firstLine="436"/>
        <w:spacing w:after="0" w:line="259" w:lineRule="auto"/>
        <w:tabs>
          <w:tab w:leader="none" w:pos="66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78" w:lineRule="exact"/>
        <w:rPr>
          <w:rFonts w:ascii="Arial" w:cs="Arial" w:eastAsia="Arial" w:hAnsi="Arial"/>
          <w:sz w:val="18"/>
          <w:szCs w:val="18"/>
          <w:color w:val="auto"/>
        </w:rPr>
      </w:pPr>
    </w:p>
    <w:p>
      <w:pPr>
        <w:ind w:firstLine="436"/>
        <w:spacing w:after="0" w:line="269"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77" w:lineRule="exact"/>
        <w:rPr>
          <w:rFonts w:ascii="Arial" w:cs="Arial" w:eastAsia="Arial" w:hAnsi="Arial"/>
          <w:sz w:val="17"/>
          <w:szCs w:val="17"/>
          <w:color w:val="auto"/>
        </w:rPr>
      </w:pPr>
    </w:p>
    <w:p>
      <w:pPr>
        <w:ind w:right="20" w:firstLine="436"/>
        <w:spacing w:after="0" w:line="272"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69" w:lineRule="exact"/>
        <w:rPr>
          <w:rFonts w:ascii="Arial" w:cs="Arial" w:eastAsia="Arial" w:hAnsi="Arial"/>
          <w:sz w:val="17"/>
          <w:szCs w:val="17"/>
          <w:color w:val="auto"/>
        </w:rPr>
      </w:pPr>
    </w:p>
    <w:p>
      <w:pPr>
        <w:ind w:left="660" w:hanging="22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59" w:lineRule="auto"/>
        <w:tabs>
          <w:tab w:leader="none" w:pos="1108"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92" w:name="page93"/>
    <w:bookmarkEnd w:id="92"/>
    <w:p>
      <w:pPr>
        <w:ind w:firstLine="419"/>
        <w:spacing w:after="0" w:line="259" w:lineRule="auto"/>
        <w:tabs>
          <w:tab w:leader="none" w:pos="678"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Agent is a Covered Entity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800" w:hanging="253"/>
        <w:spacing w:after="0"/>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As used in this Section 8(i):</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21" w:lineRule="exact"/>
        <w:rPr>
          <w:sz w:val="20"/>
          <w:szCs w:val="20"/>
          <w:color w:val="auto"/>
        </w:rPr>
      </w:pPr>
    </w:p>
    <w:p>
      <w:pPr>
        <w:ind w:left="760" w:hanging="213"/>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820" w:hanging="273"/>
        <w:spacing w:after="0"/>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860" w:hanging="313"/>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3" w:lineRule="exact"/>
        <w:rPr>
          <w:sz w:val="20"/>
          <w:szCs w:val="20"/>
          <w:color w:val="auto"/>
        </w:rPr>
      </w:pPr>
    </w:p>
    <w:p>
      <w:pPr>
        <w:ind w:left="54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540" w:right="1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[Signature Page Immediately Follows]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60"/>
          </w:cols>
          <w:pgMar w:left="880" w:top="274" w:right="459" w:bottom="1440" w:gutter="0" w:footer="0" w:header="0"/>
        </w:sectPr>
      </w:pPr>
    </w:p>
    <w:bookmarkStart w:id="93" w:name="page94"/>
    <w:bookmarkEnd w:id="93"/>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H. Mack,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foregoing Agreement is hereby confirmed and accepted by the Agent in New York, New York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Magarro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700"/>
          </w:cols>
          <w:pgMar w:left="440" w:top="274" w:right="759" w:bottom="1440" w:gutter="0" w:footer="0" w:header="0"/>
        </w:sectPr>
      </w:pPr>
    </w:p>
    <w:bookmarkStart w:id="94" w:name="page95"/>
    <w:bookmarkEnd w:id="94"/>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color w:val="auto"/>
        </w:rPr>
        <w:t>Reference is made to the Open Market Sale Agreement</w:t>
      </w:r>
      <w:r>
        <w:rPr>
          <w:rFonts w:ascii="Arial" w:cs="Arial" w:eastAsia="Arial" w:hAnsi="Arial"/>
          <w:sz w:val="13"/>
          <w:szCs w:val="13"/>
          <w:color w:val="auto"/>
        </w:rPr>
        <w:t>SM</w:t>
      </w:r>
      <w:r>
        <w:rPr>
          <w:rFonts w:ascii="Arial" w:cs="Arial" w:eastAsia="Arial" w:hAnsi="Arial"/>
          <w:sz w:val="16"/>
          <w:szCs w:val="16"/>
          <w:color w:val="auto"/>
        </w:rPr>
        <w:t xml:space="preserve"> between PMV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and Jefferies LLC (the “</w:t>
      </w:r>
      <w:r>
        <w:rPr>
          <w:rFonts w:ascii="Arial" w:cs="Arial" w:eastAsia="Arial" w:hAnsi="Arial"/>
          <w:sz w:val="16"/>
          <w:szCs w:val="16"/>
          <w:b w:val="1"/>
          <w:bCs w:val="1"/>
          <w:color w:val="auto"/>
        </w:rPr>
        <w:t>Agent</w:t>
      </w:r>
      <w:r>
        <w:rPr>
          <w:rFonts w:ascii="Arial" w:cs="Arial" w:eastAsia="Arial" w:hAnsi="Arial"/>
          <w:sz w:val="16"/>
          <w:szCs w:val="16"/>
          <w:color w:val="auto"/>
        </w:rPr>
        <w:t>”) dated as of October 4, 2021. The Company confirms that all conditions to the delivery of this Issuance Notice are satisfied as of the date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36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-10160</wp:posOffset>
            </wp:positionV>
            <wp:extent cx="15138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5709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5709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5709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5709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settlement: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14605</wp:posOffset>
            </wp:positionV>
            <wp:extent cx="63347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6334760" cy="8890"/>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PMV Pharmaceuticals,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740"/>
          </w:cols>
          <w:pgMar w:left="440" w:top="270" w:right="719" w:bottom="1440" w:gutter="0" w:footer="0" w:header="0"/>
        </w:sectPr>
      </w:pPr>
    </w:p>
    <w:bookmarkStart w:id="95" w:name="page96"/>
    <w:bookmarkEnd w:id="95"/>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 Mack, Ph.D., President and Chief Executive Officer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Winston Kung, Chief Operating Officer and Chief Financial Officer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Ticktin, General Counsel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C. Lynaugh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 Fabbri ([***])</w:t>
      </w:r>
    </w:p>
    <w:p>
      <w:pPr>
        <w:sectPr>
          <w:pgSz w:w="11900" w:h="16838" w:orient="portrait"/>
          <w:cols w:equalWidth="0" w:num="1">
            <w:col w:w="10019"/>
          </w:cols>
          <w:pgMar w:left="440" w:top="270"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760"/>
        <w:spacing w:after="0"/>
        <w:tabs>
          <w:tab w:leader="none" w:pos="478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[__________]</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3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28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280" w:type="dxa"/>
            <w:vAlign w:val="bottom"/>
          </w:tcPr>
          <w:p>
            <w:pPr>
              <w:ind w:left="140"/>
              <w:spacing w:after="0"/>
              <w:rPr>
                <w:sz w:val="20"/>
                <w:szCs w:val="20"/>
                <w:color w:val="auto"/>
              </w:rPr>
            </w:pPr>
            <w:r>
              <w:rPr>
                <w:rFonts w:ascii="Arial" w:cs="Arial" w:eastAsia="Arial" w:hAnsi="Arial"/>
                <w:sz w:val="18"/>
                <w:szCs w:val="18"/>
                <w:color w:val="auto"/>
              </w:rPr>
              <w:t>Other 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280" w:type="dxa"/>
            <w:vAlign w:val="bottom"/>
          </w:tcPr>
          <w:p>
            <w:pPr>
              <w:ind w:left="140"/>
              <w:spacing w:after="0"/>
              <w:rPr>
                <w:sz w:val="20"/>
                <w:szCs w:val="20"/>
                <w:color w:val="auto"/>
              </w:rPr>
            </w:pPr>
            <w:r>
              <w:rPr>
                <w:rFonts w:ascii="Arial" w:cs="Arial" w:eastAsia="Arial" w:hAnsi="Arial"/>
                <w:sz w:val="18"/>
                <w:szCs w:val="18"/>
                <w:color w:val="auto"/>
              </w:rPr>
              <w:t>Incorporation by Reference of Trust Indenture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280" w:type="dxa"/>
            <w:vAlign w:val="bottom"/>
          </w:tcPr>
          <w:p>
            <w:pPr>
              <w:ind w:left="140"/>
              <w:spacing w:after="0"/>
              <w:rPr>
                <w:sz w:val="20"/>
                <w:szCs w:val="20"/>
                <w:color w:val="auto"/>
              </w:rPr>
            </w:pPr>
            <w:r>
              <w:rPr>
                <w:rFonts w:ascii="Arial" w:cs="Arial" w:eastAsia="Arial" w:hAnsi="Arial"/>
                <w:sz w:val="18"/>
                <w:szCs w:val="18"/>
                <w:color w:val="auto"/>
              </w:rPr>
              <w:t>Rules of Construction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280" w:type="dxa"/>
            <w:vAlign w:val="bottom"/>
          </w:tcPr>
          <w:p>
            <w:pPr>
              <w:ind w:left="140"/>
              <w:spacing w:after="0"/>
              <w:rPr>
                <w:sz w:val="20"/>
                <w:szCs w:val="20"/>
                <w:color w:val="auto"/>
              </w:rPr>
            </w:pPr>
            <w:r>
              <w:rPr>
                <w:rFonts w:ascii="Arial" w:cs="Arial" w:eastAsia="Arial" w:hAnsi="Arial"/>
                <w:sz w:val="18"/>
                <w:szCs w:val="18"/>
                <w:color w:val="auto"/>
              </w:rPr>
              <w:t>Issuable in Series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280" w:type="dxa"/>
            <w:vAlign w:val="bottom"/>
          </w:tcPr>
          <w:p>
            <w:pPr>
              <w:ind w:left="140"/>
              <w:spacing w:after="0"/>
              <w:rPr>
                <w:sz w:val="20"/>
                <w:szCs w:val="20"/>
                <w:color w:val="auto"/>
              </w:rPr>
            </w:pPr>
            <w:r>
              <w:rPr>
                <w:rFonts w:ascii="Arial" w:cs="Arial" w:eastAsia="Arial" w:hAnsi="Arial"/>
                <w:sz w:val="18"/>
                <w:szCs w:val="18"/>
                <w:color w:val="auto"/>
              </w:rPr>
              <w:t>Establishment of Terms of Series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280" w:type="dxa"/>
            <w:vAlign w:val="bottom"/>
          </w:tcPr>
          <w:p>
            <w:pPr>
              <w:ind w:left="140"/>
              <w:spacing w:after="0"/>
              <w:rPr>
                <w:sz w:val="20"/>
                <w:szCs w:val="20"/>
                <w:color w:val="auto"/>
              </w:rPr>
            </w:pPr>
            <w:r>
              <w:rPr>
                <w:rFonts w:ascii="Arial" w:cs="Arial" w:eastAsia="Arial" w:hAnsi="Arial"/>
                <w:sz w:val="18"/>
                <w:szCs w:val="18"/>
                <w:color w:val="auto"/>
              </w:rPr>
              <w:t>Execution and Authentication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280" w:type="dxa"/>
            <w:vAlign w:val="bottom"/>
          </w:tcPr>
          <w:p>
            <w:pPr>
              <w:ind w:left="140"/>
              <w:spacing w:after="0"/>
              <w:rPr>
                <w:sz w:val="20"/>
                <w:szCs w:val="20"/>
                <w:color w:val="auto"/>
              </w:rPr>
            </w:pPr>
            <w:r>
              <w:rPr>
                <w:rFonts w:ascii="Arial" w:cs="Arial" w:eastAsia="Arial" w:hAnsi="Arial"/>
                <w:sz w:val="18"/>
                <w:szCs w:val="18"/>
                <w:color w:val="auto"/>
              </w:rPr>
              <w:t>Registrar and Paying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280" w:type="dxa"/>
            <w:vAlign w:val="bottom"/>
          </w:tcPr>
          <w:p>
            <w:pPr>
              <w:ind w:left="140"/>
              <w:spacing w:after="0"/>
              <w:rPr>
                <w:sz w:val="20"/>
                <w:szCs w:val="20"/>
                <w:color w:val="auto"/>
              </w:rPr>
            </w:pPr>
            <w:r>
              <w:rPr>
                <w:rFonts w:ascii="Arial" w:cs="Arial" w:eastAsia="Arial" w:hAnsi="Arial"/>
                <w:sz w:val="18"/>
                <w:szCs w:val="18"/>
                <w:color w:val="auto"/>
              </w:rPr>
              <w:t>Paying Agent to Hold Money in Trust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280" w:type="dxa"/>
            <w:vAlign w:val="bottom"/>
          </w:tcPr>
          <w:p>
            <w:pPr>
              <w:ind w:left="140"/>
              <w:spacing w:after="0"/>
              <w:rPr>
                <w:sz w:val="20"/>
                <w:szCs w:val="20"/>
                <w:color w:val="auto"/>
              </w:rPr>
            </w:pPr>
            <w:r>
              <w:rPr>
                <w:rFonts w:ascii="Arial" w:cs="Arial" w:eastAsia="Arial" w:hAnsi="Arial"/>
                <w:sz w:val="18"/>
                <w:szCs w:val="18"/>
                <w:color w:val="auto"/>
              </w:rPr>
              <w:t>Securityholder Lists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280" w:type="dxa"/>
            <w:vAlign w:val="bottom"/>
          </w:tcPr>
          <w:p>
            <w:pPr>
              <w:ind w:left="140"/>
              <w:spacing w:after="0"/>
              <w:rPr>
                <w:sz w:val="20"/>
                <w:szCs w:val="20"/>
                <w:color w:val="auto"/>
              </w:rPr>
            </w:pPr>
            <w:r>
              <w:rPr>
                <w:rFonts w:ascii="Arial" w:cs="Arial" w:eastAsia="Arial" w:hAnsi="Arial"/>
                <w:sz w:val="18"/>
                <w:szCs w:val="18"/>
                <w:color w:val="auto"/>
              </w:rPr>
              <w:t>Transfer and Exchange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280" w:type="dxa"/>
            <w:vAlign w:val="bottom"/>
          </w:tcPr>
          <w:p>
            <w:pPr>
              <w:ind w:left="140"/>
              <w:spacing w:after="0"/>
              <w:rPr>
                <w:sz w:val="20"/>
                <w:szCs w:val="20"/>
                <w:color w:val="auto"/>
              </w:rPr>
            </w:pPr>
            <w:r>
              <w:rPr>
                <w:rFonts w:ascii="Arial" w:cs="Arial" w:eastAsia="Arial" w:hAnsi="Arial"/>
                <w:sz w:val="18"/>
                <w:szCs w:val="18"/>
                <w:color w:val="auto"/>
              </w:rPr>
              <w:t>Mutilated, Destroyed, Lost and Stolen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280" w:type="dxa"/>
            <w:vAlign w:val="bottom"/>
          </w:tcPr>
          <w:p>
            <w:pPr>
              <w:ind w:left="140"/>
              <w:spacing w:after="0"/>
              <w:rPr>
                <w:sz w:val="20"/>
                <w:szCs w:val="20"/>
                <w:color w:val="auto"/>
              </w:rPr>
            </w:pPr>
            <w:r>
              <w:rPr>
                <w:rFonts w:ascii="Arial" w:cs="Arial" w:eastAsia="Arial" w:hAnsi="Arial"/>
                <w:sz w:val="18"/>
                <w:szCs w:val="18"/>
                <w:color w:val="auto"/>
              </w:rPr>
              <w:t>Outstanding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2.10</w:t>
            </w:r>
          </w:p>
        </w:tc>
        <w:tc>
          <w:tcPr>
            <w:tcW w:w="9280" w:type="dxa"/>
            <w:vAlign w:val="bottom"/>
          </w:tcPr>
          <w:p>
            <w:pPr>
              <w:ind w:left="140"/>
              <w:spacing w:after="0"/>
              <w:rPr>
                <w:sz w:val="20"/>
                <w:szCs w:val="20"/>
                <w:color w:val="auto"/>
              </w:rPr>
            </w:pPr>
            <w:r>
              <w:rPr>
                <w:rFonts w:ascii="Arial" w:cs="Arial" w:eastAsia="Arial" w:hAnsi="Arial"/>
                <w:sz w:val="18"/>
                <w:szCs w:val="18"/>
                <w:color w:val="auto"/>
              </w:rPr>
              <w:t>Treasury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2.11</w:t>
            </w:r>
          </w:p>
        </w:tc>
        <w:tc>
          <w:tcPr>
            <w:tcW w:w="928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2.12</w:t>
            </w:r>
          </w:p>
        </w:tc>
        <w:tc>
          <w:tcPr>
            <w:tcW w:w="928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2.13</w:t>
            </w:r>
          </w:p>
        </w:tc>
        <w:tc>
          <w:tcPr>
            <w:tcW w:w="9280" w:type="dxa"/>
            <w:vAlign w:val="bottom"/>
          </w:tcPr>
          <w:p>
            <w:pPr>
              <w:ind w:left="140"/>
              <w:spacing w:after="0"/>
              <w:rPr>
                <w:sz w:val="20"/>
                <w:szCs w:val="20"/>
                <w:color w:val="auto"/>
              </w:rPr>
            </w:pPr>
            <w:r>
              <w:rPr>
                <w:rFonts w:ascii="Arial" w:cs="Arial" w:eastAsia="Arial" w:hAnsi="Arial"/>
                <w:sz w:val="18"/>
                <w:szCs w:val="18"/>
                <w:color w:val="auto"/>
              </w:rPr>
              <w:t>Defaulted Interest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2.14</w:t>
            </w:r>
          </w:p>
        </w:tc>
        <w:tc>
          <w:tcPr>
            <w:tcW w:w="9280" w:type="dxa"/>
            <w:vAlign w:val="bottom"/>
          </w:tcPr>
          <w:p>
            <w:pPr>
              <w:ind w:left="140"/>
              <w:spacing w:after="0"/>
              <w:rPr>
                <w:sz w:val="20"/>
                <w:szCs w:val="20"/>
                <w:color w:val="auto"/>
              </w:rPr>
            </w:pPr>
            <w:r>
              <w:rPr>
                <w:rFonts w:ascii="Arial" w:cs="Arial" w:eastAsia="Arial" w:hAnsi="Arial"/>
                <w:sz w:val="18"/>
                <w:szCs w:val="18"/>
                <w:color w:val="auto"/>
              </w:rPr>
              <w:t>Global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2.15</w:t>
            </w:r>
          </w:p>
        </w:tc>
        <w:tc>
          <w:tcPr>
            <w:tcW w:w="9280" w:type="dxa"/>
            <w:vAlign w:val="bottom"/>
          </w:tcPr>
          <w:p>
            <w:pPr>
              <w:ind w:left="140"/>
              <w:spacing w:after="0"/>
              <w:rPr>
                <w:sz w:val="20"/>
                <w:szCs w:val="20"/>
                <w:color w:val="auto"/>
              </w:rPr>
            </w:pPr>
            <w:r>
              <w:rPr>
                <w:rFonts w:ascii="Arial" w:cs="Arial" w:eastAsia="Arial" w:hAnsi="Arial"/>
                <w:sz w:val="18"/>
                <w:szCs w:val="18"/>
                <w:color w:val="auto"/>
              </w:rPr>
              <w:t>CUSIP Numbers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280" w:type="dxa"/>
            <w:vAlign w:val="bottom"/>
          </w:tcPr>
          <w:p>
            <w:pPr>
              <w:ind w:left="140"/>
              <w:spacing w:after="0"/>
              <w:rPr>
                <w:sz w:val="20"/>
                <w:szCs w:val="20"/>
                <w:color w:val="auto"/>
              </w:rPr>
            </w:pPr>
            <w:r>
              <w:rPr>
                <w:rFonts w:ascii="Arial" w:cs="Arial" w:eastAsia="Arial" w:hAnsi="Arial"/>
                <w:sz w:val="18"/>
                <w:szCs w:val="18"/>
                <w:color w:val="auto"/>
              </w:rPr>
              <w:t>Notice to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280" w:type="dxa"/>
            <w:vAlign w:val="bottom"/>
          </w:tcPr>
          <w:p>
            <w:pPr>
              <w:ind w:left="140"/>
              <w:spacing w:after="0"/>
              <w:rPr>
                <w:sz w:val="20"/>
                <w:szCs w:val="20"/>
                <w:color w:val="auto"/>
              </w:rPr>
            </w:pPr>
            <w:r>
              <w:rPr>
                <w:rFonts w:ascii="Arial" w:cs="Arial" w:eastAsia="Arial" w:hAnsi="Arial"/>
                <w:sz w:val="18"/>
                <w:szCs w:val="18"/>
                <w:color w:val="auto"/>
              </w:rPr>
              <w:t>Selection of Securities to be Redeemed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28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280" w:type="dxa"/>
            <w:vAlign w:val="bottom"/>
          </w:tcPr>
          <w:p>
            <w:pPr>
              <w:ind w:left="140"/>
              <w:spacing w:after="0"/>
              <w:rPr>
                <w:sz w:val="20"/>
                <w:szCs w:val="20"/>
                <w:color w:val="auto"/>
              </w:rPr>
            </w:pPr>
            <w:r>
              <w:rPr>
                <w:rFonts w:ascii="Arial" w:cs="Arial" w:eastAsia="Arial" w:hAnsi="Arial"/>
                <w:sz w:val="18"/>
                <w:szCs w:val="18"/>
                <w:color w:val="auto"/>
              </w:rPr>
              <w:t>Effect of Notice of Redemption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280" w:type="dxa"/>
            <w:vAlign w:val="bottom"/>
          </w:tcPr>
          <w:p>
            <w:pPr>
              <w:ind w:left="140"/>
              <w:spacing w:after="0"/>
              <w:rPr>
                <w:sz w:val="20"/>
                <w:szCs w:val="20"/>
                <w:color w:val="auto"/>
              </w:rPr>
            </w:pPr>
            <w:r>
              <w:rPr>
                <w:rFonts w:ascii="Arial" w:cs="Arial" w:eastAsia="Arial" w:hAnsi="Arial"/>
                <w:sz w:val="18"/>
                <w:szCs w:val="18"/>
                <w:color w:val="auto"/>
              </w:rPr>
              <w:t>Deposit of Redemption Price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280" w:type="dxa"/>
            <w:vAlign w:val="bottom"/>
          </w:tcPr>
          <w:p>
            <w:pPr>
              <w:ind w:left="140"/>
              <w:spacing w:after="0"/>
              <w:rPr>
                <w:sz w:val="20"/>
                <w:szCs w:val="20"/>
                <w:color w:val="auto"/>
              </w:rPr>
            </w:pPr>
            <w:r>
              <w:rPr>
                <w:rFonts w:ascii="Arial" w:cs="Arial" w:eastAsia="Arial" w:hAnsi="Arial"/>
                <w:sz w:val="18"/>
                <w:szCs w:val="18"/>
                <w:color w:val="auto"/>
              </w:rPr>
              <w:t>Securities Redeemed in Part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280" w:type="dxa"/>
            <w:vAlign w:val="bottom"/>
          </w:tcPr>
          <w:p>
            <w:pPr>
              <w:ind w:left="140"/>
              <w:spacing w:after="0"/>
              <w:rPr>
                <w:sz w:val="20"/>
                <w:szCs w:val="20"/>
                <w:color w:val="auto"/>
              </w:rPr>
            </w:pPr>
            <w:r>
              <w:rPr>
                <w:rFonts w:ascii="Arial" w:cs="Arial" w:eastAsia="Arial" w:hAnsi="Arial"/>
                <w:sz w:val="18"/>
                <w:szCs w:val="18"/>
                <w:color w:val="auto"/>
              </w:rPr>
              <w:t>Payment of Principal and Interest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280" w:type="dxa"/>
            <w:vAlign w:val="bottom"/>
          </w:tcPr>
          <w:p>
            <w:pPr>
              <w:ind w:left="140"/>
              <w:spacing w:after="0"/>
              <w:rPr>
                <w:sz w:val="20"/>
                <w:szCs w:val="20"/>
                <w:color w:val="auto"/>
              </w:rPr>
            </w:pPr>
            <w:r>
              <w:rPr>
                <w:rFonts w:ascii="Arial" w:cs="Arial" w:eastAsia="Arial" w:hAnsi="Arial"/>
                <w:sz w:val="18"/>
                <w:szCs w:val="18"/>
                <w:color w:val="auto"/>
              </w:rPr>
              <w:t>SEC Reports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28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280" w:type="dxa"/>
            <w:vAlign w:val="bottom"/>
          </w:tcPr>
          <w:p>
            <w:pPr>
              <w:ind w:left="140"/>
              <w:spacing w:after="0"/>
              <w:rPr>
                <w:sz w:val="20"/>
                <w:szCs w:val="20"/>
                <w:color w:val="auto"/>
              </w:rPr>
            </w:pPr>
            <w:r>
              <w:rPr>
                <w:rFonts w:ascii="Arial" w:cs="Arial" w:eastAsia="Arial" w:hAnsi="Arial"/>
                <w:sz w:val="18"/>
                <w:szCs w:val="18"/>
                <w:color w:val="auto"/>
              </w:rPr>
              <w:t>Stay, Extension and Usury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280" w:type="dxa"/>
            <w:vAlign w:val="bottom"/>
          </w:tcPr>
          <w:p>
            <w:pPr>
              <w:ind w:left="140"/>
              <w:spacing w:after="0"/>
              <w:rPr>
                <w:sz w:val="20"/>
                <w:szCs w:val="20"/>
                <w:color w:val="auto"/>
              </w:rPr>
            </w:pPr>
            <w:r>
              <w:rPr>
                <w:rFonts w:ascii="Arial" w:cs="Arial" w:eastAsia="Arial" w:hAnsi="Arial"/>
                <w:sz w:val="18"/>
                <w:szCs w:val="18"/>
                <w:color w:val="auto"/>
              </w:rPr>
              <w:t>When Company May Merge,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280" w:type="dxa"/>
            <w:vAlign w:val="bottom"/>
          </w:tcPr>
          <w:p>
            <w:pPr>
              <w:ind w:left="140"/>
              <w:spacing w:after="0"/>
              <w:rPr>
                <w:sz w:val="20"/>
                <w:szCs w:val="20"/>
                <w:color w:val="auto"/>
              </w:rPr>
            </w:pPr>
            <w:r>
              <w:rPr>
                <w:rFonts w:ascii="Arial" w:cs="Arial" w:eastAsia="Arial" w:hAnsi="Arial"/>
                <w:sz w:val="18"/>
                <w:szCs w:val="18"/>
                <w:color w:val="auto"/>
              </w:rPr>
              <w:t>Successor Corporation Substituted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2"/>
            <w:vMerge w:val="restart"/>
          </w:tcPr>
          <w:p>
            <w:pPr>
              <w:spacing w:after="0"/>
              <w:rPr>
                <w:sz w:val="20"/>
                <w:szCs w:val="20"/>
                <w:color w:val="auto"/>
              </w:rPr>
            </w:pPr>
            <w:r>
              <w:rPr>
                <w:rFonts w:ascii="Arial" w:cs="Arial" w:eastAsia="Arial" w:hAnsi="Arial"/>
                <w:sz w:val="18"/>
                <w:szCs w:val="18"/>
                <w:color w:val="auto"/>
              </w:rPr>
              <w:t>ARTICLE VI DEFAULTS AND REMEDIES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38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28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280" w:type="dxa"/>
            <w:vAlign w:val="bottom"/>
          </w:tcPr>
          <w:p>
            <w:pPr>
              <w:ind w:left="140"/>
              <w:spacing w:after="0"/>
              <w:rPr>
                <w:sz w:val="20"/>
                <w:szCs w:val="20"/>
                <w:color w:val="auto"/>
              </w:rPr>
            </w:pPr>
            <w:r>
              <w:rPr>
                <w:rFonts w:ascii="Arial" w:cs="Arial" w:eastAsia="Arial" w:hAnsi="Arial"/>
                <w:sz w:val="18"/>
                <w:szCs w:val="18"/>
                <w:color w:val="auto"/>
              </w:rPr>
              <w:t>Acceleration of Maturity; Rescission and Annulment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280" w:type="dxa"/>
            <w:vAlign w:val="bottom"/>
          </w:tcPr>
          <w:p>
            <w:pPr>
              <w:ind w:left="140"/>
              <w:spacing w:after="0"/>
              <w:rPr>
                <w:sz w:val="20"/>
                <w:szCs w:val="20"/>
                <w:color w:val="auto"/>
              </w:rPr>
            </w:pPr>
            <w:r>
              <w:rPr>
                <w:rFonts w:ascii="Arial" w:cs="Arial" w:eastAsia="Arial" w:hAnsi="Arial"/>
                <w:sz w:val="18"/>
                <w:szCs w:val="18"/>
                <w:color w:val="auto"/>
              </w:rPr>
              <w:t>Collection of Indebtedness and Suits for Enforcement by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280" w:type="dxa"/>
            <w:vAlign w:val="bottom"/>
          </w:tcPr>
          <w:p>
            <w:pPr>
              <w:ind w:left="140"/>
              <w:spacing w:after="0"/>
              <w:rPr>
                <w:sz w:val="20"/>
                <w:szCs w:val="20"/>
                <w:color w:val="auto"/>
              </w:rPr>
            </w:pPr>
            <w:r>
              <w:rPr>
                <w:rFonts w:ascii="Arial" w:cs="Arial" w:eastAsia="Arial" w:hAnsi="Arial"/>
                <w:sz w:val="18"/>
                <w:szCs w:val="18"/>
                <w:color w:val="auto"/>
              </w:rPr>
              <w:t>Trustee May File Proofs of Claim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9280" w:type="dxa"/>
            <w:vAlign w:val="bottom"/>
          </w:tcPr>
          <w:p>
            <w:pPr>
              <w:ind w:left="140"/>
              <w:spacing w:after="0"/>
              <w:rPr>
                <w:sz w:val="20"/>
                <w:szCs w:val="20"/>
                <w:color w:val="auto"/>
              </w:rPr>
            </w:pPr>
            <w:r>
              <w:rPr>
                <w:rFonts w:ascii="Arial" w:cs="Arial" w:eastAsia="Arial" w:hAnsi="Arial"/>
                <w:sz w:val="18"/>
                <w:szCs w:val="18"/>
                <w:color w:val="auto"/>
              </w:rPr>
              <w:t>Trustee May Enforce Claims Without Possession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9280" w:type="dxa"/>
            <w:vAlign w:val="bottom"/>
          </w:tcPr>
          <w:p>
            <w:pPr>
              <w:ind w:left="140"/>
              <w:spacing w:after="0"/>
              <w:rPr>
                <w:sz w:val="20"/>
                <w:szCs w:val="20"/>
                <w:color w:val="auto"/>
              </w:rPr>
            </w:pPr>
            <w:r>
              <w:rPr>
                <w:rFonts w:ascii="Arial" w:cs="Arial" w:eastAsia="Arial" w:hAnsi="Arial"/>
                <w:sz w:val="18"/>
                <w:szCs w:val="18"/>
                <w:color w:val="auto"/>
              </w:rPr>
              <w:t>Application of Money Collected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928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9280" w:type="dxa"/>
            <w:vAlign w:val="bottom"/>
          </w:tcPr>
          <w:p>
            <w:pPr>
              <w:ind w:left="140"/>
              <w:spacing w:after="0"/>
              <w:rPr>
                <w:sz w:val="20"/>
                <w:szCs w:val="20"/>
                <w:color w:val="auto"/>
              </w:rPr>
            </w:pPr>
            <w:r>
              <w:rPr>
                <w:rFonts w:ascii="Arial" w:cs="Arial" w:eastAsia="Arial" w:hAnsi="Arial"/>
                <w:sz w:val="18"/>
                <w:szCs w:val="18"/>
                <w:color w:val="auto"/>
              </w:rPr>
              <w:t>Unconditional Right of Holders to Receive Principal and Interest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9280" w:type="dxa"/>
            <w:vAlign w:val="bottom"/>
          </w:tcPr>
          <w:p>
            <w:pPr>
              <w:ind w:left="140"/>
              <w:spacing w:after="0"/>
              <w:rPr>
                <w:sz w:val="20"/>
                <w:szCs w:val="20"/>
                <w:color w:val="auto"/>
              </w:rPr>
            </w:pPr>
            <w:r>
              <w:rPr>
                <w:rFonts w:ascii="Arial" w:cs="Arial" w:eastAsia="Arial" w:hAnsi="Arial"/>
                <w:sz w:val="18"/>
                <w:szCs w:val="18"/>
                <w:color w:val="auto"/>
              </w:rPr>
              <w:t>Restoration of Rights and Remedies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6.10</w:t>
            </w:r>
          </w:p>
        </w:tc>
        <w:tc>
          <w:tcPr>
            <w:tcW w:w="9280" w:type="dxa"/>
            <w:vAlign w:val="bottom"/>
          </w:tcPr>
          <w:p>
            <w:pPr>
              <w:ind w:left="140"/>
              <w:spacing w:after="0"/>
              <w:rPr>
                <w:sz w:val="20"/>
                <w:szCs w:val="20"/>
                <w:color w:val="auto"/>
              </w:rPr>
            </w:pPr>
            <w:r>
              <w:rPr>
                <w:rFonts w:ascii="Arial" w:cs="Arial" w:eastAsia="Arial" w:hAnsi="Arial"/>
                <w:sz w:val="18"/>
                <w:szCs w:val="18"/>
                <w:color w:val="auto"/>
              </w:rPr>
              <w:t>Rights and Remedies Cumulative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6.11</w:t>
            </w:r>
          </w:p>
        </w:tc>
        <w:tc>
          <w:tcPr>
            <w:tcW w:w="9280" w:type="dxa"/>
            <w:vAlign w:val="bottom"/>
          </w:tcPr>
          <w:p>
            <w:pPr>
              <w:ind w:left="140"/>
              <w:spacing w:after="0"/>
              <w:rPr>
                <w:sz w:val="20"/>
                <w:szCs w:val="20"/>
                <w:color w:val="auto"/>
              </w:rPr>
            </w:pPr>
            <w:r>
              <w:rPr>
                <w:rFonts w:ascii="Arial" w:cs="Arial" w:eastAsia="Arial" w:hAnsi="Arial"/>
                <w:sz w:val="18"/>
                <w:szCs w:val="18"/>
                <w:color w:val="auto"/>
              </w:rPr>
              <w:t>Delay or Omission Not Waiver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6.12</w:t>
            </w:r>
          </w:p>
        </w:tc>
        <w:tc>
          <w:tcPr>
            <w:tcW w:w="9280" w:type="dxa"/>
            <w:vAlign w:val="bottom"/>
          </w:tcPr>
          <w:p>
            <w:pPr>
              <w:ind w:left="140"/>
              <w:spacing w:after="0"/>
              <w:rPr>
                <w:sz w:val="20"/>
                <w:szCs w:val="20"/>
                <w:color w:val="auto"/>
              </w:rPr>
            </w:pPr>
            <w:r>
              <w:rPr>
                <w:rFonts w:ascii="Arial" w:cs="Arial" w:eastAsia="Arial" w:hAnsi="Arial"/>
                <w:sz w:val="18"/>
                <w:szCs w:val="18"/>
                <w:color w:val="auto"/>
              </w:rPr>
              <w:t>Control by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6.13</w:t>
            </w:r>
          </w:p>
        </w:tc>
        <w:tc>
          <w:tcPr>
            <w:tcW w:w="9280" w:type="dxa"/>
            <w:vAlign w:val="bottom"/>
          </w:tcPr>
          <w:p>
            <w:pPr>
              <w:ind w:left="140"/>
              <w:spacing w:after="0"/>
              <w:rPr>
                <w:sz w:val="20"/>
                <w:szCs w:val="20"/>
                <w:color w:val="auto"/>
              </w:rPr>
            </w:pPr>
            <w:r>
              <w:rPr>
                <w:rFonts w:ascii="Arial" w:cs="Arial" w:eastAsia="Arial" w:hAnsi="Arial"/>
                <w:sz w:val="18"/>
                <w:szCs w:val="18"/>
                <w:color w:val="auto"/>
              </w:rPr>
              <w:t>Waiver of Past Defaults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6.14</w:t>
            </w:r>
          </w:p>
        </w:tc>
        <w:tc>
          <w:tcPr>
            <w:tcW w:w="9280" w:type="dxa"/>
            <w:vAlign w:val="bottom"/>
          </w:tcPr>
          <w:p>
            <w:pPr>
              <w:ind w:left="140"/>
              <w:spacing w:after="0"/>
              <w:rPr>
                <w:sz w:val="20"/>
                <w:szCs w:val="20"/>
                <w:color w:val="auto"/>
              </w:rPr>
            </w:pPr>
            <w:r>
              <w:rPr>
                <w:rFonts w:ascii="Arial" w:cs="Arial" w:eastAsia="Arial" w:hAnsi="Arial"/>
                <w:sz w:val="18"/>
                <w:szCs w:val="18"/>
                <w:color w:val="auto"/>
              </w:rPr>
              <w:t>Undertaking for Costs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280" w:type="dxa"/>
            <w:vAlign w:val="bottom"/>
          </w:tcPr>
          <w:p>
            <w:pPr>
              <w:ind w:left="140"/>
              <w:spacing w:after="0"/>
              <w:rPr>
                <w:sz w:val="20"/>
                <w:szCs w:val="20"/>
                <w:color w:val="auto"/>
              </w:rPr>
            </w:pPr>
            <w:r>
              <w:rPr>
                <w:rFonts w:ascii="Arial" w:cs="Arial" w:eastAsia="Arial" w:hAnsi="Arial"/>
                <w:sz w:val="18"/>
                <w:szCs w:val="18"/>
                <w:color w:val="auto"/>
              </w:rPr>
              <w:t>Duties of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928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9280" w:type="dxa"/>
            <w:vAlign w:val="bottom"/>
          </w:tcPr>
          <w:p>
            <w:pPr>
              <w:ind w:left="140"/>
              <w:spacing w:after="0"/>
              <w:rPr>
                <w:sz w:val="20"/>
                <w:szCs w:val="20"/>
                <w:color w:val="auto"/>
              </w:rPr>
            </w:pPr>
            <w:r>
              <w:rPr>
                <w:rFonts w:ascii="Arial" w:cs="Arial" w:eastAsia="Arial" w:hAnsi="Arial"/>
                <w:sz w:val="18"/>
                <w:szCs w:val="18"/>
                <w:color w:val="auto"/>
              </w:rPr>
              <w:t>Individual Rights of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9280" w:type="dxa"/>
            <w:vAlign w:val="bottom"/>
          </w:tcPr>
          <w:p>
            <w:pPr>
              <w:ind w:left="140"/>
              <w:spacing w:after="0"/>
              <w:rPr>
                <w:sz w:val="20"/>
                <w:szCs w:val="20"/>
                <w:color w:val="auto"/>
              </w:rPr>
            </w:pPr>
            <w:r>
              <w:rPr>
                <w:rFonts w:ascii="Arial" w:cs="Arial" w:eastAsia="Arial" w:hAnsi="Arial"/>
                <w:sz w:val="18"/>
                <w:szCs w:val="18"/>
                <w:color w:val="auto"/>
              </w:rPr>
              <w:t>Trustee’s Disclaimer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928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9280" w:type="dxa"/>
            <w:vAlign w:val="bottom"/>
          </w:tcPr>
          <w:p>
            <w:pPr>
              <w:ind w:left="140"/>
              <w:spacing w:after="0"/>
              <w:rPr>
                <w:sz w:val="20"/>
                <w:szCs w:val="20"/>
                <w:color w:val="auto"/>
              </w:rPr>
            </w:pPr>
            <w:r>
              <w:rPr>
                <w:rFonts w:ascii="Arial" w:cs="Arial" w:eastAsia="Arial" w:hAnsi="Arial"/>
                <w:sz w:val="18"/>
                <w:szCs w:val="18"/>
                <w:color w:val="auto"/>
              </w:rPr>
              <w:t>Reports by Trustee to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9280" w:type="dxa"/>
            <w:vAlign w:val="bottom"/>
          </w:tcPr>
          <w:p>
            <w:pPr>
              <w:ind w:left="140"/>
              <w:spacing w:after="0"/>
              <w:rPr>
                <w:sz w:val="20"/>
                <w:szCs w:val="20"/>
                <w:color w:val="auto"/>
              </w:rPr>
            </w:pPr>
            <w:r>
              <w:rPr>
                <w:rFonts w:ascii="Arial" w:cs="Arial" w:eastAsia="Arial" w:hAnsi="Arial"/>
                <w:sz w:val="18"/>
                <w:szCs w:val="18"/>
                <w:color w:val="auto"/>
              </w:rPr>
              <w:t>Compensation and Indemnity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9280" w:type="dxa"/>
            <w:vAlign w:val="bottom"/>
          </w:tcPr>
          <w:p>
            <w:pPr>
              <w:ind w:left="140"/>
              <w:spacing w:after="0"/>
              <w:rPr>
                <w:sz w:val="20"/>
                <w:szCs w:val="20"/>
                <w:color w:val="auto"/>
              </w:rPr>
            </w:pPr>
            <w:r>
              <w:rPr>
                <w:rFonts w:ascii="Arial" w:cs="Arial" w:eastAsia="Arial" w:hAnsi="Arial"/>
                <w:sz w:val="18"/>
                <w:szCs w:val="18"/>
                <w:color w:val="auto"/>
              </w:rPr>
              <w:t>Replacement of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9280" w:type="dxa"/>
            <w:vAlign w:val="bottom"/>
          </w:tcPr>
          <w:p>
            <w:pPr>
              <w:ind w:left="140"/>
              <w:spacing w:after="0"/>
              <w:rPr>
                <w:sz w:val="20"/>
                <w:szCs w:val="20"/>
                <w:color w:val="auto"/>
              </w:rPr>
            </w:pPr>
            <w:r>
              <w:rPr>
                <w:rFonts w:ascii="Arial" w:cs="Arial" w:eastAsia="Arial" w:hAnsi="Arial"/>
                <w:sz w:val="18"/>
                <w:szCs w:val="18"/>
                <w:color w:val="auto"/>
              </w:rPr>
              <w:t>Successor Trustee by Merger,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7.10</w:t>
            </w:r>
          </w:p>
        </w:tc>
        <w:tc>
          <w:tcPr>
            <w:tcW w:w="928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7.11</w:t>
            </w:r>
          </w:p>
        </w:tc>
        <w:tc>
          <w:tcPr>
            <w:tcW w:w="928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280" w:type="dxa"/>
            <w:vAlign w:val="bottom"/>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280" w:type="dxa"/>
            <w:vAlign w:val="bottom"/>
          </w:tcPr>
          <w:p>
            <w:pPr>
              <w:ind w:left="140"/>
              <w:spacing w:after="0"/>
              <w:rPr>
                <w:sz w:val="20"/>
                <w:szCs w:val="20"/>
                <w:color w:val="auto"/>
              </w:rPr>
            </w:pPr>
            <w:r>
              <w:rPr>
                <w:rFonts w:ascii="Arial" w:cs="Arial" w:eastAsia="Arial" w:hAnsi="Arial"/>
                <w:sz w:val="18"/>
                <w:szCs w:val="18"/>
                <w:color w:val="auto"/>
              </w:rPr>
              <w:t>Application of Trust Funds; Indemnification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9280" w:type="dxa"/>
            <w:vAlign w:val="bottom"/>
          </w:tcPr>
          <w:p>
            <w:pPr>
              <w:ind w:left="140"/>
              <w:spacing w:after="0"/>
              <w:rPr>
                <w:sz w:val="20"/>
                <w:szCs w:val="20"/>
                <w:color w:val="auto"/>
              </w:rPr>
            </w:pPr>
            <w:r>
              <w:rPr>
                <w:rFonts w:ascii="Arial" w:cs="Arial" w:eastAsia="Arial" w:hAnsi="Arial"/>
                <w:sz w:val="18"/>
                <w:szCs w:val="18"/>
                <w:color w:val="auto"/>
              </w:rPr>
              <w:t>Legal Defeasance of Securities of any Series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928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9280" w:type="dxa"/>
            <w:vAlign w:val="bottom"/>
          </w:tcPr>
          <w:p>
            <w:pPr>
              <w:ind w:left="140"/>
              <w:spacing w:after="0"/>
              <w:rPr>
                <w:sz w:val="20"/>
                <w:szCs w:val="20"/>
                <w:color w:val="auto"/>
              </w:rPr>
            </w:pPr>
            <w:r>
              <w:rPr>
                <w:rFonts w:ascii="Arial" w:cs="Arial" w:eastAsia="Arial" w:hAnsi="Arial"/>
                <w:sz w:val="18"/>
                <w:szCs w:val="18"/>
                <w:color w:val="auto"/>
              </w:rPr>
              <w:t>Repayment to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928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9280" w:type="dxa"/>
            <w:vAlign w:val="bottom"/>
          </w:tcPr>
          <w:p>
            <w:pPr>
              <w:ind w:left="140"/>
              <w:spacing w:after="0"/>
              <w:rPr>
                <w:sz w:val="20"/>
                <w:szCs w:val="20"/>
                <w:color w:val="auto"/>
              </w:rPr>
            </w:pPr>
            <w:r>
              <w:rPr>
                <w:rFonts w:ascii="Arial" w:cs="Arial" w:eastAsia="Arial" w:hAnsi="Arial"/>
                <w:sz w:val="18"/>
                <w:szCs w:val="18"/>
                <w:color w:val="auto"/>
              </w:rPr>
              <w:t>Without Consent of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9280" w:type="dxa"/>
            <w:vAlign w:val="bottom"/>
          </w:tcPr>
          <w:p>
            <w:pPr>
              <w:ind w:left="140"/>
              <w:spacing w:after="0"/>
              <w:rPr>
                <w:sz w:val="20"/>
                <w:szCs w:val="20"/>
                <w:color w:val="auto"/>
              </w:rPr>
            </w:pPr>
            <w:r>
              <w:rPr>
                <w:rFonts w:ascii="Arial" w:cs="Arial" w:eastAsia="Arial" w:hAnsi="Arial"/>
                <w:sz w:val="18"/>
                <w:szCs w:val="18"/>
                <w:color w:val="auto"/>
              </w:rPr>
              <w:t>With Consent of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928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9280" w:type="dxa"/>
            <w:vAlign w:val="bottom"/>
          </w:tcPr>
          <w:p>
            <w:pPr>
              <w:ind w:left="140"/>
              <w:spacing w:after="0"/>
              <w:rPr>
                <w:sz w:val="20"/>
                <w:szCs w:val="20"/>
                <w:color w:val="auto"/>
              </w:rPr>
            </w:pPr>
            <w:r>
              <w:rPr>
                <w:rFonts w:ascii="Arial" w:cs="Arial" w:eastAsia="Arial" w:hAnsi="Arial"/>
                <w:sz w:val="18"/>
                <w:szCs w:val="18"/>
                <w:color w:val="auto"/>
              </w:rPr>
              <w:t>Compliance with Trust Indenture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928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9280" w:type="dxa"/>
            <w:vAlign w:val="bottom"/>
          </w:tcPr>
          <w:p>
            <w:pPr>
              <w:ind w:left="140"/>
              <w:spacing w:after="0"/>
              <w:rPr>
                <w:sz w:val="20"/>
                <w:szCs w:val="20"/>
                <w:color w:val="auto"/>
              </w:rPr>
            </w:pPr>
            <w:r>
              <w:rPr>
                <w:rFonts w:ascii="Arial" w:cs="Arial" w:eastAsia="Arial" w:hAnsi="Arial"/>
                <w:sz w:val="18"/>
                <w:szCs w:val="18"/>
                <w:color w:val="auto"/>
              </w:rPr>
              <w:t>Notation on or Exchange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9280" w:type="dxa"/>
            <w:vAlign w:val="bottom"/>
          </w:tcPr>
          <w:p>
            <w:pPr>
              <w:ind w:left="140"/>
              <w:spacing w:after="0"/>
              <w:rPr>
                <w:sz w:val="20"/>
                <w:szCs w:val="20"/>
                <w:color w:val="auto"/>
              </w:rPr>
            </w:pPr>
            <w:r>
              <w:rPr>
                <w:rFonts w:ascii="Arial" w:cs="Arial" w:eastAsia="Arial" w:hAnsi="Arial"/>
                <w:sz w:val="18"/>
                <w:szCs w:val="18"/>
                <w:color w:val="auto"/>
              </w:rPr>
              <w:t>Trustee Protected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2"/>
            <w:vMerge w:val="restart"/>
          </w:tcPr>
          <w:p>
            <w:pPr>
              <w:spacing w:after="0"/>
              <w:rPr>
                <w:sz w:val="20"/>
                <w:szCs w:val="20"/>
                <w:color w:val="auto"/>
              </w:rPr>
            </w:pPr>
            <w:r>
              <w:rPr>
                <w:rFonts w:ascii="Arial" w:cs="Arial" w:eastAsia="Arial" w:hAnsi="Arial"/>
                <w:sz w:val="18"/>
                <w:szCs w:val="18"/>
                <w:color w:val="auto"/>
              </w:rPr>
              <w:t>ARTICLE X MISCELLANEOUS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4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220" w:type="dxa"/>
            <w:vAlign w:val="bottom"/>
          </w:tcPr>
          <w:p>
            <w:pPr>
              <w:ind w:left="80"/>
              <w:spacing w:after="0"/>
              <w:rPr>
                <w:sz w:val="20"/>
                <w:szCs w:val="20"/>
                <w:color w:val="auto"/>
              </w:rPr>
            </w:pPr>
            <w:r>
              <w:rPr>
                <w:rFonts w:ascii="Arial" w:cs="Arial" w:eastAsia="Arial" w:hAnsi="Arial"/>
                <w:sz w:val="18"/>
                <w:szCs w:val="18"/>
                <w:color w:val="auto"/>
              </w:rPr>
              <w:t>Trust Indenture Act Controls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220" w:type="dxa"/>
            <w:vAlign w:val="bottom"/>
          </w:tcPr>
          <w:p>
            <w:pPr>
              <w:ind w:left="80"/>
              <w:spacing w:after="0"/>
              <w:rPr>
                <w:sz w:val="20"/>
                <w:szCs w:val="20"/>
                <w:color w:val="auto"/>
              </w:rPr>
            </w:pPr>
            <w:r>
              <w:rPr>
                <w:rFonts w:ascii="Arial" w:cs="Arial" w:eastAsia="Arial" w:hAnsi="Arial"/>
                <w:sz w:val="18"/>
                <w:szCs w:val="18"/>
                <w:color w:val="auto"/>
              </w:rPr>
              <w:t>Notices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220" w:type="dxa"/>
            <w:vAlign w:val="bottom"/>
          </w:tcPr>
          <w:p>
            <w:pPr>
              <w:ind w:left="80"/>
              <w:spacing w:after="0"/>
              <w:rPr>
                <w:sz w:val="20"/>
                <w:szCs w:val="20"/>
                <w:color w:val="auto"/>
              </w:rPr>
            </w:pPr>
            <w:r>
              <w:rPr>
                <w:rFonts w:ascii="Arial" w:cs="Arial" w:eastAsia="Arial" w:hAnsi="Arial"/>
                <w:sz w:val="18"/>
                <w:szCs w:val="18"/>
                <w:color w:val="auto"/>
              </w:rPr>
              <w:t>Communication by Holders with Other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220" w:type="dxa"/>
            <w:vAlign w:val="bottom"/>
          </w:tcPr>
          <w:p>
            <w:pPr>
              <w:ind w:left="80"/>
              <w:spacing w:after="0"/>
              <w:rPr>
                <w:sz w:val="20"/>
                <w:szCs w:val="20"/>
                <w:color w:val="auto"/>
              </w:rPr>
            </w:pPr>
            <w:r>
              <w:rPr>
                <w:rFonts w:ascii="Arial" w:cs="Arial" w:eastAsia="Arial" w:hAnsi="Arial"/>
                <w:sz w:val="18"/>
                <w:szCs w:val="18"/>
                <w:color w:val="auto"/>
              </w:rPr>
              <w:t>Certificate and Opinion as to Conditions Precedent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220" w:type="dxa"/>
            <w:vAlign w:val="bottom"/>
          </w:tcPr>
          <w:p>
            <w:pPr>
              <w:ind w:left="80"/>
              <w:spacing w:after="0"/>
              <w:rPr>
                <w:sz w:val="20"/>
                <w:szCs w:val="20"/>
                <w:color w:val="auto"/>
              </w:rPr>
            </w:pPr>
            <w:r>
              <w:rPr>
                <w:rFonts w:ascii="Arial" w:cs="Arial" w:eastAsia="Arial" w:hAnsi="Arial"/>
                <w:sz w:val="18"/>
                <w:szCs w:val="18"/>
                <w:color w:val="auto"/>
              </w:rPr>
              <w:t>Statements Required in Certificate or Opinion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220" w:type="dxa"/>
            <w:vAlign w:val="bottom"/>
          </w:tcPr>
          <w:p>
            <w:pPr>
              <w:ind w:left="80"/>
              <w:spacing w:after="0"/>
              <w:rPr>
                <w:sz w:val="20"/>
                <w:szCs w:val="20"/>
                <w:color w:val="auto"/>
              </w:rPr>
            </w:pPr>
            <w:r>
              <w:rPr>
                <w:rFonts w:ascii="Arial" w:cs="Arial" w:eastAsia="Arial" w:hAnsi="Arial"/>
                <w:sz w:val="18"/>
                <w:szCs w:val="18"/>
                <w:color w:val="auto"/>
              </w:rPr>
              <w:t>Rules by Trustee and Agents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9220" w:type="dxa"/>
            <w:vAlign w:val="bottom"/>
          </w:tcPr>
          <w:p>
            <w:pPr>
              <w:ind w:left="80"/>
              <w:spacing w:after="0"/>
              <w:rPr>
                <w:sz w:val="20"/>
                <w:szCs w:val="20"/>
                <w:color w:val="auto"/>
              </w:rPr>
            </w:pPr>
            <w:r>
              <w:rPr>
                <w:rFonts w:ascii="Arial" w:cs="Arial" w:eastAsia="Arial" w:hAnsi="Arial"/>
                <w:sz w:val="18"/>
                <w:szCs w:val="18"/>
                <w:color w:val="auto"/>
              </w:rPr>
              <w:t>Legal Holidays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9220" w:type="dxa"/>
            <w:vAlign w:val="bottom"/>
          </w:tcPr>
          <w:p>
            <w:pPr>
              <w:ind w:left="80"/>
              <w:spacing w:after="0"/>
              <w:rPr>
                <w:sz w:val="20"/>
                <w:szCs w:val="20"/>
                <w:color w:val="auto"/>
              </w:rPr>
            </w:pPr>
            <w:r>
              <w:rPr>
                <w:rFonts w:ascii="Arial" w:cs="Arial" w:eastAsia="Arial" w:hAnsi="Arial"/>
                <w:sz w:val="18"/>
                <w:szCs w:val="18"/>
                <w:color w:val="auto"/>
              </w:rPr>
              <w:t>No Recourse Against Others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922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10.10</w:t>
            </w:r>
          </w:p>
        </w:tc>
        <w:tc>
          <w:tcPr>
            <w:tcW w:w="9220" w:type="dxa"/>
            <w:vAlign w:val="bottom"/>
          </w:tcPr>
          <w:p>
            <w:pPr>
              <w:ind w:left="80"/>
              <w:spacing w:after="0"/>
              <w:rPr>
                <w:sz w:val="20"/>
                <w:szCs w:val="20"/>
                <w:color w:val="auto"/>
              </w:rPr>
            </w:pPr>
            <w:r>
              <w:rPr>
                <w:rFonts w:ascii="Arial" w:cs="Arial" w:eastAsia="Arial" w:hAnsi="Arial"/>
                <w:sz w:val="18"/>
                <w:szCs w:val="18"/>
                <w:color w:val="auto"/>
              </w:rPr>
              <w:t>Governing Law; Waiver of Jury Trial; Consent to Jurisdiction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10.11</w:t>
            </w:r>
          </w:p>
        </w:tc>
        <w:tc>
          <w:tcPr>
            <w:tcW w:w="9220" w:type="dxa"/>
            <w:vAlign w:val="bottom"/>
          </w:tcPr>
          <w:p>
            <w:pPr>
              <w:ind w:left="80"/>
              <w:spacing w:after="0"/>
              <w:rPr>
                <w:sz w:val="20"/>
                <w:szCs w:val="20"/>
                <w:color w:val="auto"/>
              </w:rPr>
            </w:pPr>
            <w:r>
              <w:rPr>
                <w:rFonts w:ascii="Arial" w:cs="Arial" w:eastAsia="Arial" w:hAnsi="Arial"/>
                <w:sz w:val="18"/>
                <w:szCs w:val="18"/>
                <w:color w:val="auto"/>
              </w:rPr>
              <w:t>No Adverse Interpretation of Other Agreements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10.12</w:t>
            </w:r>
          </w:p>
        </w:tc>
        <w:tc>
          <w:tcPr>
            <w:tcW w:w="922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10.13</w:t>
            </w:r>
          </w:p>
        </w:tc>
        <w:tc>
          <w:tcPr>
            <w:tcW w:w="922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10.14</w:t>
            </w:r>
          </w:p>
        </w:tc>
        <w:tc>
          <w:tcPr>
            <w:tcW w:w="9220" w:type="dxa"/>
            <w:vAlign w:val="bottom"/>
          </w:tcPr>
          <w:p>
            <w:pPr>
              <w:ind w:left="80"/>
              <w:spacing w:after="0"/>
              <w:rPr>
                <w:sz w:val="20"/>
                <w:szCs w:val="20"/>
                <w:color w:val="auto"/>
              </w:rPr>
            </w:pPr>
            <w:r>
              <w:rPr>
                <w:rFonts w:ascii="Arial" w:cs="Arial" w:eastAsia="Arial" w:hAnsi="Arial"/>
                <w:sz w:val="18"/>
                <w:szCs w:val="18"/>
                <w:color w:val="auto"/>
              </w:rPr>
              <w:t>Table of Contents, Headings,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10.15</w:t>
            </w:r>
          </w:p>
        </w:tc>
        <w:tc>
          <w:tcPr>
            <w:tcW w:w="9220" w:type="dxa"/>
            <w:vAlign w:val="bottom"/>
          </w:tcPr>
          <w:p>
            <w:pPr>
              <w:ind w:left="80"/>
              <w:spacing w:after="0"/>
              <w:rPr>
                <w:sz w:val="20"/>
                <w:szCs w:val="20"/>
                <w:color w:val="auto"/>
              </w:rPr>
            </w:pPr>
            <w:r>
              <w:rPr>
                <w:rFonts w:ascii="Arial" w:cs="Arial" w:eastAsia="Arial" w:hAnsi="Arial"/>
                <w:sz w:val="18"/>
                <w:szCs w:val="18"/>
                <w:color w:val="auto"/>
              </w:rPr>
              <w:t>Securities in a Foreign Currency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10.16</w:t>
            </w:r>
          </w:p>
        </w:tc>
        <w:tc>
          <w:tcPr>
            <w:tcW w:w="9220" w:type="dxa"/>
            <w:vAlign w:val="bottom"/>
          </w:tcPr>
          <w:p>
            <w:pPr>
              <w:ind w:left="80"/>
              <w:spacing w:after="0"/>
              <w:rPr>
                <w:sz w:val="20"/>
                <w:szCs w:val="20"/>
                <w:color w:val="auto"/>
              </w:rPr>
            </w:pPr>
            <w:r>
              <w:rPr>
                <w:rFonts w:ascii="Arial" w:cs="Arial" w:eastAsia="Arial" w:hAnsi="Arial"/>
                <w:sz w:val="18"/>
                <w:szCs w:val="18"/>
                <w:color w:val="auto"/>
              </w:rPr>
              <w:t>Judgment Currency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10.17</w:t>
            </w:r>
          </w:p>
        </w:tc>
        <w:tc>
          <w:tcPr>
            <w:tcW w:w="9220" w:type="dxa"/>
            <w:vAlign w:val="bottom"/>
          </w:tcPr>
          <w:p>
            <w:pPr>
              <w:ind w:left="80"/>
              <w:spacing w:after="0"/>
              <w:rPr>
                <w:sz w:val="20"/>
                <w:szCs w:val="20"/>
                <w:color w:val="auto"/>
              </w:rPr>
            </w:pPr>
            <w:r>
              <w:rPr>
                <w:rFonts w:ascii="Arial" w:cs="Arial" w:eastAsia="Arial" w:hAnsi="Arial"/>
                <w:sz w:val="18"/>
                <w:szCs w:val="18"/>
                <w:color w:val="auto"/>
              </w:rPr>
              <w:t>Force Majeure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10.18</w:t>
            </w:r>
          </w:p>
        </w:tc>
        <w:tc>
          <w:tcPr>
            <w:tcW w:w="9220" w:type="dxa"/>
            <w:vAlign w:val="bottom"/>
          </w:tcPr>
          <w:p>
            <w:pPr>
              <w:ind w:left="80"/>
              <w:spacing w:after="0"/>
              <w:rPr>
                <w:sz w:val="20"/>
                <w:szCs w:val="20"/>
                <w:color w:val="auto"/>
              </w:rPr>
            </w:pPr>
            <w:r>
              <w:rPr>
                <w:rFonts w:ascii="Arial" w:cs="Arial" w:eastAsia="Arial" w:hAnsi="Arial"/>
                <w:sz w:val="18"/>
                <w:szCs w:val="18"/>
                <w:color w:val="auto"/>
              </w:rPr>
              <w:t>U.S.A. Patriot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220" w:type="dxa"/>
            <w:vAlign w:val="bottom"/>
          </w:tcPr>
          <w:p>
            <w:pPr>
              <w:ind w:left="80"/>
              <w:spacing w:after="0"/>
              <w:rPr>
                <w:sz w:val="20"/>
                <w:szCs w:val="20"/>
                <w:color w:val="auto"/>
              </w:rPr>
            </w:pPr>
            <w:r>
              <w:rPr>
                <w:rFonts w:ascii="Arial" w:cs="Arial" w:eastAsia="Arial" w:hAnsi="Arial"/>
                <w:sz w:val="18"/>
                <w:szCs w:val="18"/>
                <w:color w:val="auto"/>
              </w:rPr>
              <w:t>Applicability of Article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220" w:type="dxa"/>
            <w:vAlign w:val="bottom"/>
          </w:tcPr>
          <w:p>
            <w:pPr>
              <w:ind w:left="80"/>
              <w:spacing w:after="0"/>
              <w:rPr>
                <w:sz w:val="20"/>
                <w:szCs w:val="20"/>
                <w:color w:val="auto"/>
              </w:rPr>
            </w:pPr>
            <w:r>
              <w:rPr>
                <w:rFonts w:ascii="Arial" w:cs="Arial" w:eastAsia="Arial" w:hAnsi="Arial"/>
                <w:sz w:val="18"/>
                <w:szCs w:val="18"/>
                <w:color w:val="auto"/>
              </w:rPr>
              <w:t>Satisfaction of Sinking Fund Payments with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220" w:type="dxa"/>
            <w:vAlign w:val="bottom"/>
          </w:tcPr>
          <w:p>
            <w:pPr>
              <w:ind w:left="80"/>
              <w:spacing w:after="0"/>
              <w:rPr>
                <w:sz w:val="20"/>
                <w:szCs w:val="20"/>
                <w:color w:val="auto"/>
              </w:rPr>
            </w:pPr>
            <w:r>
              <w:rPr>
                <w:rFonts w:ascii="Arial" w:cs="Arial" w:eastAsia="Arial" w:hAnsi="Arial"/>
                <w:sz w:val="18"/>
                <w:szCs w:val="18"/>
                <w:color w:val="auto"/>
              </w:rPr>
              <w:t>Redemption of Securities for Sinking Fund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7820" w:type="dxa"/>
            <w:vAlign w:val="bottom"/>
            <w:gridSpan w:val="2"/>
          </w:tcPr>
          <w:p>
            <w:pPr>
              <w:ind w:left="4120"/>
              <w:spacing w:after="0"/>
              <w:rPr>
                <w:sz w:val="20"/>
                <w:szCs w:val="20"/>
                <w:color w:val="auto"/>
              </w:rPr>
            </w:pPr>
            <w:r>
              <w:rPr>
                <w:rFonts w:ascii="Arial" w:cs="Arial" w:eastAsia="Arial" w:hAnsi="Arial"/>
                <w:sz w:val="18"/>
                <w:szCs w:val="18"/>
                <w:b w:val="1"/>
                <w:bCs w:val="1"/>
                <w:color w:val="auto"/>
              </w:rPr>
              <w:t>PMV PHARMACEUTICALS, INC.</w:t>
            </w:r>
          </w:p>
        </w:tc>
      </w:tr>
      <w:tr>
        <w:trPr>
          <w:trHeight w:val="432"/>
        </w:trPr>
        <w:tc>
          <w:tcPr>
            <w:tcW w:w="6360" w:type="dxa"/>
            <w:vAlign w:val="bottom"/>
          </w:tcPr>
          <w:p>
            <w:pPr>
              <w:jc w:val="right"/>
              <w:ind w:right="90"/>
              <w:spacing w:after="0"/>
              <w:rPr>
                <w:sz w:val="20"/>
                <w:szCs w:val="20"/>
                <w:color w:val="auto"/>
              </w:rPr>
            </w:pPr>
            <w:r>
              <w:rPr>
                <w:rFonts w:ascii="Arial" w:cs="Arial" w:eastAsia="Arial" w:hAnsi="Arial"/>
                <w:sz w:val="18"/>
                <w:szCs w:val="18"/>
                <w:color w:val="auto"/>
                <w:w w:val="90"/>
              </w:rPr>
              <w:t>Reconciliation and tie between Trust Indenture Act of 1939 and Indenture, dated as of</w:t>
            </w:r>
          </w:p>
        </w:tc>
        <w:tc>
          <w:tcPr>
            <w:tcW w:w="1460" w:type="dxa"/>
            <w:vAlign w:val="bottom"/>
          </w:tcPr>
          <w:p>
            <w:pPr>
              <w:ind w:left="180"/>
              <w:spacing w:after="0"/>
              <w:rPr>
                <w:sz w:val="20"/>
                <w:szCs w:val="20"/>
                <w:color w:val="auto"/>
              </w:rPr>
            </w:pPr>
            <w:r>
              <w:rPr>
                <w:rFonts w:ascii="Arial" w:cs="Arial" w:eastAsia="Arial" w:hAnsi="Arial"/>
                <w:sz w:val="18"/>
                <w:szCs w:val="18"/>
                <w:color w:val="auto"/>
              </w:rPr>
              <w:t>, 20</w:t>
            </w:r>
          </w:p>
        </w:tc>
      </w:tr>
      <w:tr>
        <w:trPr>
          <w:trHeight w:val="445"/>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 310(a)(1)</w:t>
            </w:r>
          </w:p>
        </w:tc>
        <w:tc>
          <w:tcPr>
            <w:tcW w:w="1460" w:type="dxa"/>
            <w:vAlign w:val="bottom"/>
          </w:tcPr>
          <w:p>
            <w:pPr>
              <w:ind w:left="360"/>
              <w:spacing w:after="0"/>
              <w:rPr>
                <w:sz w:val="20"/>
                <w:szCs w:val="20"/>
                <w:color w:val="auto"/>
              </w:rPr>
            </w:pPr>
            <w:r>
              <w:rPr>
                <w:rFonts w:ascii="Arial" w:cs="Arial" w:eastAsia="Arial" w:hAnsi="Arial"/>
                <w:sz w:val="18"/>
                <w:szCs w:val="18"/>
                <w:color w:val="auto"/>
              </w:rPr>
              <w:t>7.10</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(a)(2)</w:t>
            </w:r>
          </w:p>
        </w:tc>
        <w:tc>
          <w:tcPr>
            <w:tcW w:w="1460" w:type="dxa"/>
            <w:vAlign w:val="bottom"/>
          </w:tcPr>
          <w:p>
            <w:pPr>
              <w:ind w:left="360"/>
              <w:spacing w:after="0"/>
              <w:rPr>
                <w:sz w:val="20"/>
                <w:szCs w:val="20"/>
                <w:color w:val="auto"/>
              </w:rPr>
            </w:pPr>
            <w:r>
              <w:rPr>
                <w:rFonts w:ascii="Arial" w:cs="Arial" w:eastAsia="Arial" w:hAnsi="Arial"/>
                <w:sz w:val="18"/>
                <w:szCs w:val="18"/>
                <w:color w:val="auto"/>
              </w:rPr>
              <w:t>7.10</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(a)(3)</w:t>
            </w:r>
          </w:p>
        </w:tc>
        <w:tc>
          <w:tcPr>
            <w:tcW w:w="1460" w:type="dxa"/>
            <w:vAlign w:val="bottom"/>
          </w:tcPr>
          <w:p>
            <w:pPr>
              <w:ind w:left="360"/>
              <w:spacing w:after="0"/>
              <w:rPr>
                <w:sz w:val="20"/>
                <w:szCs w:val="20"/>
                <w:color w:val="auto"/>
              </w:rPr>
            </w:pPr>
            <w:r>
              <w:rPr>
                <w:rFonts w:ascii="Arial" w:cs="Arial" w:eastAsia="Arial" w:hAnsi="Arial"/>
                <w:sz w:val="18"/>
                <w:szCs w:val="18"/>
                <w:color w:val="auto"/>
                <w:w w:val="93"/>
              </w:rPr>
              <w:t>Not Applicable</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(a)(4)</w:t>
            </w:r>
          </w:p>
        </w:tc>
        <w:tc>
          <w:tcPr>
            <w:tcW w:w="1460" w:type="dxa"/>
            <w:vAlign w:val="bottom"/>
          </w:tcPr>
          <w:p>
            <w:pPr>
              <w:ind w:left="360"/>
              <w:spacing w:after="0"/>
              <w:rPr>
                <w:sz w:val="20"/>
                <w:szCs w:val="20"/>
                <w:color w:val="auto"/>
              </w:rPr>
            </w:pPr>
            <w:r>
              <w:rPr>
                <w:rFonts w:ascii="Arial" w:cs="Arial" w:eastAsia="Arial" w:hAnsi="Arial"/>
                <w:sz w:val="18"/>
                <w:szCs w:val="18"/>
                <w:color w:val="auto"/>
                <w:w w:val="93"/>
              </w:rPr>
              <w:t>Not Applicable</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(a)(5)</w:t>
            </w:r>
          </w:p>
        </w:tc>
        <w:tc>
          <w:tcPr>
            <w:tcW w:w="1460" w:type="dxa"/>
            <w:vAlign w:val="bottom"/>
          </w:tcPr>
          <w:p>
            <w:pPr>
              <w:ind w:left="360"/>
              <w:spacing w:after="0"/>
              <w:rPr>
                <w:sz w:val="20"/>
                <w:szCs w:val="20"/>
                <w:color w:val="auto"/>
              </w:rPr>
            </w:pPr>
            <w:r>
              <w:rPr>
                <w:rFonts w:ascii="Arial" w:cs="Arial" w:eastAsia="Arial" w:hAnsi="Arial"/>
                <w:sz w:val="18"/>
                <w:szCs w:val="18"/>
                <w:color w:val="auto"/>
              </w:rPr>
              <w:t>7.10</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(b)</w:t>
            </w:r>
          </w:p>
        </w:tc>
        <w:tc>
          <w:tcPr>
            <w:tcW w:w="1460" w:type="dxa"/>
            <w:vAlign w:val="bottom"/>
          </w:tcPr>
          <w:p>
            <w:pPr>
              <w:ind w:left="360"/>
              <w:spacing w:after="0"/>
              <w:rPr>
                <w:sz w:val="20"/>
                <w:szCs w:val="20"/>
                <w:color w:val="auto"/>
              </w:rPr>
            </w:pPr>
            <w:r>
              <w:rPr>
                <w:rFonts w:ascii="Arial" w:cs="Arial" w:eastAsia="Arial" w:hAnsi="Arial"/>
                <w:sz w:val="18"/>
                <w:szCs w:val="18"/>
                <w:color w:val="auto"/>
              </w:rPr>
              <w:t>7.10</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 311(a)</w:t>
            </w:r>
          </w:p>
        </w:tc>
        <w:tc>
          <w:tcPr>
            <w:tcW w:w="1460" w:type="dxa"/>
            <w:vAlign w:val="bottom"/>
          </w:tcPr>
          <w:p>
            <w:pPr>
              <w:ind w:left="360"/>
              <w:spacing w:after="0"/>
              <w:rPr>
                <w:sz w:val="20"/>
                <w:szCs w:val="20"/>
                <w:color w:val="auto"/>
              </w:rPr>
            </w:pPr>
            <w:r>
              <w:rPr>
                <w:rFonts w:ascii="Arial" w:cs="Arial" w:eastAsia="Arial" w:hAnsi="Arial"/>
                <w:sz w:val="18"/>
                <w:szCs w:val="18"/>
                <w:color w:val="auto"/>
              </w:rPr>
              <w:t>7.11</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(b)</w:t>
            </w:r>
          </w:p>
        </w:tc>
        <w:tc>
          <w:tcPr>
            <w:tcW w:w="1460" w:type="dxa"/>
            <w:vAlign w:val="bottom"/>
          </w:tcPr>
          <w:p>
            <w:pPr>
              <w:ind w:left="360"/>
              <w:spacing w:after="0"/>
              <w:rPr>
                <w:sz w:val="20"/>
                <w:szCs w:val="20"/>
                <w:color w:val="auto"/>
              </w:rPr>
            </w:pPr>
            <w:r>
              <w:rPr>
                <w:rFonts w:ascii="Arial" w:cs="Arial" w:eastAsia="Arial" w:hAnsi="Arial"/>
                <w:sz w:val="18"/>
                <w:szCs w:val="18"/>
                <w:color w:val="auto"/>
              </w:rPr>
              <w:t>7.11</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(c)</w:t>
            </w:r>
          </w:p>
        </w:tc>
        <w:tc>
          <w:tcPr>
            <w:tcW w:w="1460" w:type="dxa"/>
            <w:vAlign w:val="bottom"/>
          </w:tcPr>
          <w:p>
            <w:pPr>
              <w:ind w:left="360"/>
              <w:spacing w:after="0"/>
              <w:rPr>
                <w:sz w:val="20"/>
                <w:szCs w:val="20"/>
                <w:color w:val="auto"/>
              </w:rPr>
            </w:pPr>
            <w:r>
              <w:rPr>
                <w:rFonts w:ascii="Arial" w:cs="Arial" w:eastAsia="Arial" w:hAnsi="Arial"/>
                <w:sz w:val="18"/>
                <w:szCs w:val="18"/>
                <w:color w:val="auto"/>
                <w:w w:val="93"/>
              </w:rPr>
              <w:t>Not Applicable</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 312(a)</w:t>
            </w:r>
          </w:p>
        </w:tc>
        <w:tc>
          <w:tcPr>
            <w:tcW w:w="1460" w:type="dxa"/>
            <w:vAlign w:val="bottom"/>
          </w:tcPr>
          <w:p>
            <w:pPr>
              <w:ind w:left="360"/>
              <w:spacing w:after="0"/>
              <w:rPr>
                <w:sz w:val="20"/>
                <w:szCs w:val="20"/>
                <w:color w:val="auto"/>
              </w:rPr>
            </w:pPr>
            <w:r>
              <w:rPr>
                <w:rFonts w:ascii="Arial" w:cs="Arial" w:eastAsia="Arial" w:hAnsi="Arial"/>
                <w:sz w:val="18"/>
                <w:szCs w:val="18"/>
                <w:color w:val="auto"/>
              </w:rPr>
              <w:t>2.6</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(b)</w:t>
            </w:r>
          </w:p>
        </w:tc>
        <w:tc>
          <w:tcPr>
            <w:tcW w:w="1460" w:type="dxa"/>
            <w:vAlign w:val="bottom"/>
          </w:tcPr>
          <w:p>
            <w:pPr>
              <w:ind w:left="360"/>
              <w:spacing w:after="0"/>
              <w:rPr>
                <w:sz w:val="20"/>
                <w:szCs w:val="20"/>
                <w:color w:val="auto"/>
              </w:rPr>
            </w:pPr>
            <w:r>
              <w:rPr>
                <w:rFonts w:ascii="Arial" w:cs="Arial" w:eastAsia="Arial" w:hAnsi="Arial"/>
                <w:sz w:val="18"/>
                <w:szCs w:val="18"/>
                <w:color w:val="auto"/>
              </w:rPr>
              <w:t>10.3</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(c)</w:t>
            </w:r>
          </w:p>
        </w:tc>
        <w:tc>
          <w:tcPr>
            <w:tcW w:w="1460" w:type="dxa"/>
            <w:vAlign w:val="bottom"/>
          </w:tcPr>
          <w:p>
            <w:pPr>
              <w:ind w:left="360"/>
              <w:spacing w:after="0"/>
              <w:rPr>
                <w:sz w:val="20"/>
                <w:szCs w:val="20"/>
                <w:color w:val="auto"/>
              </w:rPr>
            </w:pPr>
            <w:r>
              <w:rPr>
                <w:rFonts w:ascii="Arial" w:cs="Arial" w:eastAsia="Arial" w:hAnsi="Arial"/>
                <w:sz w:val="18"/>
                <w:szCs w:val="18"/>
                <w:color w:val="auto"/>
              </w:rPr>
              <w:t>10.3</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 313(a)</w:t>
            </w:r>
          </w:p>
        </w:tc>
        <w:tc>
          <w:tcPr>
            <w:tcW w:w="1460" w:type="dxa"/>
            <w:vAlign w:val="bottom"/>
          </w:tcPr>
          <w:p>
            <w:pPr>
              <w:ind w:left="36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(b)(1)</w:t>
            </w:r>
          </w:p>
        </w:tc>
        <w:tc>
          <w:tcPr>
            <w:tcW w:w="1460" w:type="dxa"/>
            <w:vAlign w:val="bottom"/>
          </w:tcPr>
          <w:p>
            <w:pPr>
              <w:ind w:left="36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(b)(2)</w:t>
            </w:r>
          </w:p>
        </w:tc>
        <w:tc>
          <w:tcPr>
            <w:tcW w:w="1460" w:type="dxa"/>
            <w:vAlign w:val="bottom"/>
          </w:tcPr>
          <w:p>
            <w:pPr>
              <w:ind w:left="36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(c)(1)</w:t>
            </w:r>
          </w:p>
        </w:tc>
        <w:tc>
          <w:tcPr>
            <w:tcW w:w="1460" w:type="dxa"/>
            <w:vAlign w:val="bottom"/>
          </w:tcPr>
          <w:p>
            <w:pPr>
              <w:ind w:left="36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(d)</w:t>
            </w:r>
          </w:p>
        </w:tc>
        <w:tc>
          <w:tcPr>
            <w:tcW w:w="1460" w:type="dxa"/>
            <w:vAlign w:val="bottom"/>
          </w:tcPr>
          <w:p>
            <w:pPr>
              <w:ind w:left="360"/>
              <w:spacing w:after="0"/>
              <w:rPr>
                <w:sz w:val="20"/>
                <w:szCs w:val="20"/>
                <w:color w:val="auto"/>
              </w:rPr>
            </w:pPr>
            <w:r>
              <w:rPr>
                <w:rFonts w:ascii="Arial" w:cs="Arial" w:eastAsia="Arial" w:hAnsi="Arial"/>
                <w:sz w:val="18"/>
                <w:szCs w:val="18"/>
                <w:color w:val="auto"/>
              </w:rPr>
              <w:t>7.6</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 314(a)</w:t>
            </w:r>
          </w:p>
        </w:tc>
        <w:tc>
          <w:tcPr>
            <w:tcW w:w="1460" w:type="dxa"/>
            <w:vAlign w:val="bottom"/>
          </w:tcPr>
          <w:p>
            <w:pPr>
              <w:ind w:left="360"/>
              <w:spacing w:after="0"/>
              <w:rPr>
                <w:sz w:val="20"/>
                <w:szCs w:val="20"/>
                <w:color w:val="auto"/>
              </w:rPr>
            </w:pPr>
            <w:r>
              <w:rPr>
                <w:rFonts w:ascii="Arial" w:cs="Arial" w:eastAsia="Arial" w:hAnsi="Arial"/>
                <w:sz w:val="18"/>
                <w:szCs w:val="18"/>
                <w:color w:val="auto"/>
              </w:rPr>
              <w:t>4.2, 10.5</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(b)</w:t>
            </w:r>
          </w:p>
        </w:tc>
        <w:tc>
          <w:tcPr>
            <w:tcW w:w="1460" w:type="dxa"/>
            <w:vAlign w:val="bottom"/>
          </w:tcPr>
          <w:p>
            <w:pPr>
              <w:ind w:left="360"/>
              <w:spacing w:after="0"/>
              <w:rPr>
                <w:sz w:val="20"/>
                <w:szCs w:val="20"/>
                <w:color w:val="auto"/>
              </w:rPr>
            </w:pPr>
            <w:r>
              <w:rPr>
                <w:rFonts w:ascii="Arial" w:cs="Arial" w:eastAsia="Arial" w:hAnsi="Arial"/>
                <w:sz w:val="18"/>
                <w:szCs w:val="18"/>
                <w:color w:val="auto"/>
                <w:w w:val="93"/>
              </w:rPr>
              <w:t>Not Applicable</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(c)(1)</w:t>
            </w:r>
          </w:p>
        </w:tc>
        <w:tc>
          <w:tcPr>
            <w:tcW w:w="1460" w:type="dxa"/>
            <w:vAlign w:val="bottom"/>
          </w:tcPr>
          <w:p>
            <w:pPr>
              <w:ind w:left="360"/>
              <w:spacing w:after="0"/>
              <w:rPr>
                <w:sz w:val="20"/>
                <w:szCs w:val="20"/>
                <w:color w:val="auto"/>
              </w:rPr>
            </w:pPr>
            <w:r>
              <w:rPr>
                <w:rFonts w:ascii="Arial" w:cs="Arial" w:eastAsia="Arial" w:hAnsi="Arial"/>
                <w:sz w:val="18"/>
                <w:szCs w:val="18"/>
                <w:color w:val="auto"/>
              </w:rPr>
              <w:t>10.4</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(c)(2)</w:t>
            </w:r>
          </w:p>
        </w:tc>
        <w:tc>
          <w:tcPr>
            <w:tcW w:w="1460" w:type="dxa"/>
            <w:vAlign w:val="bottom"/>
          </w:tcPr>
          <w:p>
            <w:pPr>
              <w:ind w:left="360"/>
              <w:spacing w:after="0"/>
              <w:rPr>
                <w:sz w:val="20"/>
                <w:szCs w:val="20"/>
                <w:color w:val="auto"/>
              </w:rPr>
            </w:pPr>
            <w:r>
              <w:rPr>
                <w:rFonts w:ascii="Arial" w:cs="Arial" w:eastAsia="Arial" w:hAnsi="Arial"/>
                <w:sz w:val="18"/>
                <w:szCs w:val="18"/>
                <w:color w:val="auto"/>
              </w:rPr>
              <w:t>10.4</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(c)(3)</w:t>
            </w:r>
          </w:p>
        </w:tc>
        <w:tc>
          <w:tcPr>
            <w:tcW w:w="1460" w:type="dxa"/>
            <w:vAlign w:val="bottom"/>
          </w:tcPr>
          <w:p>
            <w:pPr>
              <w:ind w:left="360"/>
              <w:spacing w:after="0"/>
              <w:rPr>
                <w:sz w:val="20"/>
                <w:szCs w:val="20"/>
                <w:color w:val="auto"/>
              </w:rPr>
            </w:pPr>
            <w:r>
              <w:rPr>
                <w:rFonts w:ascii="Arial" w:cs="Arial" w:eastAsia="Arial" w:hAnsi="Arial"/>
                <w:sz w:val="18"/>
                <w:szCs w:val="18"/>
                <w:color w:val="auto"/>
                <w:w w:val="93"/>
              </w:rPr>
              <w:t>Not Applicable</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(d)</w:t>
            </w:r>
          </w:p>
        </w:tc>
        <w:tc>
          <w:tcPr>
            <w:tcW w:w="1460" w:type="dxa"/>
            <w:vAlign w:val="bottom"/>
          </w:tcPr>
          <w:p>
            <w:pPr>
              <w:ind w:left="360"/>
              <w:spacing w:after="0"/>
              <w:rPr>
                <w:sz w:val="20"/>
                <w:szCs w:val="20"/>
                <w:color w:val="auto"/>
              </w:rPr>
            </w:pPr>
            <w:r>
              <w:rPr>
                <w:rFonts w:ascii="Arial" w:cs="Arial" w:eastAsia="Arial" w:hAnsi="Arial"/>
                <w:sz w:val="18"/>
                <w:szCs w:val="18"/>
                <w:color w:val="auto"/>
                <w:w w:val="93"/>
              </w:rPr>
              <w:t>Not Applicable</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(e)</w:t>
            </w:r>
          </w:p>
        </w:tc>
        <w:tc>
          <w:tcPr>
            <w:tcW w:w="1460" w:type="dxa"/>
            <w:vAlign w:val="bottom"/>
          </w:tcPr>
          <w:p>
            <w:pPr>
              <w:ind w:left="360"/>
              <w:spacing w:after="0"/>
              <w:rPr>
                <w:sz w:val="20"/>
                <w:szCs w:val="20"/>
                <w:color w:val="auto"/>
              </w:rPr>
            </w:pPr>
            <w:r>
              <w:rPr>
                <w:rFonts w:ascii="Arial" w:cs="Arial" w:eastAsia="Arial" w:hAnsi="Arial"/>
                <w:sz w:val="18"/>
                <w:szCs w:val="18"/>
                <w:color w:val="auto"/>
              </w:rPr>
              <w:t>10.5</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(f)</w:t>
            </w:r>
          </w:p>
        </w:tc>
        <w:tc>
          <w:tcPr>
            <w:tcW w:w="1460" w:type="dxa"/>
            <w:vAlign w:val="bottom"/>
          </w:tcPr>
          <w:p>
            <w:pPr>
              <w:ind w:left="360"/>
              <w:spacing w:after="0"/>
              <w:rPr>
                <w:sz w:val="20"/>
                <w:szCs w:val="20"/>
                <w:color w:val="auto"/>
              </w:rPr>
            </w:pPr>
            <w:r>
              <w:rPr>
                <w:rFonts w:ascii="Arial" w:cs="Arial" w:eastAsia="Arial" w:hAnsi="Arial"/>
                <w:sz w:val="18"/>
                <w:szCs w:val="18"/>
                <w:color w:val="auto"/>
                <w:w w:val="93"/>
              </w:rPr>
              <w:t>Not Applicable</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 315(a)</w:t>
            </w:r>
          </w:p>
        </w:tc>
        <w:tc>
          <w:tcPr>
            <w:tcW w:w="1460" w:type="dxa"/>
            <w:vAlign w:val="bottom"/>
          </w:tcPr>
          <w:p>
            <w:pPr>
              <w:ind w:left="360"/>
              <w:spacing w:after="0"/>
              <w:rPr>
                <w:sz w:val="20"/>
                <w:szCs w:val="20"/>
                <w:color w:val="auto"/>
              </w:rPr>
            </w:pPr>
            <w:r>
              <w:rPr>
                <w:rFonts w:ascii="Arial" w:cs="Arial" w:eastAsia="Arial" w:hAnsi="Arial"/>
                <w:sz w:val="18"/>
                <w:szCs w:val="18"/>
                <w:color w:val="auto"/>
              </w:rPr>
              <w:t>7.1</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(b)</w:t>
            </w:r>
          </w:p>
        </w:tc>
        <w:tc>
          <w:tcPr>
            <w:tcW w:w="1460" w:type="dxa"/>
            <w:vAlign w:val="bottom"/>
          </w:tcPr>
          <w:p>
            <w:pPr>
              <w:ind w:left="360"/>
              <w:spacing w:after="0"/>
              <w:rPr>
                <w:sz w:val="20"/>
                <w:szCs w:val="20"/>
                <w:color w:val="auto"/>
              </w:rPr>
            </w:pPr>
            <w:r>
              <w:rPr>
                <w:rFonts w:ascii="Arial" w:cs="Arial" w:eastAsia="Arial" w:hAnsi="Arial"/>
                <w:sz w:val="18"/>
                <w:szCs w:val="18"/>
                <w:color w:val="auto"/>
              </w:rPr>
              <w:t>7.5</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(c)</w:t>
            </w:r>
          </w:p>
        </w:tc>
        <w:tc>
          <w:tcPr>
            <w:tcW w:w="1460" w:type="dxa"/>
            <w:vAlign w:val="bottom"/>
          </w:tcPr>
          <w:p>
            <w:pPr>
              <w:ind w:left="360"/>
              <w:spacing w:after="0"/>
              <w:rPr>
                <w:sz w:val="20"/>
                <w:szCs w:val="20"/>
                <w:color w:val="auto"/>
              </w:rPr>
            </w:pPr>
            <w:r>
              <w:rPr>
                <w:rFonts w:ascii="Arial" w:cs="Arial" w:eastAsia="Arial" w:hAnsi="Arial"/>
                <w:sz w:val="18"/>
                <w:szCs w:val="18"/>
                <w:color w:val="auto"/>
              </w:rPr>
              <w:t>7.1</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(d)</w:t>
            </w:r>
          </w:p>
        </w:tc>
        <w:tc>
          <w:tcPr>
            <w:tcW w:w="1460" w:type="dxa"/>
            <w:vAlign w:val="bottom"/>
          </w:tcPr>
          <w:p>
            <w:pPr>
              <w:ind w:left="360"/>
              <w:spacing w:after="0"/>
              <w:rPr>
                <w:sz w:val="20"/>
                <w:szCs w:val="20"/>
                <w:color w:val="auto"/>
              </w:rPr>
            </w:pPr>
            <w:r>
              <w:rPr>
                <w:rFonts w:ascii="Arial" w:cs="Arial" w:eastAsia="Arial" w:hAnsi="Arial"/>
                <w:sz w:val="18"/>
                <w:szCs w:val="18"/>
                <w:color w:val="auto"/>
              </w:rPr>
              <w:t>7.1</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(e)</w:t>
            </w:r>
          </w:p>
        </w:tc>
        <w:tc>
          <w:tcPr>
            <w:tcW w:w="1460" w:type="dxa"/>
            <w:vAlign w:val="bottom"/>
          </w:tcPr>
          <w:p>
            <w:pPr>
              <w:ind w:left="360"/>
              <w:spacing w:after="0"/>
              <w:rPr>
                <w:sz w:val="20"/>
                <w:szCs w:val="20"/>
                <w:color w:val="auto"/>
              </w:rPr>
            </w:pPr>
            <w:r>
              <w:rPr>
                <w:rFonts w:ascii="Arial" w:cs="Arial" w:eastAsia="Arial" w:hAnsi="Arial"/>
                <w:sz w:val="18"/>
                <w:szCs w:val="18"/>
                <w:color w:val="auto"/>
              </w:rPr>
              <w:t>6.14</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 316(a)</w:t>
            </w:r>
          </w:p>
        </w:tc>
        <w:tc>
          <w:tcPr>
            <w:tcW w:w="1460" w:type="dxa"/>
            <w:vAlign w:val="bottom"/>
          </w:tcPr>
          <w:p>
            <w:pPr>
              <w:ind w:left="360"/>
              <w:spacing w:after="0"/>
              <w:rPr>
                <w:sz w:val="20"/>
                <w:szCs w:val="20"/>
                <w:color w:val="auto"/>
              </w:rPr>
            </w:pPr>
            <w:r>
              <w:rPr>
                <w:rFonts w:ascii="Arial" w:cs="Arial" w:eastAsia="Arial" w:hAnsi="Arial"/>
                <w:sz w:val="18"/>
                <w:szCs w:val="18"/>
                <w:color w:val="auto"/>
              </w:rPr>
              <w:t>2.10</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(a)(1)(A)</w:t>
            </w:r>
          </w:p>
        </w:tc>
        <w:tc>
          <w:tcPr>
            <w:tcW w:w="1460" w:type="dxa"/>
            <w:vAlign w:val="bottom"/>
          </w:tcPr>
          <w:p>
            <w:pPr>
              <w:ind w:left="360"/>
              <w:spacing w:after="0"/>
              <w:rPr>
                <w:sz w:val="20"/>
                <w:szCs w:val="20"/>
                <w:color w:val="auto"/>
              </w:rPr>
            </w:pPr>
            <w:r>
              <w:rPr>
                <w:rFonts w:ascii="Arial" w:cs="Arial" w:eastAsia="Arial" w:hAnsi="Arial"/>
                <w:sz w:val="18"/>
                <w:szCs w:val="18"/>
                <w:color w:val="auto"/>
              </w:rPr>
              <w:t>6.12</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(a)(1)(B)</w:t>
            </w:r>
          </w:p>
        </w:tc>
        <w:tc>
          <w:tcPr>
            <w:tcW w:w="1460" w:type="dxa"/>
            <w:vAlign w:val="bottom"/>
          </w:tcPr>
          <w:p>
            <w:pPr>
              <w:ind w:left="360"/>
              <w:spacing w:after="0"/>
              <w:rPr>
                <w:sz w:val="20"/>
                <w:szCs w:val="20"/>
                <w:color w:val="auto"/>
              </w:rPr>
            </w:pPr>
            <w:r>
              <w:rPr>
                <w:rFonts w:ascii="Arial" w:cs="Arial" w:eastAsia="Arial" w:hAnsi="Arial"/>
                <w:sz w:val="18"/>
                <w:szCs w:val="18"/>
                <w:color w:val="auto"/>
              </w:rPr>
              <w:t>6.13</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(b)</w:t>
            </w:r>
          </w:p>
        </w:tc>
        <w:tc>
          <w:tcPr>
            <w:tcW w:w="1460" w:type="dxa"/>
            <w:vAlign w:val="bottom"/>
          </w:tcPr>
          <w:p>
            <w:pPr>
              <w:ind w:left="360"/>
              <w:spacing w:after="0"/>
              <w:rPr>
                <w:sz w:val="20"/>
                <w:szCs w:val="20"/>
                <w:color w:val="auto"/>
              </w:rPr>
            </w:pPr>
            <w:r>
              <w:rPr>
                <w:rFonts w:ascii="Arial" w:cs="Arial" w:eastAsia="Arial" w:hAnsi="Arial"/>
                <w:sz w:val="18"/>
                <w:szCs w:val="18"/>
                <w:color w:val="auto"/>
              </w:rPr>
              <w:t>6.8</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 317(a)(1)</w:t>
            </w:r>
          </w:p>
        </w:tc>
        <w:tc>
          <w:tcPr>
            <w:tcW w:w="1460" w:type="dxa"/>
            <w:vAlign w:val="bottom"/>
          </w:tcPr>
          <w:p>
            <w:pPr>
              <w:ind w:left="360"/>
              <w:spacing w:after="0"/>
              <w:rPr>
                <w:sz w:val="20"/>
                <w:szCs w:val="20"/>
                <w:color w:val="auto"/>
              </w:rPr>
            </w:pPr>
            <w:r>
              <w:rPr>
                <w:rFonts w:ascii="Arial" w:cs="Arial" w:eastAsia="Arial" w:hAnsi="Arial"/>
                <w:sz w:val="18"/>
                <w:szCs w:val="18"/>
                <w:color w:val="auto"/>
              </w:rPr>
              <w:t>6.3</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(a)(2)</w:t>
            </w:r>
          </w:p>
        </w:tc>
        <w:tc>
          <w:tcPr>
            <w:tcW w:w="1460" w:type="dxa"/>
            <w:vAlign w:val="bottom"/>
          </w:tcPr>
          <w:p>
            <w:pPr>
              <w:ind w:left="360"/>
              <w:spacing w:after="0"/>
              <w:rPr>
                <w:sz w:val="20"/>
                <w:szCs w:val="20"/>
                <w:color w:val="auto"/>
              </w:rPr>
            </w:pPr>
            <w:r>
              <w:rPr>
                <w:rFonts w:ascii="Arial" w:cs="Arial" w:eastAsia="Arial" w:hAnsi="Arial"/>
                <w:sz w:val="18"/>
                <w:szCs w:val="18"/>
                <w:color w:val="auto"/>
              </w:rPr>
              <w:t>6.4</w:t>
            </w:r>
          </w:p>
        </w:tc>
      </w:tr>
      <w:tr>
        <w:trPr>
          <w:trHeight w:val="216"/>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(b)</w:t>
            </w:r>
          </w:p>
        </w:tc>
        <w:tc>
          <w:tcPr>
            <w:tcW w:w="1460" w:type="dxa"/>
            <w:vAlign w:val="bottom"/>
          </w:tcPr>
          <w:p>
            <w:pPr>
              <w:ind w:left="360"/>
              <w:spacing w:after="0"/>
              <w:rPr>
                <w:sz w:val="20"/>
                <w:szCs w:val="20"/>
                <w:color w:val="auto"/>
              </w:rPr>
            </w:pPr>
            <w:r>
              <w:rPr>
                <w:rFonts w:ascii="Arial" w:cs="Arial" w:eastAsia="Arial" w:hAnsi="Arial"/>
                <w:sz w:val="18"/>
                <w:szCs w:val="18"/>
                <w:color w:val="auto"/>
              </w:rPr>
              <w:t>2.5</w:t>
            </w:r>
          </w:p>
        </w:tc>
      </w:tr>
      <w:tr>
        <w:trPr>
          <w:trHeight w:val="230"/>
        </w:trPr>
        <w:tc>
          <w:tcPr>
            <w:tcW w:w="6360" w:type="dxa"/>
            <w:vAlign w:val="bottom"/>
          </w:tcPr>
          <w:p>
            <w:pPr>
              <w:jc w:val="right"/>
              <w:ind w:right="4170"/>
              <w:spacing w:after="0"/>
              <w:rPr>
                <w:sz w:val="20"/>
                <w:szCs w:val="20"/>
                <w:color w:val="auto"/>
              </w:rPr>
            </w:pPr>
            <w:r>
              <w:rPr>
                <w:rFonts w:ascii="Arial" w:cs="Arial" w:eastAsia="Arial" w:hAnsi="Arial"/>
                <w:sz w:val="18"/>
                <w:szCs w:val="18"/>
                <w:color w:val="auto"/>
              </w:rPr>
              <w:t>§ 318(a)</w:t>
            </w:r>
          </w:p>
        </w:tc>
        <w:tc>
          <w:tcPr>
            <w:tcW w:w="1460" w:type="dxa"/>
            <w:vAlign w:val="bottom"/>
          </w:tcPr>
          <w:p>
            <w:pPr>
              <w:ind w:left="36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20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0" w:right="1440" w:bottom="1440" w:gutter="0" w:footer="0" w:header="0"/>
        </w:sectPr>
      </w:pPr>
    </w:p>
    <w:bookmarkStart w:id="101" w:name="page102"/>
    <w:bookmarkEnd w:id="101"/>
    <w:p>
      <w:pPr>
        <w:ind w:right="3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 2021 between PMV Pharmaceuticals, Inc., a company incorporated under the laws of Delaware (the “</w:t>
      </w:r>
      <w:r>
        <w:rPr>
          <w:rFonts w:ascii="Arial" w:cs="Arial" w:eastAsia="Arial" w:hAnsi="Arial"/>
          <w:sz w:val="17"/>
          <w:szCs w:val="17"/>
          <w:i w:val="1"/>
          <w:iCs w:val="1"/>
          <w:color w:val="auto"/>
        </w:rPr>
        <w:t>Company</w:t>
      </w:r>
      <w:r>
        <w:rPr>
          <w:rFonts w:ascii="Arial" w:cs="Arial" w:eastAsia="Arial" w:hAnsi="Arial"/>
          <w:sz w:val="17"/>
          <w:szCs w:val="17"/>
          <w:color w:val="auto"/>
        </w:rPr>
        <w:t>”), and [__________], a national banking association organized under the laws of the United States, as trustee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4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any and all shares, interests, participations, rights or other equivalents (however designated) of corporate stock.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ectPr>
          <w:pgSz w:w="11900" w:h="16838" w:orient="portrait"/>
          <w:cols w:equalWidth="0" w:num="1">
            <w:col w:w="10920"/>
          </w:cols>
          <w:pgMar w:left="440" w:top="274" w:right="539" w:bottom="1440" w:gutter="0" w:footer="0" w:header="0"/>
        </w:sectPr>
      </w:pPr>
    </w:p>
    <w:bookmarkStart w:id="102" w:name="page103"/>
    <w:bookmarkEnd w:id="102"/>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Corporate Trust Office</w:t>
      </w:r>
      <w:r>
        <w:rPr>
          <w:rFonts w:ascii="Arial" w:cs="Arial" w:eastAsia="Arial" w:hAnsi="Arial"/>
          <w:sz w:val="17"/>
          <w:szCs w:val="17"/>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 on the books of the Registrar.</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the General Counsel, and any Vice President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 that meets the requirements of Section 10.5.</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70"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04" w:name="page105"/>
    <w:bookmarkEnd w:id="104"/>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3080" w:type="dxa"/>
            <w:vAlign w:val="bottom"/>
            <w:gridSpan w:val="2"/>
          </w:tcPr>
          <w:p>
            <w:pPr>
              <w:spacing w:after="0"/>
              <w:rPr>
                <w:sz w:val="20"/>
                <w:szCs w:val="20"/>
                <w:color w:val="auto"/>
              </w:rPr>
            </w:pPr>
            <w:r>
              <w:rPr>
                <w:rFonts w:ascii="Arial" w:cs="Arial" w:eastAsia="Arial" w:hAnsi="Arial"/>
                <w:sz w:val="14"/>
                <w:szCs w:val="14"/>
                <w:color w:val="auto"/>
              </w:rPr>
              <w:t>TERM</w:t>
            </w:r>
          </w:p>
        </w:tc>
        <w:tc>
          <w:tcPr>
            <w:tcW w:w="2940" w:type="dxa"/>
            <w:vAlign w:val="bottom"/>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w w:val="97"/>
              </w:rPr>
              <w:t>DEFINED IN SECTION</w:t>
            </w: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3"/>
        </w:trPr>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294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6.1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4400" w:type="dxa"/>
            <w:vAlign w:val="bottom"/>
            <w:gridSpan w:val="2"/>
          </w:tcPr>
          <w:p>
            <w:pPr>
              <w:jc w:val="center"/>
              <w:ind w:left="2850"/>
              <w:spacing w:after="0"/>
              <w:rPr>
                <w:sz w:val="20"/>
                <w:szCs w:val="20"/>
                <w:color w:val="auto"/>
              </w:rPr>
            </w:pPr>
            <w:r>
              <w:rPr>
                <w:rFonts w:ascii="Arial" w:cs="Arial" w:eastAsia="Arial" w:hAnsi="Arial"/>
                <w:sz w:val="18"/>
                <w:szCs w:val="18"/>
                <w:color w:val="auto"/>
                <w:w w:val="87"/>
              </w:rPr>
              <w:t>6.1</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4400" w:type="dxa"/>
            <w:vAlign w:val="bottom"/>
            <w:gridSpan w:val="2"/>
            <w:shd w:val="clear" w:color="auto" w:fill="CCEEFF"/>
          </w:tcPr>
          <w:p>
            <w:pPr>
              <w:jc w:val="center"/>
              <w:ind w:left="2850"/>
              <w:spacing w:after="0"/>
              <w:rPr>
                <w:sz w:val="20"/>
                <w:szCs w:val="20"/>
                <w:color w:val="auto"/>
              </w:rPr>
            </w:pPr>
            <w:r>
              <w:rPr>
                <w:rFonts w:ascii="Arial" w:cs="Arial" w:eastAsia="Arial" w:hAnsi="Arial"/>
                <w:sz w:val="18"/>
                <w:szCs w:val="18"/>
                <w:color w:val="auto"/>
                <w:w w:val="87"/>
              </w:rPr>
              <w:t>6.1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4400" w:type="dxa"/>
            <w:vAlign w:val="bottom"/>
            <w:gridSpan w:val="2"/>
          </w:tcPr>
          <w:p>
            <w:pPr>
              <w:jc w:val="center"/>
              <w:ind w:left="2870"/>
              <w:spacing w:after="0"/>
              <w:rPr>
                <w:sz w:val="20"/>
                <w:szCs w:val="20"/>
                <w:color w:val="auto"/>
              </w:rPr>
            </w:pPr>
            <w:r>
              <w:rPr>
                <w:rFonts w:ascii="Arial" w:cs="Arial" w:eastAsia="Arial" w:hAnsi="Arial"/>
                <w:sz w:val="18"/>
                <w:szCs w:val="18"/>
                <w:color w:val="auto"/>
                <w:w w:val="88"/>
              </w:rPr>
              <w:t>10.16</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4400" w:type="dxa"/>
            <w:vAlign w:val="bottom"/>
            <w:gridSpan w:val="2"/>
            <w:shd w:val="clear" w:color="auto" w:fill="CCEEFF"/>
          </w:tcPr>
          <w:p>
            <w:pPr>
              <w:jc w:val="center"/>
              <w:ind w:left="2870"/>
              <w:spacing w:after="0"/>
              <w:rPr>
                <w:sz w:val="20"/>
                <w:szCs w:val="20"/>
                <w:color w:val="auto"/>
              </w:rPr>
            </w:pPr>
            <w:r>
              <w:rPr>
                <w:rFonts w:ascii="Arial" w:cs="Arial" w:eastAsia="Arial" w:hAnsi="Arial"/>
                <w:sz w:val="18"/>
                <w:szCs w:val="18"/>
                <w:color w:val="auto"/>
                <w:w w:val="91"/>
              </w:rPr>
              <w:t>10.7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4400" w:type="dxa"/>
            <w:vAlign w:val="bottom"/>
            <w:gridSpan w:val="2"/>
          </w:tcPr>
          <w:p>
            <w:pPr>
              <w:jc w:val="center"/>
              <w:ind w:left="2850"/>
              <w:spacing w:after="0"/>
              <w:rPr>
                <w:sz w:val="20"/>
                <w:szCs w:val="20"/>
                <w:color w:val="auto"/>
              </w:rPr>
            </w:pPr>
            <w:r>
              <w:rPr>
                <w:rFonts w:ascii="Arial" w:cs="Arial" w:eastAsia="Arial" w:hAnsi="Arial"/>
                <w:sz w:val="18"/>
                <w:szCs w:val="18"/>
                <w:color w:val="auto"/>
                <w:w w:val="85"/>
              </w:rPr>
              <w:t>11.1</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4400" w:type="dxa"/>
            <w:vAlign w:val="bottom"/>
            <w:gridSpan w:val="2"/>
            <w:shd w:val="clear" w:color="auto" w:fill="CCEEFF"/>
          </w:tcPr>
          <w:p>
            <w:pPr>
              <w:jc w:val="center"/>
              <w:ind w:left="2870"/>
              <w:spacing w:after="0"/>
              <w:rPr>
                <w:sz w:val="20"/>
                <w:szCs w:val="20"/>
                <w:color w:val="auto"/>
              </w:rPr>
            </w:pPr>
            <w:r>
              <w:rPr>
                <w:rFonts w:ascii="Arial" w:cs="Arial" w:eastAsia="Arial" w:hAnsi="Arial"/>
                <w:sz w:val="18"/>
                <w:szCs w:val="18"/>
                <w:color w:val="auto"/>
                <w:w w:val="88"/>
              </w:rPr>
              <w:t>10.16</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4400" w:type="dxa"/>
            <w:vAlign w:val="bottom"/>
            <w:gridSpan w:val="2"/>
          </w:tcPr>
          <w:p>
            <w:pPr>
              <w:jc w:val="center"/>
              <w:ind w:left="2850"/>
              <w:spacing w:after="0"/>
              <w:rPr>
                <w:sz w:val="20"/>
                <w:szCs w:val="20"/>
                <w:color w:val="auto"/>
              </w:rPr>
            </w:pPr>
            <w:r>
              <w:rPr>
                <w:rFonts w:ascii="Arial" w:cs="Arial" w:eastAsia="Arial" w:hAnsi="Arial"/>
                <w:sz w:val="18"/>
                <w:szCs w:val="18"/>
                <w:color w:val="auto"/>
                <w:w w:val="87"/>
              </w:rPr>
              <w:t>2.4</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4400" w:type="dxa"/>
            <w:vAlign w:val="bottom"/>
            <w:gridSpan w:val="2"/>
            <w:shd w:val="clear" w:color="auto" w:fill="CCEEFF"/>
          </w:tcPr>
          <w:p>
            <w:pPr>
              <w:jc w:val="center"/>
              <w:ind w:left="2850"/>
              <w:spacing w:after="0"/>
              <w:rPr>
                <w:sz w:val="20"/>
                <w:szCs w:val="20"/>
                <w:color w:val="auto"/>
              </w:rPr>
            </w:pPr>
            <w:r>
              <w:rPr>
                <w:rFonts w:ascii="Arial" w:cs="Arial" w:eastAsia="Arial" w:hAnsi="Arial"/>
                <w:sz w:val="18"/>
                <w:szCs w:val="18"/>
                <w:color w:val="auto"/>
                <w:w w:val="85"/>
              </w:rPr>
              <w:t>11.1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4400" w:type="dxa"/>
            <w:vAlign w:val="bottom"/>
            <w:gridSpan w:val="2"/>
          </w:tcPr>
          <w:p>
            <w:pPr>
              <w:jc w:val="center"/>
              <w:ind w:left="2850"/>
              <w:spacing w:after="0"/>
              <w:rPr>
                <w:sz w:val="20"/>
                <w:szCs w:val="20"/>
                <w:color w:val="auto"/>
              </w:rPr>
            </w:pPr>
            <w:r>
              <w:rPr>
                <w:rFonts w:ascii="Arial" w:cs="Arial" w:eastAsia="Arial" w:hAnsi="Arial"/>
                <w:sz w:val="18"/>
                <w:szCs w:val="18"/>
                <w:color w:val="auto"/>
                <w:w w:val="87"/>
              </w:rPr>
              <w:t>2.4</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4400" w:type="dxa"/>
            <w:vAlign w:val="bottom"/>
            <w:gridSpan w:val="2"/>
            <w:shd w:val="clear" w:color="auto" w:fill="CCEEFF"/>
          </w:tcPr>
          <w:p>
            <w:pPr>
              <w:jc w:val="center"/>
              <w:ind w:left="2850"/>
              <w:spacing w:after="0"/>
              <w:rPr>
                <w:sz w:val="20"/>
                <w:szCs w:val="20"/>
                <w:color w:val="auto"/>
              </w:rPr>
            </w:pPr>
            <w:r>
              <w:rPr>
                <w:rFonts w:ascii="Arial" w:cs="Arial" w:eastAsia="Arial" w:hAnsi="Arial"/>
                <w:sz w:val="18"/>
                <w:szCs w:val="18"/>
                <w:color w:val="auto"/>
                <w:w w:val="87"/>
              </w:rPr>
              <w:t>2.4</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4400" w:type="dxa"/>
            <w:vAlign w:val="bottom"/>
            <w:gridSpan w:val="2"/>
          </w:tcPr>
          <w:p>
            <w:pPr>
              <w:jc w:val="center"/>
              <w:ind w:left="2870"/>
              <w:spacing w:after="0"/>
              <w:rPr>
                <w:sz w:val="20"/>
                <w:szCs w:val="20"/>
                <w:color w:val="auto"/>
              </w:rPr>
            </w:pPr>
            <w:r>
              <w:rPr>
                <w:rFonts w:ascii="Arial" w:cs="Arial" w:eastAsia="Arial" w:hAnsi="Arial"/>
                <w:sz w:val="18"/>
                <w:szCs w:val="18"/>
                <w:color w:val="auto"/>
                <w:w w:val="88"/>
              </w:rPr>
              <w:t>10.16</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Courts</w:t>
            </w:r>
            <w:r>
              <w:rPr>
                <w:rFonts w:ascii="Arial" w:cs="Arial" w:eastAsia="Arial" w:hAnsi="Arial"/>
                <w:sz w:val="18"/>
                <w:szCs w:val="18"/>
                <w:color w:val="auto"/>
              </w:rPr>
              <w:t>”</w:t>
            </w:r>
          </w:p>
        </w:tc>
        <w:tc>
          <w:tcPr>
            <w:tcW w:w="4400" w:type="dxa"/>
            <w:vAlign w:val="bottom"/>
            <w:gridSpan w:val="2"/>
            <w:shd w:val="clear" w:color="auto" w:fill="CCEEFF"/>
          </w:tcPr>
          <w:p>
            <w:pPr>
              <w:jc w:val="center"/>
              <w:ind w:left="2870"/>
              <w:spacing w:after="0"/>
              <w:rPr>
                <w:sz w:val="20"/>
                <w:szCs w:val="20"/>
                <w:color w:val="auto"/>
              </w:rPr>
            </w:pPr>
            <w:r>
              <w:rPr>
                <w:rFonts w:ascii="Arial" w:cs="Arial" w:eastAsia="Arial" w:hAnsi="Arial"/>
                <w:sz w:val="18"/>
                <w:szCs w:val="18"/>
                <w:color w:val="auto"/>
                <w:w w:val="88"/>
              </w:rPr>
              <w:t>10.10</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4400" w:type="dxa"/>
            <w:vAlign w:val="bottom"/>
            <w:gridSpan w:val="2"/>
          </w:tcPr>
          <w:p>
            <w:pPr>
              <w:jc w:val="center"/>
              <w:ind w:left="2850"/>
              <w:spacing w:after="0"/>
              <w:rPr>
                <w:sz w:val="20"/>
                <w:szCs w:val="20"/>
                <w:color w:val="auto"/>
              </w:rPr>
            </w:pPr>
            <w:r>
              <w:rPr>
                <w:rFonts w:ascii="Arial" w:cs="Arial" w:eastAsia="Arial" w:hAnsi="Arial"/>
                <w:sz w:val="18"/>
                <w:szCs w:val="18"/>
                <w:color w:val="auto"/>
                <w:w w:val="87"/>
              </w:rPr>
              <w:t>5.1</w:t>
            </w:r>
          </w:p>
        </w:tc>
      </w:tr>
      <w:tr>
        <w:trPr>
          <w:trHeight w:val="350"/>
        </w:trPr>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40" w:type="dxa"/>
            <w:vAlign w:val="bottom"/>
          </w:tcPr>
          <w:p>
            <w:pPr>
              <w:jc w:val="right"/>
              <w:ind w:right="2090"/>
              <w:spacing w:after="0"/>
              <w:rPr>
                <w:sz w:val="20"/>
                <w:szCs w:val="20"/>
                <w:color w:val="auto"/>
              </w:rPr>
            </w:pPr>
            <w:r>
              <w:rPr>
                <w:rFonts w:ascii="Arial" w:cs="Arial" w:eastAsia="Arial" w:hAnsi="Arial"/>
                <w:sz w:val="18"/>
                <w:szCs w:val="18"/>
                <w:color w:val="auto"/>
              </w:rPr>
              <w:t>-4-</w:t>
            </w:r>
          </w:p>
        </w:tc>
        <w:tc>
          <w:tcPr>
            <w:tcW w:w="146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105" w:name="page106"/>
    <w:bookmarkEnd w:id="105"/>
    <w:p>
      <w:pPr>
        <w:ind w:right="7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Arial" w:cs="Arial" w:eastAsia="Arial" w:hAnsi="Arial"/>
          <w:sz w:val="16"/>
          <w:szCs w:val="16"/>
          <w:u w:val="single" w:color="auto"/>
          <w:color w:val="auto"/>
        </w:rPr>
        <w:t>Incorporation by Reference of Trust Indenture Act</w:t>
      </w:r>
      <w:r>
        <w:rPr>
          <w:rFonts w:ascii="Arial" w:cs="Arial" w:eastAsia="Arial" w:hAnsi="Arial"/>
          <w:sz w:val="16"/>
          <w:szCs w:val="16"/>
          <w:color w:val="auto"/>
        </w:rPr>
        <w:t xml:space="preserve"> Whenever this Indenture refers to a provision of the TIA, the provision is incorporated by reference in and made a part of this Indenture. The following TIA terms used in this Indenture have the following meanings: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xml:space="preserve"> means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xml:space="preserve"> Unless the context otherwise requires:</w:t>
      </w:r>
    </w:p>
    <w:p>
      <w:pPr>
        <w:spacing w:after="0" w:line="117" w:lineRule="exact"/>
        <w:rPr>
          <w:sz w:val="20"/>
          <w:szCs w:val="20"/>
          <w:color w:val="auto"/>
        </w:rPr>
      </w:pPr>
    </w:p>
    <w:p>
      <w:pPr>
        <w:ind w:left="1240" w:hanging="253"/>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 xml:space="preserve"> 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06" w:name="page107"/>
    <w:bookmarkEnd w:id="106"/>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 xml:space="preserve"> 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7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2.2.2. the price or prices (expressed as a percentage of the principal amount thereof) at which the Securities of the Series will be issued;</w:t>
      </w:r>
    </w:p>
    <w:p>
      <w:pPr>
        <w:spacing w:after="0" w:line="12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2.2.4. the date or dates on which the principal of the Securities of the Series is payable;</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79"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5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62"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07" w:name="page108"/>
    <w:bookmarkEnd w:id="10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2.2.9. the dates, if any, on which and the price or prices at which the Securities of the Series will be repurchased by the Company at the option of the Holders thereof and other detailed terms and provisions of such repurchase obligations;</w:t>
      </w:r>
    </w:p>
    <w:p>
      <w:pPr>
        <w:spacing w:after="0" w:line="6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2.2.11. the forms of the Securities of the Series and whether the Securities will be issuable as Global Securities;</w:t>
      </w:r>
    </w:p>
    <w:p>
      <w:pPr>
        <w:spacing w:after="0" w:line="11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62"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3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62"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7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2.2.17. the provisions, if any, relating to any security provided for the Securities of the Series;</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2.2.19. any addition to, deletion of or change in the covenants set forth in Articles IV or V which applies to Securities of the Series;</w:t>
      </w:r>
    </w:p>
    <w:p>
      <w:pPr>
        <w:spacing w:after="0" w:line="11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conversion agents or other agents with respect to Securities of such Series if other than those appointed herein;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440" w:top="274" w:right="599" w:bottom="1440" w:gutter="0" w:footer="0" w:header="0"/>
        </w:sectPr>
      </w:pPr>
    </w:p>
    <w:bookmarkStart w:id="108" w:name="page109"/>
    <w:bookmarkEnd w:id="108"/>
    <w:p>
      <w:pPr>
        <w:ind w:right="3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7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76"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right="320" w:firstLine="440"/>
        <w:spacing w:after="0" w:line="279"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 xml:space="preserve"> An Officer shall sign the Securities for the Company by manual or facsimile signature.</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(a) the Board Resolution, supplemental indenture hereto or Officer’s Certificate establishing the form of the Securities of that Series or of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that Series and the terms of the Securities of that Series or of Securities within that Series, (b) an Officer’s Certificate complying with</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09" w:name="page110"/>
    <w:bookmarkEnd w:id="109"/>
    <w:p>
      <w:pPr>
        <w:jc w:val="both"/>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84"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Registrar and Paying Agent</w:t>
      </w:r>
      <w:r>
        <w:rPr>
          <w:rFonts w:ascii="Arial" w:cs="Arial" w:eastAsia="Arial" w:hAnsi="Arial"/>
          <w:sz w:val="17"/>
          <w:szCs w:val="17"/>
          <w:color w:val="auto"/>
        </w:rPr>
        <w:t xml:space="preserve"> 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7"/>
          <w:szCs w:val="17"/>
          <w:i w:val="1"/>
          <w:iCs w:val="1"/>
          <w:color w:val="auto"/>
        </w:rPr>
        <w:t>Paying Agent</w:t>
      </w:r>
      <w:r>
        <w:rPr>
          <w:rFonts w:ascii="Arial" w:cs="Arial" w:eastAsia="Arial" w:hAnsi="Arial"/>
          <w:sz w:val="17"/>
          <w:szCs w:val="17"/>
          <w:color w:val="auto"/>
        </w:rPr>
        <w:t>”), where Securities of such Series may be surrendered for registration of transfer or exchange (“</w:t>
      </w:r>
      <w:r>
        <w:rPr>
          <w:rFonts w:ascii="Arial" w:cs="Arial" w:eastAsia="Arial" w:hAnsi="Arial"/>
          <w:sz w:val="17"/>
          <w:szCs w:val="17"/>
          <w:i w:val="1"/>
          <w:iCs w:val="1"/>
          <w:color w:val="auto"/>
        </w:rPr>
        <w:t>Registrar</w:t>
      </w:r>
      <w:r>
        <w:rPr>
          <w:rFonts w:ascii="Arial" w:cs="Arial" w:eastAsia="Arial" w:hAnsi="Arial"/>
          <w:sz w:val="17"/>
          <w:szCs w:val="17"/>
          <w:color w:val="auto"/>
        </w:rPr>
        <w:t>”) and where notices and demands to or upon the Company in respect of the Securities of such Series and this Indenture may be delivered (“</w:t>
      </w:r>
      <w:r>
        <w:rPr>
          <w:rFonts w:ascii="Arial" w:cs="Arial" w:eastAsia="Arial" w:hAnsi="Arial"/>
          <w:sz w:val="17"/>
          <w:szCs w:val="17"/>
          <w:i w:val="1"/>
          <w:iCs w:val="1"/>
          <w:color w:val="auto"/>
        </w:rPr>
        <w:t>Notice Agent</w:t>
      </w:r>
      <w:r>
        <w:rPr>
          <w:rFonts w:ascii="Arial" w:cs="Arial" w:eastAsia="Arial" w:hAnsi="Arial"/>
          <w:sz w:val="17"/>
          <w:szCs w:val="17"/>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appointment of the Trustee as the Notice Agent shall exclude the appointment of the Trustee or any office of the Trustee as an agent to receive the service of legal process on the Company.</w:t>
      </w:r>
    </w:p>
    <w:p>
      <w:pPr>
        <w:spacing w:after="0" w:line="182"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serve as Registrar or Paying Agent.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10" w:name="page111"/>
    <w:bookmarkEnd w:id="110"/>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 xml:space="preserve"> 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9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Securityholder Lists</w:t>
      </w:r>
      <w:r>
        <w:rPr>
          <w:rFonts w:ascii="Arial" w:cs="Arial" w:eastAsia="Arial" w:hAnsi="Arial"/>
          <w:sz w:val="16"/>
          <w:szCs w:val="16"/>
          <w:color w:val="auto"/>
        </w:rPr>
        <w:t xml:space="preserve"> 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xml:space="preserve"> 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64"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1" w:name="page112"/>
    <w:bookmarkEnd w:id="111"/>
    <w:p>
      <w:pPr>
        <w:ind w:left="4" w:right="22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 xml:space="preserve"> If any mutilated Security is surrendered to the Trustee, the Company shall execute and the Trustee shall authenticate and deliver</w:t>
      </w:r>
    </w:p>
    <w:p>
      <w:pPr>
        <w:spacing w:after="0" w:line="1" w:lineRule="exact"/>
        <w:rPr>
          <w:sz w:val="20"/>
          <w:szCs w:val="20"/>
          <w:color w:val="auto"/>
        </w:rPr>
      </w:pPr>
    </w:p>
    <w:p>
      <w:pPr>
        <w:ind w:left="4" w:right="900"/>
        <w:spacing w:after="0" w:line="260" w:lineRule="auto"/>
        <w:rPr>
          <w:sz w:val="20"/>
          <w:szCs w:val="20"/>
          <w:color w:val="auto"/>
        </w:rPr>
      </w:pPr>
      <w:r>
        <w:rPr>
          <w:rFonts w:ascii="Arial" w:cs="Arial" w:eastAsia="Arial" w:hAnsi="Arial"/>
          <w:sz w:val="18"/>
          <w:szCs w:val="18"/>
          <w:color w:val="auto"/>
        </w:rPr>
        <w:t>in exchange therefor a new Security of the same Series and of like tenor and principal amount and bearing a number not contemporaneously outstanding.</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left="4" w:hanging="4"/>
        <w:spacing w:after="0" w:line="273" w:lineRule="auto"/>
        <w:tabs>
          <w:tab w:leader="none" w:pos="269" w:val="left"/>
        </w:tabs>
        <w:numPr>
          <w:ilvl w:val="0"/>
          <w:numId w:val="92"/>
        </w:numPr>
        <w:rPr>
          <w:rFonts w:ascii="Arial" w:cs="Arial" w:eastAsia="Arial" w:hAnsi="Arial"/>
          <w:sz w:val="17"/>
          <w:szCs w:val="17"/>
          <w:color w:val="auto"/>
        </w:rPr>
      </w:pPr>
      <w:r>
        <w:rPr>
          <w:rFonts w:ascii="Arial" w:cs="Arial" w:eastAsia="Arial" w:hAnsi="Arial"/>
          <w:sz w:val="17"/>
          <w:szCs w:val="17"/>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left="4" w:right="180" w:firstLine="440"/>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 xml:space="preserve">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left="4" w:right="460" w:firstLine="440"/>
        <w:spacing w:after="0" w:line="342" w:lineRule="auto"/>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112" w:name="page113"/>
    <w:bookmarkEnd w:id="112"/>
    <w:p>
      <w:pPr>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 xml:space="preserve"> 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88"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Temporary Securities</w:t>
      </w:r>
      <w:r>
        <w:rPr>
          <w:rFonts w:ascii="Arial" w:cs="Arial" w:eastAsia="Arial" w:hAnsi="Arial"/>
          <w:sz w:val="17"/>
          <w:szCs w:val="17"/>
          <w:color w:val="auto"/>
        </w:rPr>
        <w:t xml:space="preserve"> 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6"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Cancellation</w:t>
      </w:r>
      <w:r>
        <w:rPr>
          <w:rFonts w:ascii="Arial" w:cs="Arial" w:eastAsia="Arial" w:hAnsi="Arial"/>
          <w:sz w:val="16"/>
          <w:szCs w:val="16"/>
          <w:color w:val="auto"/>
        </w:rPr>
        <w:t xml:space="preserve"> 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6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 xml:space="preserve"> 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p>
    <w:p>
      <w:pPr>
        <w:spacing w:after="0" w:line="117"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 xml:space="preserve">2.14.1. </w:t>
      </w:r>
      <w:r>
        <w:rPr>
          <w:rFonts w:ascii="Arial" w:cs="Arial" w:eastAsia="Arial" w:hAnsi="Arial"/>
          <w:sz w:val="16"/>
          <w:szCs w:val="16"/>
          <w:u w:val="single" w:color="auto"/>
          <w:color w:val="auto"/>
        </w:rPr>
        <w:t>Terms of Securities</w:t>
      </w:r>
      <w:r>
        <w:rPr>
          <w:rFonts w:ascii="Arial" w:cs="Arial" w:eastAsia="Arial" w:hAnsi="Arial"/>
          <w:sz w:val="16"/>
          <w:szCs w:val="16"/>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13" w:name="page114"/>
    <w:bookmarkEnd w:id="113"/>
    <w:p>
      <w:pPr>
        <w:ind w:right="8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2.14.2.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w:t>
      </w:r>
    </w:p>
    <w:p>
      <w:pPr>
        <w:spacing w:after="0" w:line="17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84"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Legends</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addition, so long as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is the Depositary, each Global Note registered in the name of DTC or its nominee shall bear a legend in substantially the following 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14" w:name="page115"/>
    <w:bookmarkEnd w:id="114"/>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87"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38" w:lineRule="exact"/>
        <w:rPr>
          <w:sz w:val="20"/>
          <w:szCs w:val="20"/>
          <w:color w:val="auto"/>
        </w:rPr>
      </w:pPr>
    </w:p>
    <w:p>
      <w:pPr>
        <w:ind w:right="20" w:firstLine="987"/>
        <w:spacing w:after="0" w:line="272" w:lineRule="auto"/>
        <w:tabs>
          <w:tab w:leader="none" w:pos="1236"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69" w:lineRule="exact"/>
        <w:rPr>
          <w:rFonts w:ascii="Arial" w:cs="Arial" w:eastAsia="Arial" w:hAnsi="Arial"/>
          <w:sz w:val="17"/>
          <w:szCs w:val="17"/>
          <w:color w:val="auto"/>
        </w:rPr>
      </w:pPr>
    </w:p>
    <w:p>
      <w:pPr>
        <w:ind w:right="20" w:firstLine="987"/>
        <w:spacing w:after="0" w:line="255" w:lineRule="auto"/>
        <w:tabs>
          <w:tab w:leader="none" w:pos="12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ownership of Global Securities or any Securities issued in certificated form shall be proved by the Registrar.</w:t>
      </w:r>
    </w:p>
    <w:p>
      <w:pPr>
        <w:spacing w:after="0" w:line="117" w:lineRule="exact"/>
        <w:rPr>
          <w:rFonts w:ascii="Arial" w:cs="Arial" w:eastAsia="Arial" w:hAnsi="Arial"/>
          <w:sz w:val="18"/>
          <w:szCs w:val="18"/>
          <w:color w:val="auto"/>
        </w:rPr>
      </w:pPr>
    </w:p>
    <w:p>
      <w:pPr>
        <w:ind w:right="260" w:firstLine="987"/>
        <w:spacing w:after="0" w:line="259" w:lineRule="auto"/>
        <w:tabs>
          <w:tab w:leader="none" w:pos="12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15" w:name="page116"/>
    <w:bookmarkEnd w:id="115"/>
    <w:p>
      <w:pPr>
        <w:ind w:right="80" w:firstLine="987"/>
        <w:spacing w:after="0" w:line="270" w:lineRule="auto"/>
        <w:tabs>
          <w:tab w:leader="none" w:pos="1236" w:val="left"/>
        </w:tabs>
        <w:numPr>
          <w:ilvl w:val="0"/>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7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6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CUSIP Numbers</w:t>
      </w:r>
      <w:r>
        <w:rPr>
          <w:rFonts w:ascii="Arial" w:cs="Arial" w:eastAsia="Arial" w:hAnsi="Arial"/>
          <w:sz w:val="16"/>
          <w:szCs w:val="16"/>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1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r>
        <w:rPr>
          <w:rFonts w:ascii="Arial" w:cs="Arial" w:eastAsia="Arial" w:hAnsi="Arial"/>
          <w:sz w:val="18"/>
          <w:szCs w:val="18"/>
          <w:color w:val="auto"/>
        </w:rPr>
        <w:t xml:space="preserve"> 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16" w:name="page117"/>
    <w:bookmarkEnd w:id="116"/>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Arial" w:cs="Arial" w:eastAsia="Arial" w:hAnsi="Arial"/>
          <w:sz w:val="17"/>
          <w:szCs w:val="17"/>
          <w:u w:val="single" w:color="auto"/>
          <w:color w:val="auto"/>
        </w:rPr>
        <w:t>Selection of Securities to be Redeemed</w:t>
      </w:r>
      <w:r>
        <w:rPr>
          <w:rFonts w:ascii="Arial" w:cs="Arial" w:eastAsia="Arial" w:hAnsi="Arial"/>
          <w:sz w:val="17"/>
          <w:szCs w:val="17"/>
          <w:color w:val="auto"/>
        </w:rPr>
        <w:t xml:space="preserve"> 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by lot or other method, unless otherwise required by law or applicable stock exchange requirements, subject, in the case of Global Securities,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79"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Notice of Redemption</w:t>
      </w:r>
      <w:r>
        <w:rPr>
          <w:rFonts w:ascii="Arial" w:cs="Arial" w:eastAsia="Arial" w:hAnsi="Arial"/>
          <w:sz w:val="16"/>
          <w:szCs w:val="16"/>
          <w:color w:val="auto"/>
        </w:rPr>
        <w:t xml:space="preserve"> 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117" w:lineRule="exact"/>
        <w:rPr>
          <w:sz w:val="20"/>
          <w:szCs w:val="20"/>
          <w:color w:val="auto"/>
        </w:rPr>
      </w:pPr>
    </w:p>
    <w:p>
      <w:pPr>
        <w:ind w:left="1240" w:hanging="253"/>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redemption price (or manner of calculation if not then known);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jc w:val="both"/>
        <w:ind w:right="200" w:firstLine="987"/>
        <w:spacing w:after="0" w:line="263" w:lineRule="auto"/>
        <w:tabs>
          <w:tab w:leader="none" w:pos="12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that Securities of the Series called for redemption must be surrendered to the Paying Agent to collect the redemption price;</w:t>
      </w:r>
    </w:p>
    <w:p>
      <w:pPr>
        <w:spacing w:after="0" w:line="128" w:lineRule="exact"/>
        <w:rPr>
          <w:rFonts w:ascii="Arial" w:cs="Arial" w:eastAsia="Arial" w:hAnsi="Arial"/>
          <w:sz w:val="17"/>
          <w:szCs w:val="17"/>
          <w:color w:val="auto"/>
        </w:rPr>
      </w:pPr>
    </w:p>
    <w:p>
      <w:pPr>
        <w:ind w:right="340" w:firstLine="987"/>
        <w:spacing w:after="0" w:line="277" w:lineRule="auto"/>
        <w:tabs>
          <w:tab w:leader="none" w:pos="121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other information as may be required by the terms of the particular Series or the Securities of a Series being redeemed.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17" w:name="page118"/>
    <w:bookmarkEnd w:id="117"/>
    <w:p>
      <w:pPr>
        <w:ind w:right="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6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 xml:space="preserve"> 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xml:space="preserve"> 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84"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Securities Redeemed in Part</w:t>
      </w:r>
      <w:r>
        <w:rPr>
          <w:rFonts w:ascii="Arial" w:cs="Arial" w:eastAsia="Arial" w:hAnsi="Arial"/>
          <w:sz w:val="16"/>
          <w:szCs w:val="16"/>
          <w:color w:val="auto"/>
        </w:rPr>
        <w:t xml:space="preserve"> Upon surrender of a Security that is redeemed in part, the Trustee shall authenticate for the Holder a new Security of the same Series and the same maturity equal in principal amount to the unredeemed portion of the Security surrendered.</w:t>
      </w:r>
    </w:p>
    <w:p>
      <w:pPr>
        <w:spacing w:after="0" w:line="33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Payment of Principal and Interest</w:t>
      </w:r>
      <w:r>
        <w:rPr>
          <w:rFonts w:ascii="Arial" w:cs="Arial" w:eastAsia="Arial" w:hAnsi="Arial"/>
          <w:sz w:val="16"/>
          <w:szCs w:val="16"/>
          <w:color w:val="auto"/>
        </w:rPr>
        <w:t xml:space="preserve"> 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5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SEC Reports</w:t>
      </w:r>
      <w:r>
        <w:rPr>
          <w:rFonts w:ascii="Arial" w:cs="Arial" w:eastAsia="Arial" w:hAnsi="Arial"/>
          <w:sz w:val="17"/>
          <w:szCs w:val="17"/>
          <w:color w:val="auto"/>
        </w:rPr>
        <w:t xml:space="preserve"> 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4" w:right="519" w:bottom="1440" w:gutter="0" w:footer="0" w:header="0"/>
        </w:sectPr>
      </w:pPr>
    </w:p>
    <w:bookmarkStart w:id="118" w:name="page119"/>
    <w:bookmarkEnd w:id="118"/>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7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 xml:space="preserve">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 xml:space="preserve"> 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62" w:lineRule="exact"/>
        <w:rPr>
          <w:sz w:val="20"/>
          <w:szCs w:val="20"/>
          <w:color w:val="auto"/>
        </w:rPr>
      </w:pPr>
    </w:p>
    <w:p>
      <w:pPr>
        <w:ind w:right="20" w:firstLine="987"/>
        <w:spacing w:after="0" w:line="263" w:lineRule="auto"/>
        <w:tabs>
          <w:tab w:leader="none" w:pos="12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19" w:name="page120"/>
    <w:bookmarkEnd w:id="119"/>
    <w:p>
      <w:pPr>
        <w:jc w:val="both"/>
        <w:ind w:right="5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84"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6"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Successor Corporation Substituted</w:t>
      </w:r>
      <w:r>
        <w:rPr>
          <w:rFonts w:ascii="Arial" w:cs="Arial" w:eastAsia="Arial" w:hAnsi="Arial"/>
          <w:sz w:val="17"/>
          <w:szCs w:val="17"/>
          <w:color w:val="auto"/>
        </w:rPr>
        <w:t xml:space="preserve"> 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predecessor Company in the case of a sale, conveyance or other disposition (other than a lease) shall be released from all obligations and covenants under this Indenture and the Securities.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76" w:lineRule="exact"/>
        <w:rPr>
          <w:sz w:val="20"/>
          <w:szCs w:val="20"/>
          <w:color w:val="auto"/>
        </w:rPr>
      </w:pPr>
    </w:p>
    <w:p>
      <w:pPr>
        <w:ind w:firstLine="987"/>
        <w:spacing w:after="0" w:line="263" w:lineRule="auto"/>
        <w:tabs>
          <w:tab w:leader="none" w:pos="12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15"/>
          <w:szCs w:val="15"/>
          <w:color w:val="auto"/>
        </w:rPr>
        <w:t>th</w:t>
      </w:r>
      <w:r>
        <w:rPr>
          <w:rFonts w:ascii="Arial" w:cs="Arial" w:eastAsia="Arial" w:hAnsi="Arial"/>
          <w:sz w:val="18"/>
          <w:szCs w:val="18"/>
          <w:color w:val="auto"/>
        </w:rPr>
        <w:t xml:space="preserve"> day of such period); or</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117" w:lineRule="exact"/>
        <w:rPr>
          <w:rFonts w:ascii="Arial" w:cs="Arial" w:eastAsia="Arial" w:hAnsi="Arial"/>
          <w:sz w:val="18"/>
          <w:szCs w:val="18"/>
          <w:color w:val="auto"/>
        </w:rPr>
      </w:pPr>
    </w:p>
    <w:p>
      <w:pPr>
        <w:ind w:right="60" w:firstLine="987"/>
        <w:spacing w:after="0" w:line="255" w:lineRule="auto"/>
        <w:tabs>
          <w:tab w:leader="none" w:pos="12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120" w:name="page121"/>
    <w:bookmarkEnd w:id="120"/>
    <w:p>
      <w:pPr>
        <w:ind w:left="1700" w:hanging="272"/>
        <w:spacing w:after="0"/>
        <w:tabs>
          <w:tab w:leader="none" w:pos="1700" w:val="left"/>
        </w:tabs>
        <w:numPr>
          <w:ilvl w:val="1"/>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consents to the entry of an order for relief against it in an involuntary case,</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117" w:lineRule="exact"/>
        <w:rPr>
          <w:sz w:val="20"/>
          <w:szCs w:val="20"/>
          <w:color w:val="auto"/>
        </w:rPr>
      </w:pPr>
    </w:p>
    <w:p>
      <w:pPr>
        <w:ind w:right="100" w:firstLine="987"/>
        <w:spacing w:after="0" w:line="277" w:lineRule="auto"/>
        <w:tabs>
          <w:tab w:leader="none" w:pos="121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U.S.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Acceleration of Maturity; Rescission and Annulment</w:t>
      </w:r>
      <w:r>
        <w:rPr>
          <w:rFonts w:ascii="Arial" w:cs="Arial" w:eastAsia="Arial" w:hAnsi="Arial"/>
          <w:sz w:val="17"/>
          <w:szCs w:val="17"/>
          <w:color w:val="auto"/>
        </w:rPr>
        <w:t xml:space="preserve"> 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7"/>
          <w:szCs w:val="17"/>
          <w:i w:val="1"/>
          <w:iCs w:val="1"/>
          <w:color w:val="auto"/>
        </w:rPr>
        <w:t>ipso facto</w:t>
      </w:r>
      <w:r>
        <w:rPr>
          <w:rFonts w:ascii="Arial" w:cs="Arial" w:eastAsia="Arial" w:hAnsi="Arial"/>
          <w:sz w:val="17"/>
          <w:szCs w:val="17"/>
          <w:color w:val="auto"/>
        </w:rPr>
        <w:t xml:space="preserve"> become and be immediately due and payable without any declaration or other act on the part of the Trustee or any Holder.</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121" w:name="page122"/>
    <w:bookmarkEnd w:id="121"/>
    <w:p>
      <w:pPr>
        <w:ind w:right="6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xml:space="preserve"> The Company covenants that if</w:t>
      </w:r>
    </w:p>
    <w:p>
      <w:pPr>
        <w:spacing w:after="0" w:line="117" w:lineRule="exact"/>
        <w:rPr>
          <w:sz w:val="20"/>
          <w:szCs w:val="20"/>
          <w:color w:val="auto"/>
        </w:rPr>
      </w:pPr>
    </w:p>
    <w:p>
      <w:pPr>
        <w:ind w:right="80" w:firstLine="987"/>
        <w:spacing w:after="0" w:line="277" w:lineRule="auto"/>
        <w:tabs>
          <w:tab w:leader="none" w:pos="12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8"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22" w:name="page123"/>
    <w:bookmarkEnd w:id="122"/>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6.4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xml:space="preserve">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53" w:lineRule="exact"/>
        <w:rPr>
          <w:sz w:val="20"/>
          <w:szCs w:val="20"/>
          <w:color w:val="auto"/>
        </w:rPr>
      </w:pPr>
    </w:p>
    <w:p>
      <w:pPr>
        <w:ind w:right="160" w:firstLine="987"/>
        <w:spacing w:after="0" w:line="311" w:lineRule="auto"/>
        <w:tabs>
          <w:tab w:leader="none" w:pos="123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40" w:lineRule="exact"/>
        <w:rPr>
          <w:rFonts w:ascii="Arial" w:cs="Arial" w:eastAsia="Arial" w:hAnsi="Arial"/>
          <w:sz w:val="16"/>
          <w:szCs w:val="16"/>
          <w:color w:val="auto"/>
        </w:rPr>
      </w:pPr>
    </w:p>
    <w:p>
      <w:pPr>
        <w:ind w:right="20" w:firstLine="987"/>
        <w:spacing w:after="0" w:line="257" w:lineRule="auto"/>
        <w:tabs>
          <w:tab w:leader="none" w:pos="12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8"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 xml:space="preserve">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61"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 xml:space="preserve"> 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4" w:right="519" w:bottom="1440" w:gutter="0" w:footer="0" w:header="0"/>
        </w:sectPr>
      </w:pPr>
    </w:p>
    <w:bookmarkStart w:id="123" w:name="page124"/>
    <w:bookmarkEnd w:id="123"/>
    <w:p>
      <w:pPr>
        <w:jc w:val="both"/>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xml:space="preserve"> 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such Holder has previously given written notice to the Trustee of a continuing Event of Default with respect to the Securities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103" w:lineRule="exact"/>
        <w:rPr>
          <w:sz w:val="20"/>
          <w:szCs w:val="20"/>
          <w:color w:val="auto"/>
        </w:rPr>
      </w:pPr>
    </w:p>
    <w:p>
      <w:pPr>
        <w:ind w:right="20" w:firstLine="987"/>
        <w:spacing w:after="0" w:line="277" w:lineRule="auto"/>
        <w:tabs>
          <w:tab w:leader="none" w:pos="12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right="300" w:firstLine="987"/>
        <w:spacing w:after="0" w:line="277" w:lineRule="auto"/>
        <w:tabs>
          <w:tab w:leader="none" w:pos="12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40" w:lineRule="exact"/>
        <w:rPr>
          <w:rFonts w:ascii="Arial" w:cs="Arial" w:eastAsia="Arial" w:hAnsi="Arial"/>
          <w:sz w:val="16"/>
          <w:szCs w:val="16"/>
          <w:color w:val="auto"/>
        </w:rPr>
      </w:pPr>
    </w:p>
    <w:p>
      <w:pPr>
        <w:ind w:right="580" w:firstLine="987"/>
        <w:spacing w:after="0" w:line="277" w:lineRule="auto"/>
        <w:tabs>
          <w:tab w:leader="none" w:pos="12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5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Unconditional Right of Holders to Receive Principal and Interest</w:t>
      </w:r>
      <w:r>
        <w:rPr>
          <w:rFonts w:ascii="Arial" w:cs="Arial" w:eastAsia="Arial" w:hAnsi="Arial"/>
          <w:sz w:val="16"/>
          <w:szCs w:val="16"/>
          <w:color w:val="auto"/>
        </w:rPr>
        <w:t xml:space="preserve"> 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124" w:name="page125"/>
    <w:bookmarkEnd w:id="124"/>
    <w:p>
      <w:pPr>
        <w:ind w:right="1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xml:space="preserve">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xml:space="preserve"> 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xml:space="preserve">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 xml:space="preserve">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6" w:lineRule="exact"/>
        <w:rPr>
          <w:sz w:val="20"/>
          <w:szCs w:val="20"/>
          <w:color w:val="auto"/>
        </w:rPr>
      </w:pPr>
    </w:p>
    <w:p>
      <w:pPr>
        <w:ind w:left="1240" w:hanging="253"/>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17" w:lineRule="exact"/>
        <w:rPr>
          <w:rFonts w:ascii="Arial" w:cs="Arial" w:eastAsia="Arial" w:hAnsi="Arial"/>
          <w:sz w:val="18"/>
          <w:szCs w:val="18"/>
          <w:color w:val="auto"/>
        </w:rPr>
      </w:pPr>
    </w:p>
    <w:p>
      <w:pPr>
        <w:ind w:right="220" w:firstLine="987"/>
        <w:spacing w:after="0" w:line="342" w:lineRule="auto"/>
        <w:tabs>
          <w:tab w:leader="none" w:pos="123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5" w:lineRule="exact"/>
        <w:rPr>
          <w:rFonts w:ascii="Arial" w:cs="Arial" w:eastAsia="Arial" w:hAnsi="Arial"/>
          <w:sz w:val="16"/>
          <w:szCs w:val="16"/>
          <w:color w:val="auto"/>
        </w:rPr>
      </w:pPr>
    </w:p>
    <w:p>
      <w:pPr>
        <w:ind w:right="320" w:firstLine="987"/>
        <w:spacing w:after="0" w:line="277" w:lineRule="auto"/>
        <w:tabs>
          <w:tab w:leader="none" w:pos="12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xml:space="preserve"> 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125" w:name="page126"/>
    <w:bookmarkEnd w:id="12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p>
    <w:p>
      <w:pPr>
        <w:spacing w:after="0" w:line="117" w:lineRule="exact"/>
        <w:rPr>
          <w:sz w:val="20"/>
          <w:szCs w:val="20"/>
          <w:color w:val="auto"/>
        </w:rPr>
      </w:pPr>
    </w:p>
    <w:p>
      <w:pPr>
        <w:jc w:val="both"/>
        <w:ind w:right="20" w:firstLine="987"/>
        <w:spacing w:after="0" w:line="263" w:lineRule="auto"/>
        <w:tabs>
          <w:tab w:leader="none" w:pos="123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right="700" w:firstLine="1428"/>
        <w:spacing w:after="0" w:line="277" w:lineRule="auto"/>
        <w:tabs>
          <w:tab w:leader="none" w:pos="164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62" w:lineRule="exact"/>
        <w:rPr>
          <w:rFonts w:ascii="Arial" w:cs="Arial" w:eastAsia="Arial" w:hAnsi="Arial"/>
          <w:sz w:val="18"/>
          <w:szCs w:val="18"/>
          <w:color w:val="auto"/>
        </w:rPr>
      </w:pPr>
    </w:p>
    <w:p>
      <w:pPr>
        <w:jc w:val="both"/>
        <w:ind w:right="60" w:firstLine="1428"/>
        <w:spacing w:after="0" w:line="296" w:lineRule="auto"/>
        <w:tabs>
          <w:tab w:leader="none" w:pos="169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53" w:lineRule="exact"/>
        <w:rPr>
          <w:rFonts w:ascii="Arial" w:cs="Arial" w:eastAsia="Arial" w:hAnsi="Arial"/>
          <w:sz w:val="16"/>
          <w:szCs w:val="16"/>
          <w:color w:val="auto"/>
        </w:rPr>
      </w:pPr>
    </w:p>
    <w:p>
      <w:pPr>
        <w:ind w:right="820" w:firstLine="987"/>
        <w:spacing w:after="0" w:line="277" w:lineRule="auto"/>
        <w:tabs>
          <w:tab w:leader="none" w:pos="123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126" w:name="page127"/>
    <w:bookmarkEnd w:id="126"/>
    <w:p>
      <w:pPr>
        <w:ind w:left="1640" w:hanging="212"/>
        <w:spacing w:after="0"/>
        <w:tabs>
          <w:tab w:leader="none" w:pos="16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paragraph does not limit the effect of paragraph (b) of this Section.</w:t>
      </w:r>
    </w:p>
    <w:p>
      <w:pPr>
        <w:spacing w:after="0" w:line="117" w:lineRule="exact"/>
        <w:rPr>
          <w:rFonts w:ascii="Arial" w:cs="Arial" w:eastAsia="Arial" w:hAnsi="Arial"/>
          <w:sz w:val="18"/>
          <w:szCs w:val="18"/>
          <w:color w:val="auto"/>
        </w:rPr>
      </w:pPr>
    </w:p>
    <w:p>
      <w:pPr>
        <w:ind w:right="320" w:firstLine="1428"/>
        <w:spacing w:after="0" w:line="277" w:lineRule="auto"/>
        <w:tabs>
          <w:tab w:leader="none" w:pos="169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62" w:lineRule="exact"/>
        <w:rPr>
          <w:rFonts w:ascii="Arial" w:cs="Arial" w:eastAsia="Arial" w:hAnsi="Arial"/>
          <w:sz w:val="18"/>
          <w:szCs w:val="18"/>
          <w:color w:val="auto"/>
        </w:rPr>
      </w:pPr>
    </w:p>
    <w:p>
      <w:pPr>
        <w:ind w:right="20" w:firstLine="1428"/>
        <w:spacing w:after="0" w:line="279" w:lineRule="auto"/>
        <w:tabs>
          <w:tab w:leader="none" w:pos="174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Every provision of this Indenture that in any way relates to the Trustee is subject to paragraph (a), (b) and (c) of this Section.</w:t>
      </w:r>
    </w:p>
    <w:p>
      <w:pPr>
        <w:spacing w:after="0" w:line="128" w:lineRule="exact"/>
        <w:rPr>
          <w:rFonts w:ascii="Arial" w:cs="Arial" w:eastAsia="Arial" w:hAnsi="Arial"/>
          <w:sz w:val="17"/>
          <w:szCs w:val="17"/>
          <w:color w:val="auto"/>
        </w:rPr>
      </w:pPr>
    </w:p>
    <w:p>
      <w:pPr>
        <w:ind w:right="320" w:firstLine="987"/>
        <w:spacing w:after="0" w:line="308" w:lineRule="auto"/>
        <w:tabs>
          <w:tab w:leader="none" w:pos="123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38" w:lineRule="exact"/>
        <w:rPr>
          <w:rFonts w:ascii="Arial" w:cs="Arial" w:eastAsia="Arial" w:hAnsi="Arial"/>
          <w:sz w:val="17"/>
          <w:szCs w:val="17"/>
          <w:color w:val="auto"/>
        </w:rPr>
      </w:pPr>
    </w:p>
    <w:p>
      <w:pPr>
        <w:ind w:right="200" w:firstLine="987"/>
        <w:spacing w:after="0" w:line="308" w:lineRule="auto"/>
        <w:tabs>
          <w:tab w:leader="none" w:pos="121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38" w:lineRule="exact"/>
        <w:rPr>
          <w:rFonts w:ascii="Arial" w:cs="Arial" w:eastAsia="Arial" w:hAnsi="Arial"/>
          <w:sz w:val="17"/>
          <w:szCs w:val="17"/>
          <w:color w:val="auto"/>
        </w:rPr>
      </w:pPr>
    </w:p>
    <w:p>
      <w:pPr>
        <w:ind w:right="140" w:firstLine="987"/>
        <w:spacing w:after="0" w:line="277" w:lineRule="auto"/>
        <w:tabs>
          <w:tab w:leader="none" w:pos="12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62" w:lineRule="exact"/>
        <w:rPr>
          <w:rFonts w:ascii="Arial" w:cs="Arial" w:eastAsia="Arial" w:hAnsi="Arial"/>
          <w:sz w:val="18"/>
          <w:szCs w:val="18"/>
          <w:color w:val="auto"/>
        </w:rPr>
      </w:pPr>
    </w:p>
    <w:p>
      <w:pPr>
        <w:ind w:right="400" w:firstLine="987"/>
        <w:spacing w:after="0" w:line="277" w:lineRule="auto"/>
        <w:tabs>
          <w:tab w:leader="none" w:pos="12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 xml:space="preserve"> (a)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76" w:lineRule="exact"/>
        <w:rPr>
          <w:sz w:val="20"/>
          <w:szCs w:val="20"/>
          <w:color w:val="auto"/>
        </w:rPr>
      </w:pPr>
    </w:p>
    <w:p>
      <w:pPr>
        <w:ind w:right="240" w:firstLine="987"/>
        <w:spacing w:after="0" w:line="308" w:lineRule="auto"/>
        <w:tabs>
          <w:tab w:leader="none" w:pos="124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38" w:lineRule="exact"/>
        <w:rPr>
          <w:rFonts w:ascii="Arial" w:cs="Arial" w:eastAsia="Arial" w:hAnsi="Arial"/>
          <w:sz w:val="17"/>
          <w:szCs w:val="17"/>
          <w:color w:val="auto"/>
        </w:rPr>
      </w:pPr>
    </w:p>
    <w:p>
      <w:pPr>
        <w:ind w:firstLine="987"/>
        <w:spacing w:after="0" w:line="263" w:lineRule="auto"/>
        <w:tabs>
          <w:tab w:leader="none" w:pos="12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27" w:name="page128"/>
    <w:bookmarkEnd w:id="127"/>
    <w:p>
      <w:pPr>
        <w:ind w:firstLine="987"/>
        <w:spacing w:after="0" w:line="277" w:lineRule="auto"/>
        <w:tabs>
          <w:tab w:leader="none" w:pos="12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62" w:lineRule="exact"/>
        <w:rPr>
          <w:rFonts w:ascii="Arial" w:cs="Arial" w:eastAsia="Arial" w:hAnsi="Arial"/>
          <w:sz w:val="18"/>
          <w:szCs w:val="18"/>
          <w:color w:val="auto"/>
        </w:rPr>
      </w:pPr>
    </w:p>
    <w:p>
      <w:pPr>
        <w:ind w:right="60" w:firstLine="987"/>
        <w:spacing w:after="0" w:line="263" w:lineRule="auto"/>
        <w:tabs>
          <w:tab w:leader="none" w:pos="12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75" w:lineRule="exact"/>
        <w:rPr>
          <w:rFonts w:ascii="Arial" w:cs="Arial" w:eastAsia="Arial" w:hAnsi="Arial"/>
          <w:sz w:val="18"/>
          <w:szCs w:val="18"/>
          <w:color w:val="auto"/>
        </w:rPr>
      </w:pPr>
    </w:p>
    <w:p>
      <w:pPr>
        <w:jc w:val="both"/>
        <w:ind w:right="100" w:firstLine="987"/>
        <w:spacing w:after="0" w:line="311" w:lineRule="auto"/>
        <w:tabs>
          <w:tab w:leader="none" w:pos="121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40" w:lineRule="exact"/>
        <w:rPr>
          <w:rFonts w:ascii="Arial" w:cs="Arial" w:eastAsia="Arial" w:hAnsi="Arial"/>
          <w:sz w:val="16"/>
          <w:szCs w:val="16"/>
          <w:color w:val="auto"/>
        </w:rPr>
      </w:pPr>
    </w:p>
    <w:p>
      <w:pPr>
        <w:ind w:right="100" w:firstLine="987"/>
        <w:spacing w:after="0" w:line="286" w:lineRule="auto"/>
        <w:tabs>
          <w:tab w:leader="none" w:pos="124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57" w:lineRule="exact"/>
        <w:rPr>
          <w:rFonts w:ascii="Arial" w:cs="Arial" w:eastAsia="Arial" w:hAnsi="Arial"/>
          <w:sz w:val="17"/>
          <w:szCs w:val="17"/>
          <w:color w:val="auto"/>
        </w:rPr>
      </w:pPr>
    </w:p>
    <w:p>
      <w:pPr>
        <w:ind w:right="60" w:firstLine="987"/>
        <w:spacing w:after="0" w:line="259" w:lineRule="auto"/>
        <w:tabs>
          <w:tab w:leader="none" w:pos="12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78" w:lineRule="exact"/>
        <w:rPr>
          <w:rFonts w:ascii="Arial" w:cs="Arial" w:eastAsia="Arial" w:hAnsi="Arial"/>
          <w:sz w:val="18"/>
          <w:szCs w:val="18"/>
          <w:color w:val="auto"/>
        </w:rPr>
      </w:pPr>
    </w:p>
    <w:p>
      <w:pPr>
        <w:ind w:right="140" w:firstLine="987"/>
        <w:spacing w:after="0" w:line="263" w:lineRule="auto"/>
        <w:tabs>
          <w:tab w:leader="none" w:pos="12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75" w:lineRule="exact"/>
        <w:rPr>
          <w:rFonts w:ascii="Arial" w:cs="Arial" w:eastAsia="Arial" w:hAnsi="Arial"/>
          <w:sz w:val="18"/>
          <w:szCs w:val="18"/>
          <w:color w:val="auto"/>
        </w:rPr>
      </w:pPr>
    </w:p>
    <w:p>
      <w:pPr>
        <w:ind w:left="1200" w:hanging="213"/>
        <w:spacing w:after="0"/>
        <w:tabs>
          <w:tab w:leader="none" w:pos="12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w:t>
      </w:r>
    </w:p>
    <w:p>
      <w:pPr>
        <w:spacing w:after="0" w:line="102" w:lineRule="exact"/>
        <w:rPr>
          <w:rFonts w:ascii="Arial" w:cs="Arial" w:eastAsia="Arial" w:hAnsi="Arial"/>
          <w:sz w:val="16"/>
          <w:szCs w:val="16"/>
          <w:color w:val="auto"/>
        </w:rPr>
      </w:pPr>
    </w:p>
    <w:p>
      <w:pPr>
        <w:ind w:left="1240" w:hanging="253"/>
        <w:spacing w:after="0"/>
        <w:tabs>
          <w:tab w:leader="none" w:pos="12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bond or surety shall be required with respect to performance of Trustee’s duties and powers.</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Under no circumstances shall the Trustee be liable in its individual capacity for the obligations evidenced by the Securities.</w:t>
      </w:r>
    </w:p>
    <w:p>
      <w:pPr>
        <w:spacing w:after="0" w:line="117" w:lineRule="exact"/>
        <w:rPr>
          <w:rFonts w:ascii="Arial" w:cs="Arial" w:eastAsia="Arial" w:hAnsi="Arial"/>
          <w:sz w:val="18"/>
          <w:szCs w:val="18"/>
          <w:color w:val="auto"/>
        </w:rPr>
      </w:pPr>
    </w:p>
    <w:p>
      <w:pPr>
        <w:ind w:right="80" w:firstLine="987"/>
        <w:spacing w:after="0" w:line="277" w:lineRule="auto"/>
        <w:tabs>
          <w:tab w:leader="none" w:pos="129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28" w:name="page129"/>
    <w:bookmarkEnd w:id="128"/>
    <w:p>
      <w:pPr>
        <w:ind w:firstLine="987"/>
        <w:spacing w:after="0" w:line="277"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request that the Company deliver a certificate setting forth the names of individuals and/or titles of officers authorized at such time to take specified actions pursuant to this Indenture.</w:t>
      </w:r>
    </w:p>
    <w:p>
      <w:pPr>
        <w:spacing w:after="0" w:line="62" w:lineRule="exact"/>
        <w:rPr>
          <w:rFonts w:ascii="Arial" w:cs="Arial" w:eastAsia="Arial" w:hAnsi="Arial"/>
          <w:sz w:val="18"/>
          <w:szCs w:val="18"/>
          <w:color w:val="auto"/>
        </w:rPr>
      </w:pPr>
    </w:p>
    <w:p>
      <w:pPr>
        <w:ind w:right="340" w:firstLine="987"/>
        <w:spacing w:after="0" w:line="263"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 xml:space="preserve">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xml:space="preserve"> 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95"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6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 xml:space="preserve"> 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29" w:name="page130"/>
    <w:bookmarkEnd w:id="129"/>
    <w:p>
      <w:pPr>
        <w:jc w:val="both"/>
        <w:ind w:right="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7.7 </w:t>
      </w:r>
      <w:r>
        <w:rPr>
          <w:rFonts w:ascii="Arial" w:cs="Arial" w:eastAsia="Arial" w:hAnsi="Arial"/>
          <w:sz w:val="17"/>
          <w:szCs w:val="17"/>
          <w:u w:val="single" w:color="auto"/>
          <w:color w:val="auto"/>
        </w:rPr>
        <w:t>Compensation and Indemnity</w:t>
      </w:r>
      <w:r>
        <w:rPr>
          <w:rFonts w:ascii="Arial" w:cs="Arial" w:eastAsia="Arial" w:hAnsi="Arial"/>
          <w:sz w:val="17"/>
          <w:szCs w:val="17"/>
          <w:color w:val="auto"/>
        </w:rPr>
        <w:t xml:space="preserve"> 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7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65"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24"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2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survive the termination of this Indenture or the resignation or removal of the Trustee.</w:t>
      </w:r>
    </w:p>
    <w:p>
      <w:pPr>
        <w:spacing w:after="0" w:line="225" w:lineRule="exact"/>
        <w:rPr>
          <w:sz w:val="20"/>
          <w:szCs w:val="20"/>
          <w:color w:val="auto"/>
        </w:rPr>
      </w:pPr>
    </w:p>
    <w:p>
      <w:pPr>
        <w:jc w:val="both"/>
        <w:ind w:right="180" w:firstLine="440"/>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 xml:space="preserve"> 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jc w:val="both"/>
        <w:ind w:right="180" w:firstLine="440"/>
        <w:spacing w:after="0" w:line="259" w:lineRule="auto"/>
        <w:rPr>
          <w:sz w:val="20"/>
          <w:szCs w:val="20"/>
          <w:color w:val="auto"/>
        </w:rPr>
      </w:pPr>
      <w:r>
        <w:rPr>
          <w:rFonts w:ascii="Arial" w:cs="Arial" w:eastAsia="Arial" w:hAnsi="Arial"/>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Trustee fails to comply with Section 7.10;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130" w:name="page131"/>
    <w:bookmarkEnd w:id="130"/>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Trustee is adjudged a bankrupt or an insolvent or an order for relief is entered with respect to the Trustee under any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03" w:lineRule="exact"/>
        <w:rPr>
          <w:sz w:val="20"/>
          <w:szCs w:val="20"/>
          <w:color w:val="auto"/>
        </w:rPr>
      </w:pPr>
    </w:p>
    <w:p>
      <w:pPr>
        <w:ind w:left="1240" w:hanging="253"/>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Promptly after that,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retiring Trustee shall transfer all property held by it as Trustee to the successor Trustee subject to the lien provided for in Section 7.7, the resignation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removal of the retiring Trustee shall become effective, and the successor Trustee shall have all the rights, powers and duties of the Trustee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each Series of Securities for which it is acting as Trustee under this Indenture. A successor Trustee shall send a notice of its succession to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Securityholder of each such Series. Notwithstanding replacement of the Trustee pursuant to this Section 7.8, the Company’s obligations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7.7 hereof shall continue for the benefit of the retiring Trustee with respect to expenses and liabilities incurred by it for actions taken or omitted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taken in accordance with its rights, powers and duties under this Indenture prior to such replacement.</w:t>
      </w:r>
    </w:p>
    <w:p>
      <w:pPr>
        <w:spacing w:after="0" w:line="21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 xml:space="preserve"> 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Eligibility; Disqualification</w:t>
      </w:r>
      <w:r>
        <w:rPr>
          <w:rFonts w:ascii="Arial" w:cs="Arial" w:eastAsia="Arial" w:hAnsi="Arial"/>
          <w:sz w:val="16"/>
          <w:szCs w:val="16"/>
          <w:color w:val="auto"/>
        </w:rPr>
        <w:t xml:space="preserve"> This Indenture shall always have a Trustee who satisfies the requirements of TIA § 310(a)(1), (2) and</w:t>
      </w:r>
    </w:p>
    <w:p>
      <w:pPr>
        <w:spacing w:after="0" w:line="4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(5). The Trustee shall always have a combined capital and surplus of at least $50,000,000 as set forth in its most recent published annual report of condition. The Trustee shall comply with TIA § 310(b).</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440" w:top="274" w:right="539" w:bottom="1440" w:gutter="0" w:footer="0" w:header="0"/>
        </w:sectPr>
      </w:pPr>
    </w:p>
    <w:bookmarkStart w:id="131" w:name="page132"/>
    <w:bookmarkEnd w:id="131"/>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 xml:space="preserve"> The Trustee is subject to TIA § 311(a), excluding any creditor relationship listed in TIA § 311(b). A Trustee who has resigned or been removed shall be subject to TIA § 311(a) to the extent indicated.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Satisfaction and Discharge of Indenture</w:t>
      </w:r>
      <w:r>
        <w:rPr>
          <w:rFonts w:ascii="Arial" w:cs="Arial" w:eastAsia="Arial" w:hAnsi="Arial"/>
          <w:sz w:val="17"/>
          <w:szCs w:val="17"/>
          <w:color w:val="auto"/>
        </w:rPr>
        <w:t xml:space="preserve"> 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57" w:lineRule="exact"/>
        <w:rPr>
          <w:sz w:val="20"/>
          <w:szCs w:val="20"/>
          <w:color w:val="auto"/>
        </w:rPr>
      </w:pPr>
    </w:p>
    <w:p>
      <w:pPr>
        <w:ind w:left="1240" w:hanging="253"/>
        <w:spacing w:after="0"/>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right="40" w:firstLine="1428"/>
        <w:spacing w:after="0" w:line="277" w:lineRule="auto"/>
        <w:tabs>
          <w:tab w:leader="none" w:pos="164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62" w:lineRule="exact"/>
        <w:rPr>
          <w:rFonts w:ascii="Arial" w:cs="Arial" w:eastAsia="Arial" w:hAnsi="Arial"/>
          <w:sz w:val="18"/>
          <w:szCs w:val="18"/>
          <w:color w:val="auto"/>
        </w:rPr>
      </w:pPr>
    </w:p>
    <w:p>
      <w:pPr>
        <w:ind w:left="1700" w:hanging="272"/>
        <w:spacing w:after="0"/>
        <w:tabs>
          <w:tab w:leader="none" w:pos="17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17" w:lineRule="exact"/>
        <w:rPr>
          <w:rFonts w:ascii="Arial" w:cs="Arial" w:eastAsia="Arial" w:hAnsi="Arial"/>
          <w:sz w:val="18"/>
          <w:szCs w:val="18"/>
          <w:color w:val="auto"/>
        </w:rPr>
      </w:pPr>
    </w:p>
    <w:p>
      <w:pPr>
        <w:ind w:left="2240" w:hanging="261"/>
        <w:spacing w:after="0"/>
        <w:tabs>
          <w:tab w:leader="none" w:pos="22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117" w:lineRule="exact"/>
        <w:rPr>
          <w:rFonts w:ascii="Arial" w:cs="Arial" w:eastAsia="Arial" w:hAnsi="Arial"/>
          <w:sz w:val="18"/>
          <w:szCs w:val="18"/>
          <w:color w:val="auto"/>
        </w:rPr>
      </w:pPr>
    </w:p>
    <w:p>
      <w:pPr>
        <w:ind w:left="2240" w:hanging="261"/>
        <w:spacing w:after="0"/>
        <w:tabs>
          <w:tab w:leader="none" w:pos="22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firstLine="1979"/>
        <w:spacing w:after="0" w:line="277" w:lineRule="auto"/>
        <w:tabs>
          <w:tab w:leader="none" w:pos="2238" w:val="left"/>
        </w:tabs>
        <w:numPr>
          <w:ilvl w:val="2"/>
          <w:numId w:val="112"/>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62" w:lineRule="exact"/>
        <w:rPr>
          <w:rFonts w:ascii="Arial" w:cs="Arial" w:eastAsia="Arial" w:hAnsi="Arial"/>
          <w:sz w:val="18"/>
          <w:szCs w:val="18"/>
          <w:color w:val="auto"/>
        </w:rPr>
      </w:pPr>
    </w:p>
    <w:p>
      <w:pPr>
        <w:ind w:left="2240" w:hanging="261"/>
        <w:spacing w:after="0"/>
        <w:tabs>
          <w:tab w:leader="none" w:pos="22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79" w:lineRule="exact"/>
        <w:rPr>
          <w:sz w:val="20"/>
          <w:szCs w:val="20"/>
          <w:color w:val="auto"/>
        </w:rPr>
      </w:pPr>
    </w:p>
    <w:p>
      <w:pPr>
        <w:ind w:left="5360" w:right="2620" w:hanging="4373"/>
        <w:spacing w:after="0" w:line="449" w:lineRule="auto"/>
        <w:tabs>
          <w:tab w:leader="none" w:pos="12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 -31-</w:t>
      </w:r>
    </w:p>
    <w:p>
      <w:pPr>
        <w:sectPr>
          <w:pgSz w:w="11900" w:h="16838" w:orient="portrait"/>
          <w:cols w:equalWidth="0" w:num="1">
            <w:col w:w="10960"/>
          </w:cols>
          <w:pgMar w:left="440" w:top="274" w:right="499" w:bottom="1440" w:gutter="0" w:footer="0" w:header="0"/>
        </w:sectPr>
      </w:pPr>
    </w:p>
    <w:bookmarkStart w:id="132" w:name="page133"/>
    <w:bookmarkEnd w:id="132"/>
    <w:p>
      <w:pPr>
        <w:ind w:right="260" w:firstLine="987"/>
        <w:spacing w:after="0" w:line="277" w:lineRule="auto"/>
        <w:tabs>
          <w:tab w:leader="none" w:pos="12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70"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Application of Trust Funds; Indemnification</w:t>
      </w:r>
      <w:r>
        <w:rPr>
          <w:rFonts w:ascii="Arial" w:cs="Arial" w:eastAsia="Arial" w:hAnsi="Arial"/>
          <w:sz w:val="17"/>
          <w:szCs w:val="17"/>
          <w:color w:val="auto"/>
        </w:rPr>
        <w:t xml:space="preserve"> (a)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69" w:lineRule="exact"/>
        <w:rPr>
          <w:sz w:val="20"/>
          <w:szCs w:val="20"/>
          <w:color w:val="auto"/>
        </w:rPr>
      </w:pPr>
    </w:p>
    <w:p>
      <w:pPr>
        <w:ind w:right="380" w:firstLine="987"/>
        <w:spacing w:after="0" w:line="263" w:lineRule="auto"/>
        <w:tabs>
          <w:tab w:leader="none" w:pos="12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75" w:lineRule="exact"/>
        <w:rPr>
          <w:rFonts w:ascii="Arial" w:cs="Arial" w:eastAsia="Arial" w:hAnsi="Arial"/>
          <w:sz w:val="18"/>
          <w:szCs w:val="18"/>
          <w:color w:val="auto"/>
        </w:rPr>
      </w:pPr>
    </w:p>
    <w:p>
      <w:pPr>
        <w:ind w:firstLine="987"/>
        <w:spacing w:after="0" w:line="255" w:lineRule="auto"/>
        <w:tabs>
          <w:tab w:leader="none" w:pos="12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r>
        <w:rPr>
          <w:rFonts w:ascii="Arial" w:cs="Arial" w:eastAsia="Arial" w:hAnsi="Arial"/>
          <w:sz w:val="18"/>
          <w:szCs w:val="18"/>
          <w:color w:val="auto"/>
        </w:rPr>
        <w:t xml:space="preserve"> 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274" w:right="519" w:bottom="1440" w:gutter="0" w:footer="0" w:header="0"/>
        </w:sectPr>
      </w:pPr>
    </w:p>
    <w:bookmarkStart w:id="133" w:name="page134"/>
    <w:bookmarkEnd w:id="133"/>
    <w:p>
      <w:pPr>
        <w:ind w:right="100" w:firstLine="987"/>
        <w:spacing w:after="0" w:line="301" w:lineRule="auto"/>
        <w:tabs>
          <w:tab w:leader="none" w:pos="1236"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117" w:lineRule="exact"/>
        <w:rPr>
          <w:sz w:val="20"/>
          <w:szCs w:val="20"/>
          <w:color w:val="auto"/>
        </w:rPr>
      </w:pPr>
    </w:p>
    <w:p>
      <w:pPr>
        <w:ind w:right="20" w:firstLine="987"/>
        <w:spacing w:after="0" w:line="270" w:lineRule="auto"/>
        <w:tabs>
          <w:tab w:leader="none" w:pos="124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72" w:lineRule="exact"/>
        <w:rPr>
          <w:rFonts w:ascii="Arial" w:cs="Arial" w:eastAsia="Arial" w:hAnsi="Arial"/>
          <w:sz w:val="17"/>
          <w:szCs w:val="17"/>
          <w:color w:val="auto"/>
        </w:rPr>
      </w:pPr>
    </w:p>
    <w:p>
      <w:pPr>
        <w:ind w:firstLine="987"/>
        <w:spacing w:after="0" w:line="277" w:lineRule="auto"/>
        <w:tabs>
          <w:tab w:leader="none" w:pos="12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right="200" w:firstLine="987"/>
        <w:spacing w:after="0" w:line="277" w:lineRule="auto"/>
        <w:tabs>
          <w:tab w:leader="none" w:pos="121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62" w:lineRule="exact"/>
        <w:rPr>
          <w:rFonts w:ascii="Arial" w:cs="Arial" w:eastAsia="Arial" w:hAnsi="Arial"/>
          <w:sz w:val="18"/>
          <w:szCs w:val="18"/>
          <w:color w:val="auto"/>
        </w:rPr>
      </w:pPr>
    </w:p>
    <w:p>
      <w:pPr>
        <w:ind w:right="140" w:firstLine="987"/>
        <w:spacing w:after="0" w:line="273" w:lineRule="auto"/>
        <w:tabs>
          <w:tab w:leader="none" w:pos="124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134" w:name="page135"/>
    <w:bookmarkEnd w:id="134"/>
    <w:p>
      <w:pPr>
        <w:ind w:firstLine="987"/>
        <w:spacing w:after="0" w:line="277"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stating that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right="360" w:firstLine="987"/>
        <w:spacing w:after="0" w:line="277" w:lineRule="auto"/>
        <w:tabs>
          <w:tab w:leader="none" w:pos="120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xml:space="preserve"> 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57" w:lineRule="exact"/>
        <w:rPr>
          <w:sz w:val="20"/>
          <w:szCs w:val="20"/>
          <w:color w:val="auto"/>
        </w:rPr>
      </w:pPr>
    </w:p>
    <w:p>
      <w:pPr>
        <w:ind w:right="60" w:firstLine="987"/>
        <w:spacing w:after="0" w:line="253" w:lineRule="auto"/>
        <w:tabs>
          <w:tab w:leader="none" w:pos="123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86" w:lineRule="exact"/>
        <w:rPr>
          <w:rFonts w:ascii="Arial" w:cs="Arial" w:eastAsia="Arial" w:hAnsi="Arial"/>
          <w:sz w:val="18"/>
          <w:szCs w:val="18"/>
          <w:color w:val="auto"/>
        </w:rPr>
      </w:pPr>
    </w:p>
    <w:p>
      <w:pPr>
        <w:ind w:firstLine="987"/>
        <w:spacing w:after="0" w:line="277" w:lineRule="auto"/>
        <w:tabs>
          <w:tab w:leader="none" w:pos="12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35" w:name="page136"/>
    <w:bookmarkEnd w:id="135"/>
    <w:p>
      <w:pPr>
        <w:ind w:firstLine="987"/>
        <w:spacing w:after="0" w:line="293" w:lineRule="auto"/>
        <w:tabs>
          <w:tab w:leader="none" w:pos="1246"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56" w:lineRule="exact"/>
        <w:rPr>
          <w:rFonts w:ascii="Arial" w:cs="Arial" w:eastAsia="Arial" w:hAnsi="Arial"/>
          <w:sz w:val="16"/>
          <w:szCs w:val="16"/>
          <w:color w:val="auto"/>
        </w:rPr>
      </w:pPr>
    </w:p>
    <w:p>
      <w:pPr>
        <w:ind w:right="280" w:firstLine="987"/>
        <w:spacing w:after="0" w:line="277" w:lineRule="auto"/>
        <w:tabs>
          <w:tab w:leader="none" w:pos="12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right="280" w:firstLine="987"/>
        <w:spacing w:after="0" w:line="308" w:lineRule="auto"/>
        <w:tabs>
          <w:tab w:leader="none" w:pos="121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 xml:space="preserve"> 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8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AND WAIVERS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 xml:space="preserve"> The Company and the Trustee may amend or supplement this Indenture or the Securities of one or more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without the consent of any Securityholder:</w:t>
      </w:r>
    </w:p>
    <w:p>
      <w:pPr>
        <w:spacing w:after="0" w:line="103" w:lineRule="exact"/>
        <w:rPr>
          <w:sz w:val="20"/>
          <w:szCs w:val="20"/>
          <w:color w:val="auto"/>
        </w:rPr>
      </w:pPr>
    </w:p>
    <w:p>
      <w:pPr>
        <w:ind w:left="5360" w:right="3640" w:hanging="4373"/>
        <w:spacing w:after="0" w:line="449" w:lineRule="auto"/>
        <w:tabs>
          <w:tab w:leader="none" w:pos="123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cure any ambiguity, defect or inconsistency as evidenced by an Officer Certificate; -35-</w:t>
      </w:r>
    </w:p>
    <w:p>
      <w:pPr>
        <w:sectPr>
          <w:pgSz w:w="11900" w:h="16838" w:orient="portrait"/>
          <w:cols w:equalWidth="0" w:num="1">
            <w:col w:w="11000"/>
          </w:cols>
          <w:pgMar w:left="440" w:top="274" w:right="459" w:bottom="1440" w:gutter="0" w:footer="0" w:header="0"/>
        </w:sectPr>
      </w:pPr>
    </w:p>
    <w:bookmarkStart w:id="136" w:name="page137"/>
    <w:bookmarkEnd w:id="136"/>
    <w:p>
      <w:pPr>
        <w:ind w:left="1240" w:hanging="253"/>
        <w:spacing w:after="0"/>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comply with Article V;</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140" w:lineRule="exact"/>
        <w:rPr>
          <w:rFonts w:ascii="Arial" w:cs="Arial" w:eastAsia="Arial" w:hAnsi="Arial"/>
          <w:sz w:val="16"/>
          <w:szCs w:val="16"/>
          <w:color w:val="auto"/>
        </w:rPr>
      </w:pPr>
    </w:p>
    <w:p>
      <w:pPr>
        <w:jc w:val="both"/>
        <w:ind w:right="340" w:firstLine="987"/>
        <w:spacing w:after="0" w:line="263" w:lineRule="auto"/>
        <w:tabs>
          <w:tab w:leader="none" w:pos="120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117" w:lineRule="exact"/>
        <w:rPr>
          <w:rFonts w:ascii="Arial" w:cs="Arial" w:eastAsia="Arial" w:hAnsi="Arial"/>
          <w:sz w:val="18"/>
          <w:szCs w:val="18"/>
          <w:color w:val="auto"/>
        </w:rPr>
      </w:pPr>
    </w:p>
    <w:p>
      <w:pPr>
        <w:ind w:right="20" w:firstLine="436"/>
        <w:spacing w:after="0" w:line="263"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75" w:lineRule="exact"/>
        <w:rPr>
          <w:rFonts w:ascii="Arial" w:cs="Arial" w:eastAsia="Arial" w:hAnsi="Arial"/>
          <w:sz w:val="18"/>
          <w:szCs w:val="18"/>
          <w:color w:val="auto"/>
        </w:rPr>
      </w:pPr>
    </w:p>
    <w:p>
      <w:pPr>
        <w:ind w:right="280" w:firstLine="436"/>
        <w:spacing w:after="0" w:line="277" w:lineRule="auto"/>
        <w:tabs>
          <w:tab w:leader="none" w:pos="74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 xml:space="preserve"> 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37" w:name="page138"/>
    <w:bookmarkEnd w:id="137"/>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Without the consent of each Securityholder affected, an amendment or waiver may not:</w:t>
      </w:r>
    </w:p>
    <w:p>
      <w:pPr>
        <w:spacing w:after="0" w:line="117" w:lineRule="exact"/>
        <w:rPr>
          <w:sz w:val="20"/>
          <w:szCs w:val="20"/>
          <w:color w:val="auto"/>
        </w:rPr>
      </w:pPr>
    </w:p>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117" w:lineRule="exact"/>
        <w:rPr>
          <w:rFonts w:ascii="Arial" w:cs="Arial" w:eastAsia="Arial" w:hAnsi="Arial"/>
          <w:sz w:val="18"/>
          <w:szCs w:val="18"/>
          <w:color w:val="auto"/>
        </w:rPr>
      </w:pPr>
    </w:p>
    <w:p>
      <w:pPr>
        <w:ind w:firstLine="987"/>
        <w:spacing w:after="0" w:line="277"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117" w:lineRule="exact"/>
        <w:rPr>
          <w:rFonts w:ascii="Arial" w:cs="Arial" w:eastAsia="Arial" w:hAnsi="Arial"/>
          <w:sz w:val="18"/>
          <w:szCs w:val="18"/>
          <w:color w:val="auto"/>
        </w:rPr>
      </w:pPr>
    </w:p>
    <w:p>
      <w:pPr>
        <w:ind w:right="220" w:firstLine="987"/>
        <w:spacing w:after="0" w:line="263"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75" w:lineRule="exact"/>
        <w:rPr>
          <w:rFonts w:ascii="Arial" w:cs="Arial" w:eastAsia="Arial" w:hAnsi="Arial"/>
          <w:sz w:val="18"/>
          <w:szCs w:val="18"/>
          <w:color w:val="auto"/>
        </w:rPr>
      </w:pPr>
    </w:p>
    <w:p>
      <w:pPr>
        <w:ind w:left="1220" w:hanging="233"/>
        <w:spacing w:after="0"/>
        <w:tabs>
          <w:tab w:leader="none" w:pos="1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waive a redemption payment with respect to any Security, provided that such redemption is made at the Company’s option.</w:t>
      </w:r>
    </w:p>
    <w:p>
      <w:pPr>
        <w:spacing w:after="0" w:line="23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 xml:space="preserve"> Every amendment to this Indenture or the Securities of one or more Series shall be set forth in a supplemental indenture hereto that complies with the TIA as then in effect.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4" w:right="519" w:bottom="1440" w:gutter="0" w:footer="0" w:header="0"/>
        </w:sectPr>
      </w:pPr>
    </w:p>
    <w:bookmarkStart w:id="138" w:name="page139"/>
    <w:bookmarkEnd w:id="138"/>
    <w:p>
      <w:pPr>
        <w:ind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 xml:space="preserve"> 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Notation on or Exchange of Securities</w:t>
      </w:r>
      <w:r>
        <w:rPr>
          <w:rFonts w:ascii="Arial" w:cs="Arial" w:eastAsia="Arial" w:hAnsi="Arial"/>
          <w:sz w:val="16"/>
          <w:szCs w:val="16"/>
          <w:color w:val="auto"/>
        </w:rPr>
        <w:t xml:space="preserve"> 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49"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 xml:space="preserve"> 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440" w:top="274" w:right="5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 xml:space="preserve"> 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PMV Pharmaceuticals,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 Clarke Drive, Suite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Cranbury, New Jersey 08512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1301 Avenue of the Americas, 40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Megan J. Baier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[__________]</w:t>
      </w:r>
    </w:p>
    <w:p>
      <w:pPr>
        <w:spacing w:after="0" w:line="211"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70"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140" w:name="page141"/>
    <w:bookmarkEnd w:id="140"/>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sends a notice or communication to Securityholders, it shall send a copy to the Trustee and each Agent at the same time.</w:t>
      </w:r>
    </w:p>
    <w:p>
      <w:pPr>
        <w:spacing w:after="0" w:line="237"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 xml:space="preserve"> 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 xml:space="preserve"> Upon any request or application by the Company to the Trustee to take any action under this Indenture, the Company shall furnish to the Trustee:</w:t>
      </w:r>
    </w:p>
    <w:p>
      <w:pPr>
        <w:spacing w:after="0" w:line="62" w:lineRule="exact"/>
        <w:rPr>
          <w:sz w:val="20"/>
          <w:szCs w:val="20"/>
          <w:color w:val="auto"/>
        </w:rPr>
      </w:pPr>
    </w:p>
    <w:p>
      <w:pPr>
        <w:ind w:right="40" w:firstLine="987"/>
        <w:spacing w:after="0" w:line="277" w:lineRule="auto"/>
        <w:tabs>
          <w:tab w:leader="none" w:pos="1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 xml:space="preserve"> Each certificate or opinion with respect to compliance with a condition or covenant provided for in this Indenture (other than a certificate provided pursuant to TIA § 314(a)(4)) shall comply with the provisions of TIA § 314(e) and shall include:</w:t>
      </w:r>
    </w:p>
    <w:p>
      <w:pPr>
        <w:spacing w:after="0" w:line="76" w:lineRule="exact"/>
        <w:rPr>
          <w:sz w:val="20"/>
          <w:szCs w:val="20"/>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80" w:firstLine="987"/>
        <w:spacing w:after="0" w:line="277"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141" w:name="page142"/>
    <w:bookmarkEnd w:id="141"/>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 xml:space="preserve"> 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Legal Holidays</w:t>
      </w:r>
      <w:r>
        <w:rPr>
          <w:rFonts w:ascii="Arial" w:cs="Arial" w:eastAsia="Arial" w:hAnsi="Arial"/>
          <w:sz w:val="16"/>
          <w:szCs w:val="16"/>
          <w:color w:val="auto"/>
        </w:rPr>
        <w:t xml:space="preserve"> A “</w:t>
      </w:r>
      <w:r>
        <w:rPr>
          <w:rFonts w:ascii="Arial" w:cs="Arial" w:eastAsia="Arial" w:hAnsi="Arial"/>
          <w:sz w:val="16"/>
          <w:szCs w:val="16"/>
          <w:i w:val="1"/>
          <w:iCs w:val="1"/>
          <w:color w:val="auto"/>
        </w:rPr>
        <w:t>Legal Holiday</w:t>
      </w:r>
      <w:r>
        <w:rPr>
          <w:rFonts w:ascii="Arial" w:cs="Arial" w:eastAsia="Arial" w:hAnsi="Arial"/>
          <w:sz w:val="16"/>
          <w:szCs w:val="16"/>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24"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xml:space="preserve"> 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2" w:lineRule="exact"/>
        <w:rPr>
          <w:sz w:val="20"/>
          <w:szCs w:val="20"/>
          <w:color w:val="auto"/>
        </w:rPr>
      </w:pPr>
    </w:p>
    <w:p>
      <w:pPr>
        <w:ind w:right="240" w:firstLine="440"/>
        <w:spacing w:after="0" w:line="256"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 xml:space="preserve"> </w:t>
      </w:r>
      <w:r>
        <w:rPr>
          <w:rFonts w:ascii="Arial" w:cs="Arial" w:eastAsia="Arial" w:hAnsi="Arial"/>
          <w:sz w:val="18"/>
          <w:szCs w:val="18"/>
          <w:b w:val="1"/>
          <w:bCs w:val="1"/>
          <w:color w:val="auto"/>
        </w:rPr>
        <w:t>THIS INDENTURE AND THE SECURITIES, 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r>
        <w:rPr>
          <w:rFonts w:ascii="Arial" w:cs="Arial" w:eastAsia="Arial" w:hAnsi="Arial"/>
          <w:sz w:val="18"/>
          <w:szCs w:val="18"/>
          <w:color w:val="auto"/>
        </w:rPr>
        <w:t>.</w:t>
      </w:r>
    </w:p>
    <w:p>
      <w:pPr>
        <w:spacing w:after="0" w:line="19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42" w:name="page143"/>
    <w:bookmarkEnd w:id="142"/>
    <w:p>
      <w:pPr>
        <w:ind w:right="3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10.11 </w:t>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 xml:space="preserve"> This Indenture may not be used to interpret another indenture, loan or debt agreement of the Company or a Subsidiary of the Company. Any such indenture, loan or debt agreement may not be used to interpret this Indenture.</w:t>
      </w:r>
    </w:p>
    <w:p>
      <w:pPr>
        <w:spacing w:after="0" w:line="124"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 xml:space="preserve"> 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 xml:space="preserve"> 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84"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u w:val="single" w:color="auto"/>
          <w:color w:val="auto"/>
        </w:rPr>
        <w:t>Securities in a Foreign Currency</w:t>
      </w:r>
      <w:r>
        <w:rPr>
          <w:rFonts w:ascii="Arial" w:cs="Arial" w:eastAsia="Arial" w:hAnsi="Arial"/>
          <w:sz w:val="16"/>
          <w:szCs w:val="16"/>
          <w:color w:val="auto"/>
        </w:rPr>
        <w:t xml:space="preserve"> 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 xml:space="preserve">Section 10.16 </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7"/>
          <w:szCs w:val="17"/>
          <w:i w:val="1"/>
          <w:iCs w:val="1"/>
          <w:color w:val="auto"/>
        </w:rPr>
        <w:t>Required Currency</w:t>
      </w:r>
      <w:r>
        <w:rPr>
          <w:rFonts w:ascii="Arial" w:cs="Arial" w:eastAsia="Arial" w:hAnsi="Arial"/>
          <w:sz w:val="17"/>
          <w:szCs w:val="17"/>
          <w:color w:val="auto"/>
        </w:rPr>
        <w:t>”) into a currency in which a judgment will be rendered (the “</w:t>
      </w:r>
      <w:r>
        <w:rPr>
          <w:rFonts w:ascii="Arial" w:cs="Arial" w:eastAsia="Arial" w:hAnsi="Arial"/>
          <w:sz w:val="17"/>
          <w:szCs w:val="17"/>
          <w:i w:val="1"/>
          <w:iCs w:val="1"/>
          <w:color w:val="auto"/>
        </w:rPr>
        <w:t>Judgment Currency</w:t>
      </w:r>
      <w:r>
        <w:rPr>
          <w:rFonts w:ascii="Arial" w:cs="Arial" w:eastAsia="Arial" w:hAnsi="Arial"/>
          <w:sz w:val="17"/>
          <w:szCs w:val="17"/>
          <w:color w:val="auto"/>
        </w:rPr>
        <w:t>”), the rate of exchange used shall be the rate at which in accordance with normal banking procedures the Trustee could purchase in The City of New York the Required Currency with the Judgment Currency on the day on which final unappealable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43" w:name="page144"/>
    <w:bookmarkEnd w:id="14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168"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6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r>
        <w:rPr>
          <w:rFonts w:ascii="Arial" w:cs="Arial" w:eastAsia="Arial" w:hAnsi="Arial"/>
          <w:sz w:val="18"/>
          <w:szCs w:val="18"/>
          <w:color w:val="auto"/>
        </w:rPr>
        <w:t xml:space="preserve"> 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1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xml:space="preserve"> 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11.2. Each sinking fund payment shall be applied to the redemption of Securities of any Series as provided for by the terms of the Securities of such Series.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144" w:name="page145"/>
    <w:bookmarkEnd w:id="144"/>
    <w:p>
      <w:pPr>
        <w:ind w:left="4"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 </w:t>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 xml:space="preserve"> 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w:t>
      </w:r>
    </w:p>
    <w:p>
      <w:pPr>
        <w:spacing w:after="0" w:line="2" w:lineRule="exact"/>
        <w:rPr>
          <w:sz w:val="20"/>
          <w:szCs w:val="20"/>
          <w:color w:val="auto"/>
        </w:rPr>
      </w:pPr>
    </w:p>
    <w:p>
      <w:pPr>
        <w:ind w:left="4" w:hanging="4"/>
        <w:spacing w:after="0" w:line="285" w:lineRule="auto"/>
        <w:tabs>
          <w:tab w:leader="none" w:pos="25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9"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 xml:space="preserve"> 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34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PMV PHARMACEUTICALS,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9680"/>
          </w:cols>
          <w:pgMar w:left="1420" w:top="274" w:right="799" w:bottom="1440" w:gutter="0" w:footer="0" w:header="0"/>
        </w:sectPr>
      </w:pPr>
    </w:p>
    <w:bookmarkStart w:id="146" w:name="page147"/>
    <w:bookmarkEnd w:id="146"/>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200150" cy="522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1200150" cy="522605"/>
                    </a:xfrm>
                    <a:prstGeom prst="rect">
                      <a:avLst/>
                    </a:prstGeom>
                    <a:noFill/>
                  </pic:spPr>
                </pic:pic>
              </a:graphicData>
            </a:graphic>
          </wp:anchor>
        </w:drawing>
      </w:r>
    </w:p>
    <w:p>
      <w:pPr>
        <w:spacing w:after="0" w:line="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1301 Avenue of the Americas, 40th Floor</w:t>
      </w:r>
    </w:p>
    <w:p>
      <w:pPr>
        <w:spacing w:after="0" w:line="4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New York, NY 10019-6022</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O: 212.999.5800</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F: 212.999.5899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PMV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Clarke Dr., Suite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Cranbury, NJ 08512</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At your request, we have examined the Registration Statement on Form S-3 (the “Registration Statement”), filed by PMV Pharmaceuticals, Inc., a Delaware corporation (the “Company”), with the Securities and Exchange Commission (the “Commission”) in connection with the registration pursuant to the Securities Act of 1933, as amended (the “Act”), of the Company Securities (as defined below).</w:t>
      </w:r>
    </w:p>
    <w:p>
      <w:pPr>
        <w:spacing w:after="0" w:line="16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The Registration Statement relates to (i) the proposed issuance and sale by the Company, from time to time, pursuant to Rule 415 under the Act, as set forth in the Registration Statement, the base prospectus contained therein (the “Base Prospectus”) and the supplements to the prospectus referred to therein (each a “Prospectus Supplement”), of an indeterminate amount of (a) shares of the Company’s common stock, $0.00001 par value per share (the “Common Stock”), (b) shares of the Company’s preferred stock, $0.00001 par value per share (the “Preferred Stock”), (c) the Company’s debt securities (the “Debt Securities”), (d) warrants to purchase any of the securities described above (the “Warrants”), (e) subscription rights to purchase Common Stock, Preferred Stock, Debt Securities or Warrants or units consisting of some or all of these securities (the “Subscription Rights”), (f) purchase contracts of the Company with respect to the securities of the Company (the “Purchase Contracts”) and (g) units consisting of two or more securities described above in any combination (the “Units” and together with the Common Stock, the Preferred Stock, the Debt Securities, the Warrants, the Subscription Rights and the Purchase Contracts are collectively referred to herein as the “Company Securities”) and (ii) the offering by the Company of up to $150,000,000 of shares (the “Shares”) of Common Stock covered by the Registration Statement pursuant to the Base Prospectus and the prospectus supplement dated October 4, 2021 contained within the Registration Statement (the “ATM Prospectus”).</w:t>
      </w:r>
    </w:p>
    <w:p>
      <w:pPr>
        <w:spacing w:after="0" w:line="17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Company Securities are to be sold from time to time as set forth in the Registration Statement, the Base Prospectus contained therein and any applicable Prospectus Supplement.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Company Securities are to be sold pursuant to a purchase, underwriting or similar agreement in substantially the form to be filed</w:t>
      </w:r>
    </w:p>
    <w:p>
      <w:pPr>
        <w:spacing w:after="0" w:line="183" w:lineRule="exact"/>
        <w:rPr>
          <w:sz w:val="20"/>
          <w:szCs w:val="20"/>
          <w:color w:val="auto"/>
        </w:rPr>
      </w:pPr>
    </w:p>
    <w:p>
      <w:pPr>
        <w:jc w:val="center"/>
        <w:ind w:right="20"/>
        <w:spacing w:after="0"/>
        <w:tabs>
          <w:tab w:leader="none" w:pos="120" w:val="left"/>
          <w:tab w:leader="none" w:pos="120" w:val="left"/>
          <w:tab w:leader="none" w:pos="120" w:val="left"/>
          <w:tab w:leader="none" w:pos="120" w:val="left"/>
          <w:tab w:leader="none" w:pos="120" w:val="left"/>
          <w:tab w:leader="none" w:pos="120" w:val="left"/>
          <w:tab w:leader="none" w:pos="120" w:val="left"/>
          <w:tab w:leader="none" w:pos="120" w:val="left"/>
        </w:tabs>
        <w:rPr>
          <w:sz w:val="20"/>
          <w:szCs w:val="20"/>
          <w:color w:val="auto"/>
        </w:rPr>
      </w:pPr>
      <w:r>
        <w:rPr>
          <w:rFonts w:ascii="Arial" w:cs="Arial" w:eastAsia="Arial" w:hAnsi="Arial"/>
          <w:sz w:val="14"/>
          <w:szCs w:val="14"/>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3"/>
          <w:szCs w:val="13"/>
          <w:color w:val="auto"/>
        </w:rPr>
        <w:t>PALO ALTO</w:t>
      </w:r>
    </w:p>
    <w:p>
      <w:pPr>
        <w:jc w:val="center"/>
        <w:spacing w:after="0"/>
        <w:tabs>
          <w:tab w:leader="none" w:pos="140" w:val="left"/>
          <w:tab w:leader="none" w:pos="120" w:val="left"/>
          <w:tab w:leader="none" w:pos="120" w:val="left"/>
          <w:tab w:leader="none" w:pos="140" w:val="left"/>
          <w:tab w:leader="none" w:pos="120" w:val="left"/>
        </w:tabs>
        <w:rPr>
          <w:sz w:val="20"/>
          <w:szCs w:val="20"/>
          <w:color w:val="auto"/>
        </w:rPr>
      </w:pPr>
      <w:r>
        <w:rPr>
          <w:rFonts w:ascii="Arial" w:cs="Arial" w:eastAsia="Arial" w:hAnsi="Arial"/>
          <w:sz w:val="14"/>
          <w:szCs w:val="14"/>
          <w:color w:val="auto"/>
        </w:rPr>
        <w:t>SAN DIEGO</w:t>
        <w:tab/>
        <w:t>SAN FRANCISCO</w:t>
        <w:tab/>
        <w:t>SEATTLE</w:t>
        <w:tab/>
        <w:t>SHANGHAI</w:t>
        <w:tab/>
        <w:t>WASHINGTON, DC</w:t>
        <w:tab/>
        <w:t>WILMINGTON, DE</w:t>
      </w:r>
    </w:p>
    <w:p>
      <w:pPr>
        <w:sectPr>
          <w:pgSz w:w="11900" w:h="16838" w:orient="portrait"/>
          <w:cols w:equalWidth="0" w:num="1">
            <w:col w:w="11020"/>
          </w:cols>
          <w:pgMar w:left="440" w:top="121" w:right="439" w:bottom="1440" w:gutter="0" w:footer="0" w:header="0"/>
        </w:sectPr>
      </w:pPr>
    </w:p>
    <w:bookmarkStart w:id="147" w:name="page148"/>
    <w:bookmarkEnd w:id="14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08330" cy="300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608330" cy="300355"/>
                    </a:xfrm>
                    <a:prstGeom prst="rect">
                      <a:avLst/>
                    </a:prstGeom>
                    <a:noFill/>
                  </pic:spPr>
                </pic:pic>
              </a:graphicData>
            </a:graphic>
          </wp:anchor>
        </w:drawing>
        <w:t>PMV 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under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 The offering and sale of the Shares are being made pursuant to the common stock sales agreement (the “Sales Agreement”), dated as of October 4, 2021, by and between the Company and Jefferies LLC (the “Sales Agent”).</w:t>
      </w:r>
    </w:p>
    <w:p>
      <w:pPr>
        <w:spacing w:after="0" w:line="171"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With respect to the Shares, we have examined copies of the Sales Agreement, the Registration Statement, and the ATM Prospectus. We have also examined instruments, documents and records which we deemed relevant and necessary for the basis of our opinion hereinafter expressed. In such examination, we have assumed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176"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With respect to the filing of the Registration Statement, 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w:t>
      </w:r>
    </w:p>
    <w:p>
      <w:pPr>
        <w:spacing w:after="0" w:line="1" w:lineRule="exact"/>
        <w:rPr>
          <w:sz w:val="20"/>
          <w:szCs w:val="20"/>
          <w:color w:val="auto"/>
        </w:rPr>
      </w:pPr>
    </w:p>
    <w:p>
      <w:pPr>
        <w:ind w:left="264" w:hanging="264"/>
        <w:spacing w:after="0"/>
        <w:tabs>
          <w:tab w:leader="none" w:pos="26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that the Registration Statement, and any amendments thereto (including post-effective amendments), will have become effective under the Act;</w:t>
      </w:r>
    </w:p>
    <w:p>
      <w:pPr>
        <w:spacing w:after="0" w:line="32" w:lineRule="exact"/>
        <w:rPr>
          <w:rFonts w:ascii="Arial" w:cs="Arial" w:eastAsia="Arial" w:hAnsi="Arial"/>
          <w:sz w:val="16"/>
          <w:szCs w:val="16"/>
          <w:color w:val="auto"/>
        </w:rPr>
      </w:pPr>
    </w:p>
    <w:p>
      <w:pPr>
        <w:ind w:left="4" w:right="160" w:hanging="4"/>
        <w:spacing w:after="0" w:line="268" w:lineRule="auto"/>
        <w:tabs>
          <w:tab w:leader="none" w:pos="24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that a Prospectus Supplement will have been filed with the Commission describing the Company Securities offered thereby; (f) that the Company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Company Securities offered will have been duly authorized and validly executed and delivered by the Company and the other parties thereto; (h) that any Company Securities issuable upon conversion, exchange, redemption or exercise of any Company Securities being offered will be duly authorized, created and, if appropriate, reserved for issuance upon such conversion, exchange, redemption or exercise; (i) with respect to shares of Common Stock or Preferred Stock offered by the Company,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Based on such examination, we are of the opinion that:</w:t>
      </w:r>
    </w:p>
    <w:p>
      <w:pPr>
        <w:spacing w:after="0" w:line="117" w:lineRule="exact"/>
        <w:rPr>
          <w:sz w:val="20"/>
          <w:szCs w:val="20"/>
          <w:color w:val="auto"/>
        </w:rPr>
      </w:pPr>
    </w:p>
    <w:p>
      <w:pPr>
        <w:ind w:left="4" w:firstLine="436"/>
        <w:spacing w:after="0" w:line="277" w:lineRule="auto"/>
        <w:tabs>
          <w:tab w:leader="none" w:pos="6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Shares have been duly authorized by the Company and, when issued and delivered by the Company against payment therefor in accordance with the terms of the Sales Agreement, will be validly issued, fully paid and nonassessable.</w:t>
      </w:r>
    </w:p>
    <w:p>
      <w:pPr>
        <w:sectPr>
          <w:pgSz w:w="11900" w:h="16838" w:orient="portrait"/>
          <w:cols w:equalWidth="0" w:num="1">
            <w:col w:w="11004"/>
          </w:cols>
          <w:pgMar w:left="436" w:top="854" w:right="459" w:bottom="1440" w:gutter="0" w:footer="0" w:header="0"/>
        </w:sectPr>
      </w:pPr>
    </w:p>
    <w:bookmarkStart w:id="148" w:name="page149"/>
    <w:bookmarkEnd w:id="14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08330" cy="300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608330" cy="300355"/>
                    </a:xfrm>
                    <a:prstGeom prst="rect">
                      <a:avLst/>
                    </a:prstGeom>
                    <a:noFill/>
                  </pic:spPr>
                </pic:pic>
              </a:graphicData>
            </a:graphic>
          </wp:anchor>
        </w:drawing>
        <w:t>PMV Pharmaceuticals,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right="20" w:firstLine="436"/>
        <w:spacing w:after="0" w:line="290" w:lineRule="auto"/>
        <w:tabs>
          <w:tab w:leader="none" w:pos="624" w:val="left"/>
        </w:tabs>
        <w:numPr>
          <w:ilvl w:val="1"/>
          <w:numId w:val="130"/>
        </w:numPr>
        <w:rPr>
          <w:rFonts w:ascii="Arial" w:cs="Arial" w:eastAsia="Arial" w:hAnsi="Arial"/>
          <w:sz w:val="16"/>
          <w:szCs w:val="16"/>
          <w:color w:val="auto"/>
        </w:rPr>
      </w:pPr>
      <w:r>
        <w:rPr>
          <w:rFonts w:ascii="Arial" w:cs="Arial" w:eastAsia="Arial" w:hAnsi="Arial"/>
          <w:sz w:val="16"/>
          <w:szCs w:val="16"/>
          <w:color w:val="auto"/>
        </w:rPr>
        <w:t>With respect to the shares of Common Stock to be sold by the Company, when: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Company Security, in accordance with the terms of such Company Security or the instrument governing such Company Security providing for such conversion or exercise as approved by the Board, for the consideration approved by the Board, then the shares of Common Stock will be validly issued, fully paid and nonassessable.</w:t>
      </w:r>
    </w:p>
    <w:p>
      <w:pPr>
        <w:spacing w:after="0" w:line="57" w:lineRule="exact"/>
        <w:rPr>
          <w:rFonts w:ascii="Arial" w:cs="Arial" w:eastAsia="Arial" w:hAnsi="Arial"/>
          <w:sz w:val="16"/>
          <w:szCs w:val="16"/>
          <w:color w:val="auto"/>
        </w:rPr>
      </w:pPr>
    </w:p>
    <w:p>
      <w:pPr>
        <w:ind w:left="4" w:right="240" w:firstLine="436"/>
        <w:spacing w:after="0" w:line="286" w:lineRule="auto"/>
        <w:tabs>
          <w:tab w:leader="none" w:pos="624" w:val="left"/>
        </w:tabs>
        <w:numPr>
          <w:ilvl w:val="1"/>
          <w:numId w:val="130"/>
        </w:numPr>
        <w:rPr>
          <w:rFonts w:ascii="Arial" w:cs="Arial" w:eastAsia="Arial" w:hAnsi="Arial"/>
          <w:sz w:val="16"/>
          <w:szCs w:val="16"/>
          <w:color w:val="auto"/>
        </w:rPr>
      </w:pPr>
      <w:r>
        <w:rPr>
          <w:rFonts w:ascii="Arial" w:cs="Arial" w:eastAsia="Arial" w:hAnsi="Arial"/>
          <w:sz w:val="16"/>
          <w:szCs w:val="16"/>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spacing w:after="0" w:line="1" w:lineRule="exact"/>
        <w:rPr>
          <w:rFonts w:ascii="Arial" w:cs="Arial" w:eastAsia="Arial" w:hAnsi="Arial"/>
          <w:sz w:val="16"/>
          <w:szCs w:val="16"/>
          <w:color w:val="auto"/>
        </w:rPr>
      </w:pPr>
    </w:p>
    <w:p>
      <w:pPr>
        <w:ind w:left="4" w:right="100" w:hanging="4"/>
        <w:spacing w:after="0" w:line="281" w:lineRule="auto"/>
        <w:tabs>
          <w:tab w:leader="none" w:pos="21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spacing w:after="0" w:line="1" w:lineRule="exact"/>
        <w:rPr>
          <w:rFonts w:ascii="Arial" w:cs="Arial" w:eastAsia="Arial" w:hAnsi="Arial"/>
          <w:sz w:val="16"/>
          <w:szCs w:val="16"/>
          <w:color w:val="auto"/>
        </w:rPr>
      </w:pPr>
    </w:p>
    <w:p>
      <w:pPr>
        <w:ind w:left="4" w:right="260" w:hanging="4"/>
        <w:spacing w:after="0" w:line="255" w:lineRule="auto"/>
        <w:tabs>
          <w:tab w:leader="none" w:pos="26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conversion or exercise of any other Company Security, in accordance with the terms of such Company Security or the instrument governing such Company Security providing for such conversion or exercise as approved by the Board, for the consideration approved by the Board, then the shares of Preferred Stock will be validly issued, fully paid and nonassessable.</w:t>
      </w:r>
    </w:p>
    <w:p>
      <w:pPr>
        <w:spacing w:after="0" w:line="81" w:lineRule="exact"/>
        <w:rPr>
          <w:rFonts w:ascii="Arial" w:cs="Arial" w:eastAsia="Arial" w:hAnsi="Arial"/>
          <w:sz w:val="18"/>
          <w:szCs w:val="18"/>
          <w:color w:val="auto"/>
        </w:rPr>
      </w:pPr>
    </w:p>
    <w:p>
      <w:pPr>
        <w:ind w:left="4" w:right="20" w:firstLine="436"/>
        <w:spacing w:after="0" w:line="270" w:lineRule="auto"/>
        <w:tabs>
          <w:tab w:leader="none" w:pos="62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72" w:lineRule="exact"/>
        <w:rPr>
          <w:rFonts w:ascii="Arial" w:cs="Arial" w:eastAsia="Arial" w:hAnsi="Arial"/>
          <w:sz w:val="17"/>
          <w:szCs w:val="17"/>
          <w:color w:val="auto"/>
        </w:rPr>
      </w:pPr>
    </w:p>
    <w:p>
      <w:pPr>
        <w:ind w:left="4" w:firstLine="436"/>
        <w:spacing w:after="0" w:line="275" w:lineRule="auto"/>
        <w:tabs>
          <w:tab w:leader="none" w:pos="62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ectPr>
          <w:pgSz w:w="11900" w:h="16838" w:orient="portrait"/>
          <w:cols w:equalWidth="0" w:num="1">
            <w:col w:w="11004"/>
          </w:cols>
          <w:pgMar w:left="436" w:top="854"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08330" cy="300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608330" cy="300355"/>
                    </a:xfrm>
                    <a:prstGeom prst="rect">
                      <a:avLst/>
                    </a:prstGeom>
                    <a:noFill/>
                  </pic:spPr>
                </pic:pic>
              </a:graphicData>
            </a:graphic>
          </wp:anchor>
        </w:drawing>
        <w:t>PMV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40" w:firstLine="436"/>
        <w:spacing w:after="0" w:line="257" w:lineRule="auto"/>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79" w:lineRule="exact"/>
        <w:rPr>
          <w:rFonts w:ascii="Arial" w:cs="Arial" w:eastAsia="Arial" w:hAnsi="Arial"/>
          <w:sz w:val="18"/>
          <w:szCs w:val="18"/>
          <w:color w:val="auto"/>
        </w:rPr>
      </w:pPr>
    </w:p>
    <w:p>
      <w:pPr>
        <w:ind w:right="100" w:firstLine="436"/>
        <w:spacing w:after="0" w:line="259" w:lineRule="auto"/>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78" w:lineRule="exact"/>
        <w:rPr>
          <w:rFonts w:ascii="Arial" w:cs="Arial" w:eastAsia="Arial" w:hAnsi="Arial"/>
          <w:sz w:val="18"/>
          <w:szCs w:val="18"/>
          <w:color w:val="auto"/>
        </w:rPr>
      </w:pPr>
    </w:p>
    <w:p>
      <w:pPr>
        <w:ind w:firstLine="436"/>
        <w:spacing w:after="0" w:line="293" w:lineRule="auto"/>
        <w:tabs>
          <w:tab w:leader="none" w:pos="6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With respect to the Units, when: (a) the Board has taken all necessary corporate action to approve the issuance and terms of the Units (including any Company Securities underlying the Units) and related matters; and (b) the Units (including any Company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Company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117" w:lineRule="exact"/>
        <w:rPr>
          <w:sz w:val="20"/>
          <w:szCs w:val="20"/>
          <w:color w:val="auto"/>
        </w:rPr>
      </w:pPr>
    </w:p>
    <w:p>
      <w:pPr>
        <w:ind w:right="420" w:firstLine="987"/>
        <w:spacing w:after="0" w:line="277" w:lineRule="auto"/>
        <w:tabs>
          <w:tab w:leader="none" w:pos="12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transfer, moratorium or other similar laws relating to or affecting the rights of creditors generally;</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117" w:lineRule="exact"/>
        <w:rPr>
          <w:rFonts w:ascii="Arial" w:cs="Arial" w:eastAsia="Arial" w:hAnsi="Arial"/>
          <w:sz w:val="18"/>
          <w:szCs w:val="18"/>
          <w:color w:val="auto"/>
        </w:rPr>
      </w:pPr>
    </w:p>
    <w:p>
      <w:pPr>
        <w:ind w:right="520" w:firstLine="987"/>
        <w:spacing w:after="0" w:line="342" w:lineRule="auto"/>
        <w:tabs>
          <w:tab w:leader="none" w:pos="123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24"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We express no opinion as to the laws of any other jurisdiction, other than the federal laws of the United States of America, the laws of the State of New York as to the enforceability of the Debt Securities, the Warrants, the Subscription Rights, the Purchase Contracts and the Units, and the DGCL.</w:t>
      </w:r>
    </w:p>
    <w:p>
      <w:pPr>
        <w:sectPr>
          <w:pgSz w:w="11900" w:h="16838" w:orient="portrait"/>
          <w:cols w:equalWidth="0" w:num="1">
            <w:col w:w="11000"/>
          </w:cols>
          <w:pgMar w:left="440" w:top="854" w:right="4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08330" cy="300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608330" cy="300355"/>
                    </a:xfrm>
                    <a:prstGeom prst="rect">
                      <a:avLst/>
                    </a:prstGeom>
                    <a:noFill/>
                  </pic:spPr>
                </pic:pic>
              </a:graphicData>
            </a:graphic>
          </wp:anchor>
        </w:drawing>
        <w:t>PMV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hereby consent to the filing of this opinion as an exhibit to the above-referenced Registration Statement and to the use of our name wherever it appears in the Registration Statement, the Base Prospectus, the ATM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0980"/>
          </w:cols>
          <w:pgMar w:left="440" w:top="854" w:right="47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consent to the reference of our firm under the caption “Experts” in the Registration Statement (Form S-3) and related Prospectus of PMV Pharmaceuticals, Inc. for the registration of common stock, preferred stock, debt securities, depositary shares, warrants, subscription rights, purchase contracts and other units and to the incorporation by reference therein of our report dated March 3, 2021, with respect to the financial statements of PMV Pharmaceuticals, Inc., included in its Annual Report (Form 10-K) for the year ended December 31, 2020,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4,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1)"/>
      <w:numFmt w:val="decimal"/>
      <w:start w:val="609"/>
    </w:lvl>
  </w:abstractNum>
  <w:abstractNum w:abstractNumId="28">
    <w:nsid w:val="60B6DF70"/>
    <w:multiLevelType w:val="hybridMultilevel"/>
    <w:lvl w:ilvl="0">
      <w:lvlJc w:val="left"/>
      <w:lvlText w:val="(%1)"/>
      <w:numFmt w:val="decimal"/>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7FFFCA11"/>
    <w:multiLevelType w:val="hybridMultilevel"/>
    <w:lvl w:ilvl="0">
      <w:lvlJc w:val="left"/>
      <w:lvlText w:val="(%1)"/>
      <w:numFmt w:val="decimal"/>
      <w:start w:val="2"/>
    </w:lvl>
    <w:lvl w:ilvl="1">
      <w:lvlJc w:val="left"/>
      <w:lvlText w:val="(%2)"/>
      <w:numFmt w:val="lowerRoman"/>
      <w:start w:val="1"/>
    </w:lvl>
  </w:abstractNum>
  <w:abstractNum w:abstractNumId="32">
    <w:nsid w:val="1A27709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71EA1109"/>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4">
    <w:nsid w:val="100F59D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5">
    <w:nsid w:val="7FB7E0AA"/>
    <w:multiLevelType w:val="hybridMultilevel"/>
    <w:lvl w:ilvl="0">
      <w:lvlJc w:val="left"/>
      <w:lvlText w:val="(%1)"/>
      <w:numFmt w:val="lowerLetter"/>
      <w:start w:val="1"/>
    </w:lvl>
  </w:abstractNum>
  <w:abstractNum w:abstractNumId="36">
    <w:nsid w:val="6EB5BD4"/>
    <w:multiLevelType w:val="hybridMultilevel"/>
    <w:lvl w:ilvl="0">
      <w:lvlJc w:val="left"/>
      <w:lvlText w:val="(%1)"/>
      <w:numFmt w:val="decimal"/>
      <w:start w:val="3"/>
    </w:lvl>
    <w:lvl w:ilvl="1">
      <w:lvlJc w:val="left"/>
      <w:lvlText w:val="(%2)"/>
      <w:numFmt w:val="lowerLetter"/>
      <w:start w:val="1"/>
    </w:lvl>
  </w:abstractNum>
  <w:abstractNum w:abstractNumId="37">
    <w:nsid w:val="6F6DD9AC"/>
    <w:multiLevelType w:val="hybridMultilevel"/>
    <w:lvl w:ilvl="0">
      <w:lvlJc w:val="left"/>
      <w:lvlText w:val="(%1)"/>
      <w:numFmt w:val="lowerLetter"/>
      <w:start w:val="2"/>
    </w:lvl>
  </w:abstractNum>
  <w:abstractNum w:abstractNumId="38">
    <w:nsid w:val="94211F2"/>
    <w:multiLevelType w:val="hybridMultilevel"/>
    <w:lvl w:ilvl="0">
      <w:lvlJc w:val="left"/>
      <w:lvlText w:val="(%1)"/>
      <w:numFmt w:val="lowerLetter"/>
      <w:start w:val="3"/>
    </w:lvl>
  </w:abstractNum>
  <w:abstractNum w:abstractNumId="39">
    <w:nsid w:val="885E1B"/>
    <w:multiLevelType w:val="hybridMultilevel"/>
    <w:lvl w:ilvl="0">
      <w:lvlJc w:val="left"/>
      <w:lvlText w:val="(%1)"/>
      <w:numFmt w:val="lowerLetter"/>
      <w:start w:val="7"/>
    </w:lvl>
  </w:abstractNum>
  <w:abstractNum w:abstractNumId="40">
    <w:nsid w:val="76272110"/>
    <w:multiLevelType w:val="hybridMultilevel"/>
    <w:lvl w:ilvl="0">
      <w:lvlJc w:val="left"/>
      <w:lvlText w:val="(%1)"/>
      <w:numFmt w:val="lowerLetter"/>
      <w:start w:val="12"/>
    </w:lvl>
  </w:abstractNum>
  <w:abstractNum w:abstractNumId="41">
    <w:nsid w:val="4C04A8AF"/>
    <w:multiLevelType w:val="hybridMultilevel"/>
    <w:lvl w:ilvl="0">
      <w:lvlJc w:val="left"/>
      <w:lvlText w:val="(%1)"/>
      <w:numFmt w:val="lowerLetter"/>
      <w:start w:val="14"/>
    </w:lvl>
  </w:abstractNum>
  <w:abstractNum w:abstractNumId="42">
    <w:nsid w:val="1716703B"/>
    <w:multiLevelType w:val="hybridMultilevel"/>
    <w:lvl w:ilvl="0">
      <w:lvlJc w:val="left"/>
      <w:lvlText w:val="(%1)"/>
      <w:numFmt w:val="lowerLetter"/>
      <w:start w:val="17"/>
    </w:lvl>
  </w:abstractNum>
  <w:abstractNum w:abstractNumId="43">
    <w:nsid w:val="14E17E33"/>
    <w:multiLevelType w:val="hybridMultilevel"/>
    <w:lvl w:ilvl="0">
      <w:lvlJc w:val="left"/>
      <w:lvlText w:val="%1"/>
      <w:numFmt w:val="lowerLetter"/>
      <w:start w:val="1"/>
    </w:lvl>
    <w:lvl w:ilvl="1">
      <w:lvlJc w:val="left"/>
      <w:lvlText w:val="(%2)"/>
      <w:numFmt w:val="lowerLetter"/>
      <w:start w:val="20"/>
    </w:lvl>
  </w:abstractNum>
  <w:abstractNum w:abstractNumId="44">
    <w:nsid w:val="3222E7CD"/>
    <w:multiLevelType w:val="hybridMultilevel"/>
    <w:lvl w:ilvl="0">
      <w:lvlJc w:val="left"/>
      <w:lvlText w:val="(%1)"/>
      <w:numFmt w:val="lowerLetter"/>
      <w:start w:val="35"/>
    </w:lvl>
    <w:lvl w:ilvl="1">
      <w:lvlJc w:val="left"/>
      <w:lvlText w:val="%2"/>
      <w:numFmt w:val="lowerLetter"/>
      <w:start w:val="1"/>
    </w:lvl>
  </w:abstractNum>
  <w:abstractNum w:abstractNumId="45">
    <w:nsid w:val="74DE0EE3"/>
    <w:multiLevelType w:val="hybridMultilevel"/>
    <w:lvl w:ilvl="0">
      <w:lvlJc w:val="left"/>
      <w:lvlText w:val="(%1)"/>
      <w:numFmt w:val="lowerLetter"/>
      <w:start w:val="22"/>
    </w:lvl>
  </w:abstractNum>
  <w:abstractNum w:abstractNumId="46">
    <w:nsid w:val="68EBC550"/>
    <w:multiLevelType w:val="hybridMultilevel"/>
    <w:lvl w:ilvl="0">
      <w:lvlJc w:val="left"/>
      <w:lvlText w:val="(%1)"/>
      <w:numFmt w:val="lowerLetter"/>
      <w:start w:val="25"/>
    </w:lvl>
  </w:abstractNum>
  <w:abstractNum w:abstractNumId="47">
    <w:nsid w:val="2DF6D648"/>
    <w:multiLevelType w:val="hybridMultilevel"/>
    <w:lvl w:ilvl="0">
      <w:lvlJc w:val="left"/>
      <w:lvlText w:val="(%1)"/>
      <w:numFmt w:val="lowerLetter"/>
      <w:start w:val="27"/>
    </w:lvl>
  </w:abstractNum>
  <w:abstractNum w:abstractNumId="48">
    <w:nsid w:val="46B7D447"/>
    <w:multiLevelType w:val="hybridMultilevel"/>
    <w:lvl w:ilvl="0">
      <w:lvlJc w:val="left"/>
      <w:lvlText w:val="%1"/>
      <w:numFmt w:val="lowerLetter"/>
      <w:start w:val="1"/>
    </w:lvl>
    <w:lvl w:ilvl="1">
      <w:lvlJc w:val="left"/>
      <w:lvlText w:val="(%2)"/>
      <w:numFmt w:val="lowerLetter"/>
      <w:start w:val="32"/>
    </w:lvl>
  </w:abstractNum>
  <w:abstractNum w:abstractNumId="49">
    <w:nsid w:val="4A2AC315"/>
    <w:multiLevelType w:val="hybridMultilevel"/>
    <w:lvl w:ilvl="0">
      <w:lvlJc w:val="left"/>
      <w:lvlText w:val="(%1)"/>
      <w:numFmt w:val="lowerLetter"/>
      <w:start w:val="25"/>
    </w:lvl>
    <w:lvl w:ilvl="1">
      <w:lvlJc w:val="left"/>
      <w:lvlText w:val="(%2)"/>
      <w:numFmt w:val="lowerLetter"/>
      <w:start w:val="33"/>
    </w:lvl>
  </w:abstractNum>
  <w:abstractNum w:abstractNumId="50">
    <w:nsid w:val="39EE015C"/>
    <w:multiLevelType w:val="hybridMultilevel"/>
    <w:lvl w:ilvl="0">
      <w:lvlJc w:val="left"/>
      <w:lvlText w:val="(%1)"/>
      <w:numFmt w:val="lowerRoman"/>
      <w:start w:val="1"/>
    </w:lvl>
  </w:abstractNum>
  <w:abstractNum w:abstractNumId="51">
    <w:nsid w:val="57FC4FBB"/>
    <w:multiLevelType w:val="hybridMultilevel"/>
    <w:lvl w:ilvl="0">
      <w:lvlJc w:val="left"/>
      <w:lvlText w:val="(%1)"/>
      <w:numFmt w:val="lowerLetter"/>
      <w:start w:val="35"/>
    </w:lvl>
  </w:abstractNum>
  <w:abstractNum w:abstractNumId="52">
    <w:nsid w:val="CC1016F"/>
    <w:multiLevelType w:val="hybridMultilevel"/>
    <w:lvl w:ilvl="0">
      <w:lvlJc w:val="left"/>
      <w:lvlText w:val="(%1)"/>
      <w:numFmt w:val="lowerLetter"/>
      <w:start w:val="41"/>
    </w:lvl>
  </w:abstractNum>
  <w:abstractNum w:abstractNumId="53">
    <w:nsid w:val="43F18422"/>
    <w:multiLevelType w:val="hybridMultilevel"/>
    <w:lvl w:ilvl="0">
      <w:lvlJc w:val="left"/>
      <w:lvlText w:val="(%1)"/>
      <w:numFmt w:val="lowerLetter"/>
      <w:start w:val="42"/>
    </w:lvl>
  </w:abstractNum>
  <w:abstractNum w:abstractNumId="54">
    <w:nsid w:val="60EF0119"/>
    <w:multiLevelType w:val="hybridMultilevel"/>
    <w:lvl w:ilvl="0">
      <w:lvlJc w:val="left"/>
      <w:lvlText w:val="(%1)"/>
      <w:numFmt w:val="lowerLetter"/>
      <w:start w:val="46"/>
    </w:lvl>
  </w:abstractNum>
  <w:abstractNum w:abstractNumId="55">
    <w:nsid w:val="26F324BA"/>
    <w:multiLevelType w:val="hybridMultilevel"/>
    <w:lvl w:ilvl="0">
      <w:lvlJc w:val="left"/>
      <w:lvlText w:val="(%1)"/>
      <w:numFmt w:val="lowerLetter"/>
      <w:start w:val="48"/>
    </w:lvl>
  </w:abstractNum>
  <w:abstractNum w:abstractNumId="56">
    <w:nsid w:val="7F01579B"/>
    <w:multiLevelType w:val="hybridMultilevel"/>
    <w:lvl w:ilvl="0">
      <w:lvlJc w:val="left"/>
      <w:lvlText w:val="(%1)"/>
      <w:numFmt w:val="lowerLetter"/>
      <w:start w:val="1"/>
    </w:lvl>
  </w:abstractNum>
  <w:abstractNum w:abstractNumId="57">
    <w:nsid w:val="49DA307D"/>
    <w:multiLevelType w:val="hybridMultilevel"/>
    <w:lvl w:ilvl="0">
      <w:lvlJc w:val="left"/>
      <w:lvlText w:val="(%1)"/>
      <w:numFmt w:val="lowerRoman"/>
      <w:start w:val="1"/>
    </w:lvl>
  </w:abstractNum>
  <w:abstractNum w:abstractNumId="58">
    <w:nsid w:val="7055A5F5"/>
    <w:multiLevelType w:val="hybridMultilevel"/>
    <w:lvl w:ilvl="0">
      <w:lvlJc w:val="left"/>
      <w:lvlText w:val="%1"/>
      <w:numFmt w:val="upperLetter"/>
      <w:start w:val="1"/>
    </w:lvl>
    <w:lvl w:ilvl="1">
      <w:lvlJc w:val="left"/>
      <w:lvlText w:val="(%2)"/>
      <w:numFmt w:val="lowerRoman"/>
      <w:start w:val="2"/>
    </w:lvl>
  </w:abstractNum>
  <w:abstractNum w:abstractNumId="59">
    <w:nsid w:val="5FB8370B"/>
    <w:multiLevelType w:val="hybridMultilevel"/>
    <w:lvl w:ilvl="0">
      <w:lvlJc w:val="left"/>
      <w:lvlText w:val="(%1)"/>
      <w:numFmt w:val="upperLetter"/>
      <w:start w:val="2"/>
    </w:lvl>
    <w:lvl w:ilvl="1">
      <w:lvlJc w:val="left"/>
      <w:lvlText w:val="(%2)"/>
      <w:numFmt w:val="lowerRoman"/>
      <w:start w:val="4"/>
    </w:lvl>
  </w:abstractNum>
  <w:abstractNum w:abstractNumId="60">
    <w:nsid w:val="50801EE1"/>
    <w:multiLevelType w:val="hybridMultilevel"/>
    <w:lvl w:ilvl="0">
      <w:lvlJc w:val="left"/>
      <w:lvlText w:val="(%1)"/>
      <w:numFmt w:val="lowerRoman"/>
      <w:start w:val="6"/>
    </w:lvl>
  </w:abstractNum>
  <w:abstractNum w:abstractNumId="61">
    <w:nsid w:val="488AC1A"/>
    <w:multiLevelType w:val="hybridMultilevel"/>
    <w:lvl w:ilvl="0">
      <w:lvlJc w:val="left"/>
      <w:lvlText w:val="(%1)"/>
      <w:numFmt w:val="lowerLetter"/>
      <w:start w:val="3"/>
    </w:lvl>
  </w:abstractNum>
  <w:abstractNum w:abstractNumId="62">
    <w:nsid w:val="5FB8011C"/>
    <w:multiLevelType w:val="hybridMultilevel"/>
    <w:lvl w:ilvl="0">
      <w:lvlJc w:val="left"/>
      <w:lvlText w:val="(%1)"/>
      <w:numFmt w:val="lowerRoman"/>
      <w:start w:val="9"/>
    </w:lvl>
  </w:abstractNum>
  <w:abstractNum w:abstractNumId="63">
    <w:nsid w:val="6AA78F7F"/>
    <w:multiLevelType w:val="hybridMultilevel"/>
    <w:lvl w:ilvl="0">
      <w:lvlJc w:val="left"/>
      <w:lvlText w:val="(%1)"/>
      <w:numFmt w:val="lowerLetter"/>
      <w:start w:val="1"/>
    </w:lvl>
  </w:abstractNum>
  <w:abstractNum w:abstractNumId="64">
    <w:nsid w:val="7672BD23"/>
    <w:multiLevelType w:val="hybridMultilevel"/>
    <w:lvl w:ilvl="0">
      <w:lvlJc w:val="left"/>
      <w:lvlText w:val="(%1)"/>
      <w:numFmt w:val="lowerLetter"/>
      <w:start w:val="3"/>
    </w:lvl>
  </w:abstractNum>
  <w:abstractNum w:abstractNumId="65">
    <w:nsid w:val="6FC75AF8"/>
    <w:multiLevelType w:val="hybridMultilevel"/>
    <w:lvl w:ilvl="0">
      <w:lvlJc w:val="left"/>
      <w:lvlText w:val="(%1)"/>
      <w:numFmt w:val="lowerLetter"/>
      <w:start w:val="7"/>
    </w:lvl>
  </w:abstractNum>
  <w:abstractNum w:abstractNumId="66">
    <w:nsid w:val="6A5F7029"/>
    <w:multiLevelType w:val="hybridMultilevel"/>
    <w:lvl w:ilvl="0">
      <w:lvlJc w:val="left"/>
      <w:lvlText w:val="(%1)"/>
      <w:numFmt w:val="lowerLetter"/>
      <w:start w:val="9"/>
    </w:lvl>
  </w:abstractNum>
  <w:abstractNum w:abstractNumId="67">
    <w:nsid w:val="7D5E18F8"/>
    <w:multiLevelType w:val="hybridMultilevel"/>
    <w:lvl w:ilvl="0">
      <w:lvlJc w:val="left"/>
      <w:lvlText w:val="(%1)"/>
      <w:numFmt w:val="lowerLetter"/>
      <w:start w:val="15"/>
    </w:lvl>
    <w:lvl w:ilvl="1">
      <w:lvlJc w:val="left"/>
      <w:lvlText w:val="(%2)"/>
      <w:numFmt w:val="upperLetter"/>
      <w:start w:val="1"/>
    </w:lvl>
  </w:abstractNum>
  <w:abstractNum w:abstractNumId="68">
    <w:nsid w:val="5F3534A4"/>
    <w:multiLevelType w:val="hybridMultilevel"/>
    <w:lvl w:ilvl="0">
      <w:lvlJc w:val="left"/>
      <w:lvlText w:val="(%1)"/>
      <w:numFmt w:val="upperLetter"/>
      <w:start w:val="3"/>
    </w:lvl>
  </w:abstractNum>
  <w:abstractNum w:abstractNumId="69">
    <w:nsid w:val="73A1821B"/>
    <w:multiLevelType w:val="hybridMultilevel"/>
    <w:lvl w:ilvl="0">
      <w:lvlJc w:val="left"/>
      <w:lvlText w:val="(%1)"/>
      <w:numFmt w:val="lowerLetter"/>
      <w:start w:val="16"/>
    </w:lvl>
  </w:abstractNum>
  <w:abstractNum w:abstractNumId="70">
    <w:nsid w:val="7DE67713"/>
    <w:multiLevelType w:val="hybridMultilevel"/>
    <w:lvl w:ilvl="0">
      <w:lvlJc w:val="left"/>
      <w:lvlText w:val="(%1)"/>
      <w:numFmt w:val="lowerLetter"/>
      <w:start w:val="19"/>
    </w:lvl>
  </w:abstractNum>
  <w:abstractNum w:abstractNumId="71">
    <w:nsid w:val="555C55B5"/>
    <w:multiLevelType w:val="hybridMultilevel"/>
    <w:lvl w:ilvl="0">
      <w:lvlJc w:val="left"/>
      <w:lvlText w:val="(%1)"/>
      <w:numFmt w:val="lowerRoman"/>
      <w:start w:val="3"/>
    </w:lvl>
  </w:abstractNum>
  <w:abstractNum w:abstractNumId="72">
    <w:nsid w:val="3FA62ACA"/>
    <w:multiLevelType w:val="hybridMultilevel"/>
    <w:lvl w:ilvl="0">
      <w:lvlJc w:val="left"/>
      <w:lvlText w:val="%1"/>
      <w:numFmt w:val="lowerRoman"/>
      <w:start w:val="1"/>
    </w:lvl>
    <w:lvl w:ilvl="1">
      <w:lvlJc w:val="left"/>
      <w:lvlText w:val="(%2)"/>
      <w:numFmt w:val="lowerLetter"/>
      <w:start w:val="1"/>
    </w:lvl>
  </w:abstractNum>
  <w:abstractNum w:abstractNumId="73">
    <w:nsid w:val="14FCE74E"/>
    <w:multiLevelType w:val="hybridMultilevel"/>
    <w:lvl w:ilvl="0">
      <w:lvlJc w:val="left"/>
      <w:lvlText w:val="%1"/>
      <w:numFmt w:val="lowerRoman"/>
      <w:start w:val="1"/>
    </w:lvl>
    <w:lvl w:ilvl="1">
      <w:lvlJc w:val="left"/>
      <w:lvlText w:val="(%2)"/>
      <w:numFmt w:val="lowerLetter"/>
      <w:start w:val="9"/>
    </w:lvl>
  </w:abstractNum>
  <w:abstractNum w:abstractNumId="74">
    <w:nsid w:val="6A3DD3E8"/>
    <w:multiLevelType w:val="hybridMultilevel"/>
    <w:lvl w:ilvl="0">
      <w:lvlJc w:val="left"/>
      <w:lvlText w:val="%1"/>
      <w:numFmt w:val="lowerRoman"/>
      <w:start w:val="1"/>
    </w:lvl>
    <w:lvl w:ilvl="1">
      <w:lvlJc w:val="left"/>
      <w:lvlText w:val="(%2)"/>
      <w:numFmt w:val="lowerLetter"/>
      <w:start w:val="35"/>
    </w:lvl>
  </w:abstractNum>
  <w:abstractNum w:abstractNumId="75">
    <w:nsid w:val="71C91298"/>
    <w:multiLevelType w:val="hybridMultilevel"/>
    <w:lvl w:ilvl="0">
      <w:lvlJc w:val="left"/>
      <w:lvlText w:val="%1"/>
      <w:numFmt w:val="lowerRoman"/>
      <w:start w:val="1"/>
    </w:lvl>
    <w:lvl w:ilvl="1">
      <w:lvlJc w:val="left"/>
      <w:lvlText w:val="(%2)"/>
      <w:numFmt w:val="lowerLetter"/>
      <w:start w:val="61"/>
    </w:lvl>
  </w:abstractNum>
  <w:abstractNum w:abstractNumId="76">
    <w:nsid w:val="9DAF632"/>
    <w:multiLevelType w:val="hybridMultilevel"/>
    <w:lvl w:ilvl="0">
      <w:lvlJc w:val="left"/>
      <w:lvlText w:val="(%1)"/>
      <w:numFmt w:val="lowerRoman"/>
      <w:start w:val="4"/>
    </w:lvl>
    <w:lvl w:ilvl="1">
      <w:lvlJc w:val="left"/>
      <w:lvlText w:val="(%2)"/>
      <w:numFmt w:val="lowerLetter"/>
      <w:start w:val="2"/>
    </w:lvl>
  </w:abstractNum>
  <w:abstractNum w:abstractNumId="77">
    <w:nsid w:val="53299938"/>
    <w:multiLevelType w:val="hybridMultilevel"/>
    <w:lvl w:ilvl="0">
      <w:lvlJc w:val="left"/>
      <w:lvlText w:val="%1"/>
      <w:numFmt w:val="lowerLetter"/>
      <w:start w:val="1"/>
    </w:lvl>
    <w:lvl w:ilvl="1">
      <w:lvlJc w:val="left"/>
      <w:lvlText w:val="(%2)"/>
      <w:numFmt w:val="lowerLetter"/>
      <w:start w:val="1"/>
    </w:lvl>
  </w:abstractNum>
  <w:abstractNum w:abstractNumId="78">
    <w:nsid w:val="1FBFE8E0"/>
    <w:multiLevelType w:val="hybridMultilevel"/>
    <w:lvl w:ilvl="0">
      <w:lvlJc w:val="left"/>
      <w:lvlText w:val="(%1)"/>
      <w:numFmt w:val="lowerLetter"/>
      <w:start w:val="35"/>
    </w:lvl>
    <w:lvl w:ilvl="1">
      <w:lvlJc w:val="left"/>
      <w:lvlText w:val="(%2)"/>
      <w:numFmt w:val="lowerLetter"/>
      <w:start w:val="2"/>
    </w:lvl>
  </w:abstractNum>
  <w:abstractNum w:abstractNumId="79">
    <w:nsid w:val="5092CA79"/>
    <w:multiLevelType w:val="hybridMultilevel"/>
    <w:lvl w:ilvl="0">
      <w:lvlJc w:val="left"/>
      <w:lvlText w:val="(%1)"/>
      <w:numFmt w:val="lowerLetter"/>
      <w:start w:val="3"/>
    </w:lvl>
  </w:abstractNum>
  <w:abstractNum w:abstractNumId="80">
    <w:nsid w:val="1D545C4D"/>
    <w:multiLevelType w:val="hybridMultilevel"/>
    <w:lvl w:ilvl="0">
      <w:lvlJc w:val="left"/>
      <w:lvlText w:val="%1"/>
      <w:numFmt w:val="lowerLetter"/>
      <w:start w:val="1"/>
    </w:lvl>
    <w:lvl w:ilvl="1">
      <w:lvlJc w:val="left"/>
      <w:lvlText w:val="(%2)"/>
      <w:numFmt w:val="lowerLetter"/>
      <w:start w:val="4"/>
    </w:lvl>
  </w:abstractNum>
  <w:abstractNum w:abstractNumId="81">
    <w:nsid w:val="59ADEA3D"/>
    <w:multiLevelType w:val="hybridMultilevel"/>
    <w:lvl w:ilvl="0">
      <w:lvlJc w:val="left"/>
      <w:lvlText w:val="(%1)"/>
      <w:numFmt w:val="lowerLetter"/>
      <w:start w:val="9"/>
    </w:lvl>
    <w:lvl w:ilvl="1">
      <w:lvlJc w:val="left"/>
      <w:lvlText w:val="(%2)"/>
      <w:numFmt w:val="lowerLetter"/>
      <w:start w:val="5"/>
    </w:lvl>
  </w:abstractNum>
  <w:abstractNum w:abstractNumId="82">
    <w:nsid w:val="288F1A34"/>
    <w:multiLevelType w:val="hybridMultilevel"/>
    <w:lvl w:ilvl="0">
      <w:lvlJc w:val="left"/>
      <w:lvlText w:val="(%1)"/>
      <w:numFmt w:val="lowerLetter"/>
      <w:start w:val="1"/>
    </w:lvl>
    <w:lvl w:ilvl="1">
      <w:lvlJc w:val="left"/>
      <w:lvlText w:val="(%2)"/>
      <w:numFmt w:val="lowerRoman"/>
      <w:start w:val="1"/>
    </w:lvl>
  </w:abstractNum>
  <w:abstractNum w:abstractNumId="83">
    <w:nsid w:val="2A155DBC"/>
    <w:multiLevelType w:val="hybridMultilevel"/>
    <w:lvl w:ilvl="0">
      <w:lvlJc w:val="left"/>
      <w:lvlText w:val="(%1)"/>
      <w:numFmt w:val="lowerRoman"/>
      <w:start w:val="2"/>
    </w:lvl>
  </w:abstractNum>
  <w:abstractNum w:abstractNumId="84">
    <w:nsid w:val="1D9F6E5F"/>
    <w:multiLevelType w:val="hybridMultilevel"/>
    <w:lvl w:ilvl="0">
      <w:lvlJc w:val="left"/>
      <w:lvlText w:val="(%1)"/>
      <w:numFmt w:val="lowerLetter"/>
      <w:start w:val="1"/>
    </w:lvl>
  </w:abstractNum>
  <w:abstractNum w:abstractNumId="85">
    <w:nsid w:val="97E1B4E"/>
    <w:multiLevelType w:val="hybridMultilevel"/>
    <w:lvl w:ilvl="0">
      <w:lvlJc w:val="left"/>
      <w:lvlText w:val="(%1)"/>
      <w:numFmt w:val="lowerLetter"/>
      <w:start w:val="3"/>
    </w:lvl>
  </w:abstractNum>
  <w:abstractNum w:abstractNumId="86">
    <w:nsid w:val="51088277"/>
    <w:multiLevelType w:val="hybridMultilevel"/>
    <w:lvl w:ilvl="0">
      <w:lvlJc w:val="left"/>
      <w:lvlText w:val="(%1)"/>
      <w:numFmt w:val="lowerLetter"/>
      <w:start w:val="5"/>
    </w:lvl>
  </w:abstractNum>
  <w:abstractNum w:abstractNumId="87">
    <w:nsid w:val="1CA0C5FA"/>
    <w:multiLevelType w:val="hybridMultilevel"/>
    <w:lvl w:ilvl="0">
      <w:lvlJc w:val="left"/>
      <w:lvlText w:val="(%1)"/>
      <w:numFmt w:val="lowerLetter"/>
      <w:start w:val="6"/>
    </w:lvl>
    <w:lvl w:ilvl="1">
      <w:lvlJc w:val="left"/>
      <w:lvlText w:val="(%2)"/>
      <w:numFmt w:val="lowerLetter"/>
      <w:start w:val="1"/>
    </w:lvl>
  </w:abstractNum>
  <w:abstractNum w:abstractNumId="88">
    <w:nsid w:val="53584BCB"/>
    <w:multiLevelType w:val="hybridMultilevel"/>
    <w:lvl w:ilvl="0">
      <w:lvlJc w:val="left"/>
      <w:lvlText w:val="(%1)"/>
      <w:numFmt w:val="lowerLetter"/>
      <w:start w:val="2"/>
    </w:lvl>
    <w:lvl w:ilvl="1">
      <w:lvlJc w:val="left"/>
      <w:lvlText w:val="(%2)"/>
      <w:numFmt w:val="lowerLetter"/>
      <w:start w:val="3"/>
    </w:lvl>
  </w:abstractNum>
  <w:abstractNum w:abstractNumId="89">
    <w:nsid w:val="415E286C"/>
    <w:multiLevelType w:val="hybridMultilevel"/>
    <w:lvl w:ilvl="0">
      <w:lvlJc w:val="left"/>
      <w:lvlText w:val="(%1)"/>
      <w:numFmt w:val="lowerRoman"/>
      <w:start w:val="1"/>
    </w:lvl>
  </w:abstractNum>
  <w:abstractNum w:abstractNumId="90">
    <w:nsid w:val="7C58FD05"/>
    <w:multiLevelType w:val="hybridMultilevel"/>
    <w:lvl w:ilvl="0">
      <w:lvlJc w:val="left"/>
      <w:lvlText w:val="(%1)"/>
      <w:numFmt w:val="lowerLetter"/>
      <w:start w:val="1"/>
    </w:lvl>
  </w:abstractNum>
  <w:abstractNum w:abstractNumId="91">
    <w:nsid w:val="23D86AAC"/>
    <w:multiLevelType w:val="hybridMultilevel"/>
    <w:lvl w:ilvl="0">
      <w:lvlJc w:val="left"/>
      <w:lvlText w:val="(%1)"/>
      <w:numFmt w:val="lowerRoman"/>
      <w:start w:val="2"/>
    </w:lvl>
  </w:abstractNum>
  <w:abstractNum w:abstractNumId="92">
    <w:nsid w:val="45E6D486"/>
    <w:multiLevelType w:val="hybridMultilevel"/>
    <w:lvl w:ilvl="0">
      <w:lvlJc w:val="left"/>
      <w:lvlText w:val="(%1)"/>
      <w:numFmt w:val="lowerLetter"/>
      <w:start w:val="1"/>
    </w:lvl>
  </w:abstractNum>
  <w:abstractNum w:abstractNumId="93">
    <w:nsid w:val="5C10FE21"/>
    <w:multiLevelType w:val="hybridMultilevel"/>
    <w:lvl w:ilvl="0">
      <w:lvlJc w:val="left"/>
      <w:lvlText w:val="(%1)"/>
      <w:numFmt w:val="lowerLetter"/>
      <w:start w:val="5"/>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1)"/>
      <w:numFmt w:val="lowerLetter"/>
      <w:start w:val="1"/>
    </w:lvl>
  </w:abstractNum>
  <w:abstractNum w:abstractNumId="96">
    <w:nsid w:val="4BD8591A"/>
    <w:multiLevelType w:val="hybridMultilevel"/>
    <w:lvl w:ilvl="0">
      <w:lvlJc w:val="left"/>
      <w:lvlText w:val="(%1)"/>
      <w:numFmt w:val="lowerLetter"/>
      <w:start w:val="1"/>
    </w:lvl>
    <w:lvl w:ilvl="1">
      <w:lvlJc w:val="left"/>
      <w:lvlText w:val="(%2)"/>
      <w:numFmt w:val="lowerLetter"/>
      <w:start w:val="9"/>
    </w:lvl>
  </w:abstractNum>
  <w:abstractNum w:abstractNumId="97">
    <w:nsid w:val="78DF6A55"/>
    <w:multiLevelType w:val="hybridMultilevel"/>
    <w:lvl w:ilvl="0">
      <w:lvlJc w:val="left"/>
      <w:lvlText w:val="%1"/>
      <w:numFmt w:val="lowerLetter"/>
      <w:start w:val="1"/>
    </w:lvl>
    <w:lvl w:ilvl="1">
      <w:lvlJc w:val="left"/>
      <w:lvlText w:val="(%2)"/>
      <w:numFmt w:val="lowerRoman"/>
      <w:start w:val="2"/>
    </w:lvl>
  </w:abstractNum>
  <w:abstractNum w:abstractNumId="98">
    <w:nsid w:val="39B7AAA2"/>
    <w:multiLevelType w:val="hybridMultilevel"/>
    <w:lvl w:ilvl="0">
      <w:lvlJc w:val="left"/>
      <w:lvlText w:val="(%1)"/>
      <w:numFmt w:val="lowerLetter"/>
      <w:start w:val="5"/>
    </w:lvl>
    <w:lvl w:ilvl="1">
      <w:lvlJc w:val="left"/>
      <w:lvlText w:val="(%2)"/>
      <w:numFmt w:val="lowerRoman"/>
      <w:start w:val="1"/>
    </w:lvl>
  </w:abstractNum>
  <w:abstractNum w:abstractNumId="99">
    <w:nsid w:val="2B0D8DBE"/>
    <w:multiLevelType w:val="hybridMultilevel"/>
    <w:lvl w:ilvl="0">
      <w:lvlJc w:val="left"/>
      <w:lvlText w:val="(%1)"/>
      <w:numFmt w:val="lowerLetter"/>
      <w:start w:val="6"/>
    </w:lvl>
  </w:abstractNum>
  <w:abstractNum w:abstractNumId="100">
    <w:nsid w:val="6C80EC70"/>
    <w:multiLevelType w:val="hybridMultilevel"/>
    <w:lvl w:ilvl="0">
      <w:lvlJc w:val="left"/>
      <w:lvlText w:val="(%1)"/>
      <w:numFmt w:val="lowerLetter"/>
      <w:start w:val="1"/>
    </w:lvl>
  </w:abstractNum>
  <w:abstractNum w:abstractNumId="101">
    <w:nsid w:val="379E21B5"/>
    <w:multiLevelType w:val="hybridMultilevel"/>
    <w:lvl w:ilvl="0">
      <w:lvlJc w:val="left"/>
      <w:lvlText w:val="(%1)"/>
      <w:numFmt w:val="lowerLetter"/>
      <w:start w:val="1"/>
    </w:lvl>
  </w:abstractNum>
  <w:abstractNum w:abstractNumId="102">
    <w:nsid w:val="69E373"/>
    <w:multiLevelType w:val="hybridMultilevel"/>
    <w:lvl w:ilvl="0">
      <w:lvlJc w:val="left"/>
      <w:lvlText w:val="(%1)"/>
      <w:numFmt w:val="lowerLetter"/>
      <w:start w:val="2"/>
    </w:lvl>
  </w:abstractNum>
  <w:abstractNum w:abstractNumId="103">
    <w:nsid w:val="2C27173B"/>
    <w:multiLevelType w:val="hybridMultilevel"/>
    <w:lvl w:ilvl="0">
      <w:lvlJc w:val="left"/>
      <w:lvlText w:val="(%1)"/>
      <w:numFmt w:val="lowerLetter"/>
      <w:start w:val="1"/>
    </w:lvl>
  </w:abstractNum>
  <w:abstractNum w:abstractNumId="104">
    <w:nsid w:val="4C9B0904"/>
    <w:multiLevelType w:val="hybridMultilevel"/>
    <w:lvl w:ilvl="0">
      <w:lvlJc w:val="left"/>
      <w:lvlText w:val="(%1)"/>
      <w:numFmt w:val="lowerLetter"/>
      <w:start w:val="1"/>
    </w:lvl>
    <w:lvl w:ilvl="1">
      <w:lvlJc w:val="left"/>
      <w:lvlText w:val="(%2)"/>
      <w:numFmt w:val="lowerRoman"/>
      <w:start w:val="1"/>
    </w:lvl>
  </w:abstractNum>
  <w:abstractNum w:abstractNumId="105">
    <w:nsid w:val="6AA7B75C"/>
    <w:multiLevelType w:val="hybridMultilevel"/>
    <w:lvl w:ilvl="0">
      <w:lvlJc w:val="left"/>
      <w:lvlText w:val="%1"/>
      <w:numFmt w:val="lowerLetter"/>
      <w:start w:val="1"/>
    </w:lvl>
    <w:lvl w:ilvl="1">
      <w:lvlJc w:val="left"/>
      <w:lvlText w:val="(%2)"/>
      <w:numFmt w:val="lowerRoman"/>
      <w:start w:val="1"/>
    </w:lvl>
  </w:abstractNum>
  <w:abstractNum w:abstractNumId="106">
    <w:nsid w:val="1DF029D3"/>
    <w:multiLevelType w:val="hybridMultilevel"/>
    <w:lvl w:ilvl="0">
      <w:lvlJc w:val="left"/>
      <w:lvlText w:val="(%1)"/>
      <w:numFmt w:val="lowerLetter"/>
      <w:start w:val="4"/>
    </w:lvl>
    <w:lvl w:ilvl="1">
      <w:lvlJc w:val="left"/>
      <w:lvlText w:val="%2"/>
      <w:numFmt w:val="lowerRoman"/>
      <w:start w:val="1"/>
    </w:lvl>
  </w:abstractNum>
  <w:abstractNum w:abstractNumId="107">
    <w:nsid w:val="5675FF36"/>
    <w:multiLevelType w:val="hybridMultilevel"/>
    <w:lvl w:ilvl="0">
      <w:lvlJc w:val="left"/>
      <w:lvlText w:val="(%1)"/>
      <w:numFmt w:val="lowerLetter"/>
      <w:start w:val="2"/>
    </w:lvl>
  </w:abstractNum>
  <w:abstractNum w:abstractNumId="108">
    <w:nsid w:val="3DD15094"/>
    <w:multiLevelType w:val="hybridMultilevel"/>
    <w:lvl w:ilvl="0">
      <w:lvlJc w:val="left"/>
      <w:lvlText w:val="(%1)"/>
      <w:numFmt w:val="lowerLetter"/>
      <w:start w:val="4"/>
    </w:lvl>
  </w:abstractNum>
  <w:abstractNum w:abstractNumId="109">
    <w:nsid w:val="3DB012B3"/>
    <w:multiLevelType w:val="hybridMultilevel"/>
    <w:lvl w:ilvl="0">
      <w:lvlJc w:val="left"/>
      <w:lvlText w:val="(%1)"/>
      <w:numFmt w:val="lowerLetter"/>
      <w:start w:val="14"/>
    </w:lvl>
  </w:abstractNum>
  <w:abstractNum w:abstractNumId="110">
    <w:nsid w:val="2708C9AF"/>
    <w:multiLevelType w:val="hybridMultilevel"/>
    <w:lvl w:ilvl="0">
      <w:lvlJc w:val="left"/>
      <w:lvlText w:val="(%1)"/>
      <w:numFmt w:val="lowerLetter"/>
      <w:start w:val="3"/>
    </w:lvl>
  </w:abstractNum>
  <w:abstractNum w:abstractNumId="111">
    <w:nsid w:val="5B25ACE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2">
    <w:nsid w:val="175DFCF0"/>
    <w:multiLevelType w:val="hybridMultilevel"/>
    <w:lvl w:ilvl="0">
      <w:lvlJc w:val="left"/>
      <w:lvlText w:val="(%1)"/>
      <w:numFmt w:val="lowerLetter"/>
      <w:start w:val="2"/>
    </w:lvl>
  </w:abstractNum>
  <w:abstractNum w:abstractNumId="113">
    <w:nsid w:val="4F97E3E4"/>
    <w:multiLevelType w:val="hybridMultilevel"/>
    <w:lvl w:ilvl="0">
      <w:lvlJc w:val="left"/>
      <w:lvlText w:val="(%1)"/>
      <w:numFmt w:val="lowerLetter"/>
      <w:start w:val="3"/>
    </w:lvl>
  </w:abstractNum>
  <w:abstractNum w:abstractNumId="114">
    <w:nsid w:val="53B0A9E"/>
    <w:multiLevelType w:val="hybridMultilevel"/>
    <w:lvl w:ilvl="0">
      <w:lvlJc w:val="left"/>
      <w:lvlText w:val="(%1)"/>
      <w:numFmt w:val="lowerLetter"/>
      <w:start w:val="2"/>
    </w:lvl>
  </w:abstractNum>
  <w:abstractNum w:abstractNumId="115">
    <w:nsid w:val="34FD6B4F"/>
    <w:multiLevelType w:val="hybridMultilevel"/>
    <w:lvl w:ilvl="0">
      <w:lvlJc w:val="left"/>
      <w:lvlText w:val="(%1)"/>
      <w:numFmt w:val="lowerLetter"/>
      <w:start w:val="1"/>
    </w:lvl>
  </w:abstractNum>
  <w:abstractNum w:abstractNumId="116">
    <w:nsid w:val="5915FF32"/>
    <w:multiLevelType w:val="hybridMultilevel"/>
    <w:lvl w:ilvl="0">
      <w:lvlJc w:val="left"/>
      <w:lvlText w:val="(%1)"/>
      <w:numFmt w:val="lowerLetter"/>
      <w:start w:val="4"/>
    </w:lvl>
  </w:abstractNum>
  <w:abstractNum w:abstractNumId="117">
    <w:nsid w:val="56438D15"/>
    <w:multiLevelType w:val="hybridMultilevel"/>
    <w:lvl w:ilvl="0">
      <w:lvlJc w:val="left"/>
      <w:lvlText w:val="(%1)"/>
      <w:numFmt w:val="lowerLetter"/>
      <w:start w:val="8"/>
    </w:lvl>
  </w:abstractNum>
  <w:abstractNum w:abstractNumId="118">
    <w:nsid w:val="519E3149"/>
    <w:multiLevelType w:val="hybridMultilevel"/>
    <w:lvl w:ilvl="0">
      <w:lvlJc w:val="left"/>
      <w:lvlText w:val="(%1)"/>
      <w:numFmt w:val="lowerLetter"/>
      <w:start w:val="1"/>
    </w:lvl>
  </w:abstractNum>
  <w:abstractNum w:abstractNumId="119">
    <w:nsid w:val="2C6E4AFD"/>
    <w:multiLevelType w:val="hybridMultilevel"/>
    <w:lvl w:ilvl="0">
      <w:lvlJc w:val="left"/>
      <w:lvlText w:val="(%1)"/>
      <w:numFmt w:val="lowerLetter"/>
      <w:start w:val="4"/>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Letter"/>
      <w:start w:val="1"/>
    </w:lvl>
    <w:lvl w:ilvl="1">
      <w:lvlJc w:val="left"/>
      <w:lvlText w:val="(%2)"/>
      <w:numFmt w:val="lowerLetter"/>
      <w:start w:val="2"/>
    </w:lvl>
  </w:abstractNum>
  <w:abstractNum w:abstractNumId="122">
    <w:nsid w:val="5046B5A9"/>
    <w:multiLevelType w:val="hybridMultilevel"/>
    <w:lvl w:ilvl="0">
      <w:lvlJc w:val="left"/>
      <w:lvlText w:val="(%1)"/>
      <w:numFmt w:val="lowerLetter"/>
      <w:start w:val="12"/>
    </w:lvl>
    <w:lvl w:ilvl="1">
      <w:lvlJc w:val="left"/>
      <w:lvlText w:val="%2"/>
      <w:numFmt w:val="lowerLetter"/>
      <w:start w:val="1"/>
    </w:lvl>
  </w:abstractNum>
  <w:abstractNum w:abstractNumId="123">
    <w:nsid w:val="5D888A08"/>
    <w:multiLevelType w:val="hybridMultilevel"/>
    <w:lvl w:ilvl="0">
      <w:lvlJc w:val="left"/>
      <w:lvlText w:val="(%1)"/>
      <w:numFmt w:val="lowerLetter"/>
      <w:start w:val="1"/>
    </w:lvl>
  </w:abstractNum>
  <w:abstractNum w:abstractNumId="124">
    <w:nsid w:val="2A082C70"/>
    <w:multiLevelType w:val="hybridMultilevel"/>
    <w:lvl w:ilvl="0">
      <w:lvlJc w:val="left"/>
      <w:lvlText w:val="(%1)"/>
      <w:numFmt w:val="lowerLetter"/>
      <w:start w:val="1"/>
    </w:lvl>
  </w:abstractNum>
  <w:abstractNum w:abstractNumId="125">
    <w:nsid w:val="5EC6AFD4"/>
    <w:multiLevelType w:val="hybridMultilevel"/>
    <w:lvl w:ilvl="0">
      <w:lvlJc w:val="left"/>
      <w:lvlText w:val="(%1)"/>
      <w:numFmt w:val="lowerLetter"/>
      <w:start w:val="1"/>
    </w:lvl>
  </w:abstractNum>
  <w:abstractNum w:abstractNumId="126">
    <w:nsid w:val="19E21BB2"/>
    <w:multiLevelType w:val="hybridMultilevel"/>
    <w:lvl w:ilvl="0">
      <w:lvlJc w:val="left"/>
      <w:lvlText w:val="(%1)"/>
      <w:numFmt w:val="decimal"/>
      <w:start w:val="2"/>
    </w:lvl>
  </w:abstractNum>
  <w:abstractNum w:abstractNumId="127">
    <w:nsid w:val="75E0858A"/>
    <w:multiLevelType w:val="hybridMultilevel"/>
    <w:lvl w:ilvl="0">
      <w:lvlJc w:val="left"/>
      <w:lvlText w:val="(%1)"/>
      <w:numFmt w:val="lowerLetter"/>
      <w:start w:val="4"/>
    </w:lvl>
  </w:abstractNum>
  <w:abstractNum w:abstractNumId="128">
    <w:nsid w:val="57A61A29"/>
    <w:multiLevelType w:val="hybridMultilevel"/>
    <w:lvl w:ilvl="0">
      <w:lvlJc w:val="left"/>
      <w:lvlText w:val="%1."/>
      <w:numFmt w:val="decimal"/>
      <w:start w:val="1"/>
    </w:lvl>
  </w:abstractNum>
  <w:abstractNum w:abstractNumId="129">
    <w:nsid w:val="5399C654"/>
    <w:multiLevelType w:val="hybridMultilevel"/>
    <w:lvl w:ilvl="0">
      <w:lvlJc w:val="left"/>
      <w:lvlText w:val="%1"/>
      <w:numFmt w:val="lowerRoman"/>
      <w:start w:val="1"/>
    </w:lvl>
    <w:lvl w:ilvl="1">
      <w:lvlJc w:val="left"/>
      <w:lvlText w:val="%2."/>
      <w:numFmt w:val="decimal"/>
      <w:start w:val="2"/>
    </w:lvl>
  </w:abstractNum>
  <w:abstractNum w:abstractNumId="130">
    <w:nsid w:val="20EE1348"/>
    <w:multiLevelType w:val="hybridMultilevel"/>
    <w:lvl w:ilvl="0">
      <w:lvlJc w:val="left"/>
      <w:lvlText w:val="(%1)"/>
      <w:numFmt w:val="lowerRoman"/>
      <w:start w:val="1"/>
    </w:lvl>
    <w:lvl w:ilvl="1">
      <w:lvlJc w:val="left"/>
      <w:lvlText w:val="%2."/>
      <w:numFmt w:val="decimal"/>
      <w:start w:val="4"/>
    </w:lvl>
  </w:abstractNum>
  <w:abstractNum w:abstractNumId="131">
    <w:nsid w:val="4427069A"/>
    <w:multiLevelType w:val="hybridMultilevel"/>
    <w:lvl w:ilvl="0">
      <w:lvlJc w:val="left"/>
      <w:lvlText w:val="%1."/>
      <w:numFmt w:val="decimal"/>
      <w:start w:val="6"/>
    </w:lvl>
  </w:abstractNum>
  <w:abstractNum w:abstractNumId="132">
    <w:nsid w:val="B37E80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jpe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jpe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jpe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7"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jpeg"/><Relationship Id="rId223" Type="http://schemas.openxmlformats.org/officeDocument/2006/relationships/image" Target="media/image205.png"/><Relationship Id="rId224" Type="http://schemas.openxmlformats.org/officeDocument/2006/relationships/image" Target="media/image206.jpeg"/><Relationship Id="rId225" Type="http://schemas.openxmlformats.org/officeDocument/2006/relationships/image" Target="media/image207.png"/><Relationship Id="rId226" Type="http://schemas.openxmlformats.org/officeDocument/2006/relationships/image" Target="media/image208.jpeg"/><Relationship Id="rId227" Type="http://schemas.openxmlformats.org/officeDocument/2006/relationships/image" Target="media/image209.png"/><Relationship Id="rId228" Type="http://schemas.openxmlformats.org/officeDocument/2006/relationships/image" Target="media/image210.jpeg"/><Relationship Id="rId229" Type="http://schemas.openxmlformats.org/officeDocument/2006/relationships/image" Target="media/image211.png"/><Relationship Id="rId230" Type="http://schemas.openxmlformats.org/officeDocument/2006/relationships/image" Target="media/image212.jpeg"/><Relationship Id="rId51" Type="http://schemas.openxmlformats.org/officeDocument/2006/relationships/hyperlink" Target="http://www.sec.gov/Archives/edgar/data/1699382/000156459021010578/pmvp-10k_20201231.htm" TargetMode="External"/><Relationship Id="rId53" Type="http://schemas.openxmlformats.org/officeDocument/2006/relationships/hyperlink" Target="http://www.sec.gov/Archives/edgar/data/1699382/000156459021027813/pmvp-10q_20210331.htm" TargetMode="External"/><Relationship Id="rId54" Type="http://schemas.openxmlformats.org/officeDocument/2006/relationships/hyperlink" Target="http://www.sec.gov/ix?doc=/Archives/edgar/data/1699382/000156459021044131/pmvp-10q_20210630.htm" TargetMode="External"/><Relationship Id="rId55" Type="http://schemas.openxmlformats.org/officeDocument/2006/relationships/hyperlink" Target="http://www.sec.gov/Archives/edgar/data/1699382/000114036121014036/nc10022460x1_def14a.htm" TargetMode="External"/><Relationship Id="rId56" Type="http://schemas.openxmlformats.org/officeDocument/2006/relationships/hyperlink" Target="http://www.sec.gov/Archives/edgar/data/1699382/000119312521107069/d137028d8k.htm" TargetMode="External"/><Relationship Id="rId57" Type="http://schemas.openxmlformats.org/officeDocument/2006/relationships/hyperlink" Target="http://www.sec.gov/Archives/edgar/data/1699382/000119312521184010/d179515d8k.htm" TargetMode="External"/><Relationship Id="rId58" Type="http://schemas.openxmlformats.org/officeDocument/2006/relationships/hyperlink" Target="http://www.sec.gov/Archives/edgar/data/1699382/000119312520250157/d14856d8a12b.htm" TargetMode="External"/><Relationship Id="rId105" Type="http://schemas.openxmlformats.org/officeDocument/2006/relationships/hyperlink" Target="http://www.sec.gov/Archives/edgar/data/1699382/000119312520257820/d95525dex31.htm" TargetMode="External"/><Relationship Id="rId106" Type="http://schemas.openxmlformats.org/officeDocument/2006/relationships/hyperlink" Target="http://www.sec.gov/Archives/edgar/data/1699382/000119312520257820/d95525dex32.htm" TargetMode="External"/><Relationship Id="rId108" Type="http://schemas.openxmlformats.org/officeDocument/2006/relationships/hyperlink" Target="http://www.sec.gov/Archives/edgar/data/1699382/000119312520240132/d922470dex41.htm" TargetMode="External"/><Relationship Id="rId109" Type="http://schemas.openxmlformats.org/officeDocument/2006/relationships/hyperlink" Target="http://www.sec.gov/Archives/edgar/data/1699382/000119312520249570/d92247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2021-10-04T15:19:31Z</dcterms:created>
  <dcterms:modified xsi:type="dcterms:W3CDTF">2021-10-04T15:19:31Z</dcterms:modified>
</cp:coreProperties>
</file>