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52268d8k.htm"/>
      <w:bookmarkStart w:id="1" w:name="ksd45226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180" w:after="0"/>
        <w:jc w:val="center"/>
        <w:rPr>
          <w:rFonts w:ascii="Times New Roman" w:hAnsi="Times New Roman"/>
          <w:b/>
          <w:sz w:val="24"/>
        </w:rPr>
      </w:pPr>
      <w:r>
        <w:rPr>
          <w:rFonts w:ascii="Times New Roman" w:hAnsi="Times New Roman"/>
          <w:b/>
          <w:sz w:val="24"/>
        </w:rPr>
        <w:t>Date of Report (Date of earliest event reported)</w:t>
      </w:r>
    </w:p>
    <w:p>
      <w:pPr>
        <w:pStyle w:val="TextBody"/>
        <w:spacing w:before="0" w:after="0"/>
        <w:jc w:val="center"/>
        <w:rPr>
          <w:rFonts w:ascii="Times New Roman" w:hAnsi="Times New Roman"/>
          <w:b/>
          <w:sz w:val="24"/>
        </w:rPr>
      </w:pPr>
      <w:r>
        <w:rPr>
          <w:rFonts w:ascii="Times New Roman" w:hAnsi="Times New Roman"/>
          <w:b/>
          <w:sz w:val="24"/>
        </w:rPr>
        <w:t>April 24,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PMV Pharmaceuticals,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40" w:type="dxa"/>
        <w:jc w:val="left"/>
        <w:tblInd w:w="0" w:type="dxa"/>
        <w:tblCellMar>
          <w:top w:w="0" w:type="dxa"/>
          <w:left w:w="0" w:type="dxa"/>
          <w:bottom w:w="0" w:type="dxa"/>
          <w:right w:w="0" w:type="dxa"/>
        </w:tblCellMar>
      </w:tblPr>
      <w:tblGrid>
        <w:gridCol w:w="1985"/>
        <w:gridCol w:w="60"/>
        <w:gridCol w:w="1055"/>
        <w:gridCol w:w="60"/>
        <w:gridCol w:w="188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001-39539</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46-3218129</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283"/>
              <w:jc w:val="center"/>
              <w:rPr>
                <w:b/>
              </w:rPr>
            </w:pPr>
            <w:r>
              <w:rPr>
                <w:b/>
              </w:rPr>
              <w:t>(IRS Employer</w:t>
              <w:br/>
              <w:t>Identification No.)</w:t>
            </w:r>
          </w:p>
        </w:tc>
      </w:tr>
    </w:tbl>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3935"/>
        <w:gridCol w:w="60"/>
        <w:gridCol w:w="1145"/>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 Research Way</w:t>
            </w:r>
          </w:p>
          <w:p>
            <w:pPr>
              <w:pStyle w:val="TableContents"/>
              <w:spacing w:before="0" w:after="20"/>
              <w:jc w:val="center"/>
              <w:rPr>
                <w:rFonts w:ascii="Times New Roman" w:hAnsi="Times New Roman"/>
                <w:b/>
                <w:sz w:val="20"/>
              </w:rPr>
            </w:pPr>
            <w:r>
              <w:rPr>
                <w:rFonts w:ascii="Times New Roman" w:hAnsi="Times New Roman"/>
                <w:b/>
                <w:sz w:val="20"/>
              </w:rPr>
              <w:t>Princeton, New Jersey</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08540</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180" w:after="0"/>
        <w:jc w:val="center"/>
        <w:rPr>
          <w:rFonts w:ascii="Times New Roman" w:hAnsi="Times New Roman"/>
          <w:b/>
          <w:sz w:val="20"/>
        </w:rPr>
      </w:pPr>
      <w:r>
        <w:rPr>
          <w:rFonts w:ascii="Times New Roman" w:hAnsi="Times New Roman"/>
          <w:b/>
          <w:sz w:val="20"/>
        </w:rPr>
        <w:t>Registrant’s telephone number, including area code: (609) 642-6670</w:t>
      </w:r>
    </w:p>
    <w:p>
      <w:pPr>
        <w:pStyle w:val="TextBody"/>
        <w:spacing w:before="18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505" w:type="dxa"/>
        <w:jc w:val="left"/>
        <w:tblInd w:w="0" w:type="dxa"/>
        <w:tblCellMar>
          <w:top w:w="0" w:type="dxa"/>
          <w:left w:w="0" w:type="dxa"/>
          <w:bottom w:w="0" w:type="dxa"/>
          <w:right w:w="0" w:type="dxa"/>
        </w:tblCellMar>
      </w:tblPr>
      <w:tblGrid>
        <w:gridCol w:w="4385"/>
        <w:gridCol w:w="60"/>
        <w:gridCol w:w="740"/>
        <w:gridCol w:w="60"/>
        <w:gridCol w:w="3260"/>
      </w:tblGrid>
      <w:tr>
        <w:trPr/>
        <w:tc>
          <w:tcPr>
            <w:tcW w:w="43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60" w:type="dxa"/>
            <w:tcBorders/>
            <w:shd w:fill="auto" w:val="clear"/>
            <w:vAlign w:val="center"/>
          </w:tcPr>
          <w:p>
            <w:pPr>
              <w:pStyle w:val="TableContents"/>
              <w:spacing w:before="0" w:after="283"/>
              <w:rPr>
                <w:sz w:val="4"/>
                <w:szCs w:val="4"/>
              </w:rPr>
            </w:pPr>
            <w:r>
              <w:rPr>
                <w:sz w:val="4"/>
                <w:szCs w:val="4"/>
              </w:rPr>
            </w:r>
          </w:p>
        </w:tc>
      </w:tr>
      <w:tr>
        <w:trPr/>
        <w:tc>
          <w:tcPr>
            <w:tcW w:w="438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326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shd w:fill="auto" w:val="clear"/>
            <w:vAlign w:val="center"/>
          </w:tcPr>
          <w:p>
            <w:pPr>
              <w:pStyle w:val="TableContents"/>
              <w:spacing w:before="0" w:after="283"/>
              <w:jc w:val="center"/>
              <w:rPr/>
            </w:pPr>
            <w:r>
              <w:rPr/>
              <w:t>Common Stock, par value $0.00001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PMVP</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pPr>
            <w:r>
              <w:rPr/>
              <w:t>The Nasdaq Global Select Market</w:t>
            </w:r>
          </w:p>
        </w:tc>
      </w:tr>
    </w:tbl>
    <w:p>
      <w:pPr>
        <w:pStyle w:val="TextBody"/>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80" w:after="0"/>
        <w:jc w:val="left"/>
        <w:rPr>
          <w:rFonts w:ascii="Times New Roman" w:hAnsi="Times New Roman"/>
          <w:sz w:val="20"/>
        </w:rPr>
      </w:pPr>
      <w:r>
        <w:rPr>
          <w:rFonts w:ascii="Times New Roman" w:hAnsi="Times New Roman"/>
          <w:sz w:val="20"/>
        </w:rPr>
        <w:t>Emerging growth company ☐</w:t>
      </w:r>
    </w:p>
    <w:p>
      <w:pPr>
        <w:pStyle w:val="TextBody"/>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7435" w:type="dxa"/>
        <w:jc w:val="left"/>
        <w:tblInd w:w="0" w:type="dxa"/>
        <w:tblCellMar>
          <w:top w:w="0" w:type="dxa"/>
          <w:left w:w="0" w:type="dxa"/>
          <w:bottom w:w="0" w:type="dxa"/>
          <w:right w:w="0" w:type="dxa"/>
        </w:tblCellMar>
      </w:tblPr>
      <w:tblGrid>
        <w:gridCol w:w="1040"/>
        <w:gridCol w:w="6395"/>
      </w:tblGrid>
      <w:tr>
        <w:trPr/>
        <w:tc>
          <w:tcPr>
            <w:tcW w:w="1040" w:type="dxa"/>
            <w:tcBorders/>
            <w:shd w:fill="auto" w:val="clear"/>
            <w:vAlign w:val="center"/>
          </w:tcPr>
          <w:p>
            <w:pPr>
              <w:pStyle w:val="TableContents"/>
              <w:spacing w:before="0" w:after="283"/>
              <w:jc w:val="left"/>
              <w:rPr>
                <w:b/>
              </w:rPr>
            </w:pPr>
            <w:r>
              <w:rPr>
                <w:b/>
              </w:rPr>
              <w:t>Item 5.03.</w:t>
            </w:r>
          </w:p>
        </w:tc>
        <w:tc>
          <w:tcPr>
            <w:tcW w:w="63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Amendment to Articles of Incorporation or Bylaws; Change in Fiscal Year. </w:t>
            </w:r>
          </w:p>
        </w:tc>
      </w:tr>
    </w:tbl>
    <w:p>
      <w:pPr>
        <w:pStyle w:val="TextBody"/>
        <w:spacing w:before="120" w:after="0"/>
        <w:jc w:val="left"/>
        <w:rPr>
          <w:rFonts w:ascii="Times New Roman" w:hAnsi="Times New Roman"/>
          <w:sz w:val="20"/>
        </w:rPr>
      </w:pPr>
      <w:r>
        <w:rPr>
          <w:rFonts w:ascii="Times New Roman" w:hAnsi="Times New Roman"/>
          <w:sz w:val="20"/>
        </w:rPr>
        <w:t xml:space="preserve">On April 24, 2023, in connection with the effectiveness of new Securities and Exchange Commission rules regarding universal proxy cards and a periodic review of the amended and restated bylaws of PMV Pharmaceuticals, Inc. (the “Company”) as currently in effect, the Company’s board of directors (the “Board”), acting upon the recommendation of the Board’s Nominating and Corporate Governance Committee, approved and adopted amended and restated bylaws (the “Amended and Restated Bylaws”), to be effective on June 8, 2023, the date of the Company’s 2023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The Amended and Restated Bylaws,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update and revise the advance notice procedures for the nomination of directors or the proposal of other business at stockholder meetings, including by adding a requirement that a stockholder seeking to nominate director(s) at a meeting of stockholders provide to the Company reasonable evidence that it has complied with the requirements of Rule 14a-19 of the Securities Exchange Act of 1934, as amended, no later than five business days before the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revise certain additional procedures related to stockholder meetings to conform to the provisions of the Delaware General Corporation Law, as recently amended (the “DGCL”);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revise the provision regarding board action by unanimous written consent in lieu of a meeting to conform to the provisions of the DGCL; </w:t>
            </w:r>
          </w:p>
        </w:tc>
      </w:tr>
    </w:tbl>
    <w:p>
      <w:pPr>
        <w:pStyle w:val="TextBody"/>
        <w:spacing w:before="0" w:after="0"/>
        <w:jc w:val="left"/>
        <w:rPr/>
      </w:pPr>
      <w:r>
        <w:rPr/>
        <w:t> </w:t>
      </w:r>
    </w:p>
    <w:tbl>
      <w:tblPr>
        <w:tblW w:w="6955" w:type="dxa"/>
        <w:jc w:val="left"/>
        <w:tblInd w:w="0" w:type="dxa"/>
        <w:tblCellMar>
          <w:top w:w="0" w:type="dxa"/>
          <w:left w:w="0" w:type="dxa"/>
          <w:bottom w:w="0" w:type="dxa"/>
          <w:right w:w="0" w:type="dxa"/>
        </w:tblCellMar>
      </w:tblPr>
      <w:tblGrid>
        <w:gridCol w:w="75"/>
        <w:gridCol w:w="110"/>
        <w:gridCol w:w="60"/>
        <w:gridCol w:w="6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update various provisions regarding directors, Board committees and officers;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make various updates throughout to conform to current Delaware law (including the recent amendments to the DGCL) and to make ministerial changes, clarifications, and other conforming revisions.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description of the Amended and Restated Bylaws is not complete and is qualified in its entirety by reference to the full text thereof, a copy of which is attached hereto as Exhibit 3.1 to this Current Report on Form 8-K and is incorporated herein by reference.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sz w:val="20"/>
        </w:rPr>
      </w:pPr>
      <w:r>
        <w:rPr>
          <w:rFonts w:ascii="Times New Roman" w:hAnsi="Times New Roman"/>
          <w:b/>
          <w:sz w:val="20"/>
        </w:rPr>
        <w:t xml:space="preserve">(d)    Exhibits. </w:t>
      </w:r>
    </w:p>
    <w:p>
      <w:pPr>
        <w:pStyle w:val="TextBody"/>
        <w:spacing w:before="0" w:after="0"/>
        <w:jc w:val="left"/>
        <w:rPr/>
      </w:pPr>
      <w:r>
        <w:rPr/>
        <w:t> </w:t>
      </w:r>
    </w:p>
    <w:tbl>
      <w:tblPr>
        <w:tblW w:w="9520" w:type="dxa"/>
        <w:jc w:val="left"/>
        <w:tblInd w:w="0" w:type="dxa"/>
        <w:tblCellMar>
          <w:top w:w="0" w:type="dxa"/>
          <w:left w:w="0" w:type="dxa"/>
          <w:bottom w:w="0" w:type="dxa"/>
          <w:right w:w="0" w:type="dxa"/>
        </w:tblCellMar>
      </w:tblPr>
      <w:tblGrid>
        <w:gridCol w:w="1145"/>
        <w:gridCol w:w="120"/>
        <w:gridCol w:w="8255"/>
      </w:tblGrid>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255" w:type="dxa"/>
            <w:tcBorders/>
            <w:shd w:fill="auto" w:val="clear"/>
            <w:vAlign w:val="center"/>
          </w:tcPr>
          <w:p>
            <w:pPr>
              <w:pStyle w:val="TableContents"/>
              <w:spacing w:before="0" w:after="283"/>
              <w:rPr>
                <w:sz w:val="4"/>
                <w:szCs w:val="4"/>
              </w:rPr>
            </w:pPr>
            <w:r>
              <w:rPr>
                <w:sz w:val="4"/>
                <w:szCs w:val="4"/>
              </w:rPr>
            </w:r>
          </w:p>
        </w:tc>
      </w:tr>
      <w:tr>
        <w:trPr/>
        <w:tc>
          <w:tcPr>
            <w:tcW w:w="1145" w:type="dxa"/>
            <w:tcBorders>
              <w:bottom w:val="single" w:sz="8" w:space="0" w:color="000000"/>
            </w:tcBorders>
            <w:shd w:fill="auto" w:val="clear"/>
            <w:tcMar>
              <w:bottom w:w="28" w:type="dxa"/>
            </w:tcMar>
            <w:vAlign w:val="center"/>
          </w:tcPr>
          <w:p>
            <w:pPr>
              <w:pStyle w:val="TableContents"/>
              <w:spacing w:before="0" w:after="283"/>
              <w:jc w:val="center"/>
              <w:rPr/>
            </w:pPr>
            <w:r>
              <w:rPr/>
              <w:t>Exhibit No.</w:t>
            </w:r>
          </w:p>
        </w:tc>
        <w:tc>
          <w:tcPr>
            <w:tcW w:w="120" w:type="dxa"/>
            <w:tcBorders/>
            <w:shd w:fill="auto" w:val="clear"/>
            <w:vAlign w:val="center"/>
          </w:tcPr>
          <w:p>
            <w:pPr>
              <w:pStyle w:val="TableContents"/>
              <w:spacing w:before="0" w:after="283"/>
              <w:rPr/>
            </w:pPr>
            <w:r>
              <w:rPr/>
              <w:t>  </w:t>
            </w:r>
          </w:p>
        </w:tc>
        <w:tc>
          <w:tcPr>
            <w:tcW w:w="825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sz w:val="16"/>
              </w:rPr>
            </w:pPr>
            <w:r>
              <w:rPr>
                <w:rFonts w:ascii="Times New Roman" w:hAnsi="Times New Roman"/>
                <w:sz w:val="16"/>
              </w:rPr>
              <w:t>Description</w:t>
            </w:r>
          </w:p>
        </w:tc>
      </w:tr>
      <w:tr>
        <w:trPr/>
        <w:tc>
          <w:tcPr>
            <w:tcW w:w="1145" w:type="dxa"/>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pPr>
            <w:r>
              <w:rPr/>
              <w:t>3.1</w:t>
            </w:r>
          </w:p>
        </w:tc>
        <w:tc>
          <w:tcPr>
            <w:tcW w:w="12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283"/>
              <w:rPr/>
            </w:pPr>
            <w:hyperlink w:anchor="d452268dex31.htm">
              <w:r>
                <w:rPr>
                  <w:rStyle w:val="InternetLink"/>
                </w:rPr>
                <w:t xml:space="preserve">Amended and Restated Bylaws of PMV Pharmaceuticals, Inc., effective June 8, 2023. </w:t>
              </w:r>
            </w:hyperlink>
          </w:p>
        </w:tc>
      </w:tr>
      <w:tr>
        <w:trPr/>
        <w:tc>
          <w:tcPr>
            <w:tcW w:w="1145" w:type="dxa"/>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395" w:type="dxa"/>
        <w:jc w:val="left"/>
        <w:tblInd w:w="0" w:type="dxa"/>
        <w:tblCellMar>
          <w:top w:w="0" w:type="dxa"/>
          <w:left w:w="0" w:type="dxa"/>
          <w:bottom w:w="0" w:type="dxa"/>
          <w:right w:w="0" w:type="dxa"/>
        </w:tblCellMar>
      </w:tblPr>
      <w:tblGrid>
        <w:gridCol w:w="380"/>
        <w:gridCol w:w="60"/>
        <w:gridCol w:w="4955"/>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55" w:type="dxa"/>
            <w:tcBorders/>
            <w:shd w:fill="auto" w:val="clear"/>
            <w:vAlign w:val="center"/>
          </w:tcPr>
          <w:p>
            <w:pPr>
              <w:pStyle w:val="TableContents"/>
              <w:spacing w:before="0" w:after="283"/>
              <w:rPr>
                <w:sz w:val="4"/>
                <w:szCs w:val="4"/>
              </w:rPr>
            </w:pPr>
            <w:r>
              <w:rPr>
                <w:sz w:val="4"/>
                <w:szCs w:val="4"/>
              </w:rPr>
            </w:r>
          </w:p>
        </w:tc>
      </w:tr>
      <w:tr>
        <w:trPr/>
        <w:tc>
          <w:tcPr>
            <w:tcW w:w="5395" w:type="dxa"/>
            <w:gridSpan w:val="3"/>
            <w:tcBorders/>
            <w:shd w:fill="auto" w:val="clear"/>
            <w:vAlign w:val="center"/>
          </w:tcPr>
          <w:p>
            <w:pPr>
              <w:pStyle w:val="TableContents"/>
              <w:spacing w:before="0" w:after="283"/>
              <w:rPr>
                <w:b/>
              </w:rPr>
            </w:pPr>
            <w:r>
              <w:rPr>
                <w:b/>
              </w:rPr>
              <w:t>PMV PHARMACEUTICALS, INC.</w:t>
            </w:r>
          </w:p>
        </w:tc>
      </w:tr>
      <w:tr>
        <w:trPr/>
        <w:tc>
          <w:tcPr>
            <w:tcW w:w="380" w:type="dxa"/>
            <w:tcBorders/>
            <w:shd w:fill="auto" w:val="clear"/>
            <w:vAlign w:val="center"/>
          </w:tcPr>
          <w:p>
            <w:pPr>
              <w:pStyle w:val="TableContents"/>
              <w:spacing w:before="0" w:after="283"/>
              <w:rPr>
                <w:sz w:val="4"/>
                <w:szCs w:val="4"/>
              </w:rPr>
            </w:pPr>
            <w:r>
              <w:rPr>
                <w:sz w:val="4"/>
                <w:szCs w:val="4"/>
              </w:rPr>
            </w:r>
          </w:p>
        </w:tc>
        <w:tc>
          <w:tcPr>
            <w:tcW w:w="501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Winston Kung</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spacing w:before="0" w:after="283"/>
              <w:rPr/>
            </w:pPr>
            <w:r>
              <w:rPr/>
              <w:t>Winston Kung</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spacing w:before="0" w:after="283"/>
              <w:rPr/>
            </w:pPr>
            <w:r>
              <w:rPr/>
              <w:t>Chief Operating Officer and 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Date: April 28, 2023 </w:t>
      </w:r>
      <w:r>
        <w:br w:type="page"/>
      </w:r>
    </w:p>
    <w:p>
      <w:pPr>
        <w:pStyle w:val="TextBody"/>
        <w:spacing w:before="0" w:after="0"/>
        <w:jc w:val="right"/>
        <w:rPr>
          <w:rFonts w:ascii="Times New Roman" w:hAnsi="Times New Roman"/>
          <w:b/>
          <w:sz w:val="20"/>
        </w:rPr>
      </w:pPr>
      <w:bookmarkStart w:id="2" w:name="d452268dex31.htm"/>
      <w:bookmarkStart w:id="3" w:name="ksd452268dex31"/>
      <w:bookmarkEnd w:id="2"/>
      <w:bookmarkEnd w:id="3"/>
      <w:r>
        <w:rPr>
          <w:rFonts w:ascii="Times New Roman" w:hAnsi="Times New Roman"/>
          <w:b/>
          <w:sz w:val="20"/>
        </w:rPr>
        <w:t xml:space="preserve">Exhibit 3.1 </w:t>
      </w:r>
    </w:p>
    <w:p>
      <w:pPr>
        <w:pStyle w:val="TextBody"/>
        <w:spacing w:before="240" w:after="0"/>
        <w:jc w:val="center"/>
        <w:rPr>
          <w:rFonts w:ascii="Times New Roman" w:hAnsi="Times New Roman"/>
          <w:b/>
          <w:sz w:val="20"/>
        </w:rPr>
      </w:pPr>
      <w:r>
        <w:rPr>
          <w:rFonts w:ascii="Times New Roman" w:hAnsi="Times New Roman"/>
          <w:b/>
          <w:sz w:val="20"/>
        </w:rPr>
        <w:t xml:space="preserve">AMENDED AND RESTATED BYLAWS OF </w:t>
      </w:r>
    </w:p>
    <w:p>
      <w:pPr>
        <w:pStyle w:val="TextBody"/>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spacing w:before="240" w:after="0"/>
        <w:jc w:val="center"/>
        <w:rPr>
          <w:rFonts w:ascii="Times New Roman" w:hAnsi="Times New Roman"/>
          <w:sz w:val="20"/>
        </w:rPr>
      </w:pPr>
      <w:r>
        <w:rPr>
          <w:rFonts w:ascii="Times New Roman" w:hAnsi="Times New Roman"/>
          <w:sz w:val="20"/>
        </w:rPr>
        <w:t xml:space="preserve">(initially adopted on August 5, 2020 and updated effective as of June 8, 2023)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7"/>
        <w:gridCol w:w="68"/>
        <w:gridCol w:w="459"/>
        <w:gridCol w:w="127"/>
        <w:gridCol w:w="8339"/>
        <w:gridCol w:w="127"/>
        <w:gridCol w:w="96"/>
        <w:gridCol w:w="419"/>
        <w:gridCol w:w="63"/>
      </w:tblGrid>
      <w:tr>
        <w:trPr/>
        <w:tc>
          <w:tcPr>
            <w:tcW w:w="50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33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jc w:val="center"/>
              <w:rPr>
                <w:b/>
                <w:i/>
              </w:rPr>
            </w:pPr>
            <w:r>
              <w:rPr>
                <w:b/>
                <w:i/>
              </w:rPr>
              <w:t>Page</w:t>
            </w:r>
          </w:p>
        </w:tc>
        <w:tc>
          <w:tcPr>
            <w:tcW w:w="63"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I - CORPORATE OFFICES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1.1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REGISTERED OFFICE</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1.2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OTHER OFFICES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II - MEETINGS OF STOCKHOLDERS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120" w:hRule="atLeast"/>
        </w:trPr>
        <w:tc>
          <w:tcPr>
            <w:tcW w:w="507" w:type="dxa"/>
            <w:tcBorders/>
            <w:shd w:fill="auto" w:val="clear"/>
            <w:vAlign w:val="center"/>
          </w:tcPr>
          <w:p>
            <w:pPr>
              <w:pStyle w:val="TableContents"/>
              <w:spacing w:before="0" w:after="283"/>
              <w:rPr>
                <w:sz w:val="4"/>
                <w:szCs w:val="4"/>
              </w:rPr>
            </w:pPr>
            <w:r>
              <w:rPr>
                <w:sz w:val="4"/>
                <w:szCs w:val="4"/>
              </w:rPr>
            </w:r>
          </w:p>
        </w:tc>
        <w:tc>
          <w:tcPr>
            <w:tcW w:w="527" w:type="dxa"/>
            <w:gridSpan w:val="2"/>
            <w:tcBorders/>
            <w:shd w:fill="auto" w:val="clear"/>
            <w:vAlign w:val="center"/>
          </w:tcPr>
          <w:p>
            <w:pPr>
              <w:pStyle w:val="TableContents"/>
              <w:spacing w:before="0" w:after="283"/>
              <w:rPr>
                <w:sz w:val="4"/>
                <w:szCs w:val="4"/>
              </w:rPr>
            </w:pPr>
            <w:r>
              <w:rPr>
                <w:sz w:val="4"/>
                <w:szCs w:val="4"/>
              </w:rPr>
            </w:r>
          </w:p>
        </w:tc>
        <w:tc>
          <w:tcPr>
            <w:tcW w:w="8466"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PLACE OF MEETINGS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0"/>
              <w:rPr/>
            </w:pPr>
            <w:r>
              <w:rPr/>
              <w:t>        </w:t>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ANNUAL MEETING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2.3</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SPECIAL MEETING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2.4</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ADVANCE NOTICE PROCEDURES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2.5</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NOTICE OF STOCKHOLDERS MEETINGS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2.6</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QUORUM</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2.7</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ADJOURNED MEETING; NOTICE</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2.8</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CONDUCT OF BUSINESS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2.9</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VOTING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2.10</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STOCKHOLDER ACTION BY WRITTEN CONSENT WITHOUT A</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MEETING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RECORD DATES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PROXIES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2.13</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LIST OF STOCKHOLDERS ENTITLED TO VOTE</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2.14</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INSPECTORS OF ELECTION</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III -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120" w:hRule="atLeast"/>
        </w:trPr>
        <w:tc>
          <w:tcPr>
            <w:tcW w:w="507" w:type="dxa"/>
            <w:tcBorders/>
            <w:shd w:fill="auto" w:val="clear"/>
            <w:vAlign w:val="center"/>
          </w:tcPr>
          <w:p>
            <w:pPr>
              <w:pStyle w:val="TableContents"/>
              <w:spacing w:before="0" w:after="283"/>
              <w:rPr>
                <w:sz w:val="4"/>
                <w:szCs w:val="4"/>
              </w:rPr>
            </w:pPr>
            <w:r>
              <w:rPr>
                <w:sz w:val="4"/>
                <w:szCs w:val="4"/>
              </w:rPr>
            </w:r>
          </w:p>
        </w:tc>
        <w:tc>
          <w:tcPr>
            <w:tcW w:w="527" w:type="dxa"/>
            <w:gridSpan w:val="2"/>
            <w:tcBorders/>
            <w:shd w:fill="auto" w:val="clear"/>
            <w:vAlign w:val="center"/>
          </w:tcPr>
          <w:p>
            <w:pPr>
              <w:pStyle w:val="TableContents"/>
              <w:spacing w:before="0" w:after="283"/>
              <w:rPr>
                <w:sz w:val="4"/>
                <w:szCs w:val="4"/>
              </w:rPr>
            </w:pPr>
            <w:r>
              <w:rPr>
                <w:sz w:val="4"/>
                <w:szCs w:val="4"/>
              </w:rPr>
            </w:r>
          </w:p>
        </w:tc>
        <w:tc>
          <w:tcPr>
            <w:tcW w:w="8466"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POWERS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NUMBER OF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3.3</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ELECTION, QUALIFICATION AND TERM OF OFFICE OF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3.4</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RESIGNATION AND VACANCIES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3.5</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PLACE OF MEETINGS; MEETINGS BY TELEPHONE</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3.6</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REGULAR MEETINGS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3.7</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SPECIAL MEETINGS; NOTICE</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3.8</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QUORUM; VOTING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3.9</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BOARD ACTION BY WRITTEN CONSENT WITHOUT A MEETING</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3.10</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FEES AND COMPENSATION OF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3.11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REMOVAL OF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IV - COMMITTEES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rHeight w:val="120" w:hRule="atLeast"/>
        </w:trPr>
        <w:tc>
          <w:tcPr>
            <w:tcW w:w="507" w:type="dxa"/>
            <w:tcBorders/>
            <w:shd w:fill="auto" w:val="clear"/>
            <w:vAlign w:val="center"/>
          </w:tcPr>
          <w:p>
            <w:pPr>
              <w:pStyle w:val="TableContents"/>
              <w:spacing w:before="0" w:after="283"/>
              <w:rPr>
                <w:sz w:val="4"/>
                <w:szCs w:val="4"/>
              </w:rPr>
            </w:pPr>
            <w:r>
              <w:rPr>
                <w:sz w:val="4"/>
                <w:szCs w:val="4"/>
              </w:rPr>
            </w:r>
          </w:p>
        </w:tc>
        <w:tc>
          <w:tcPr>
            <w:tcW w:w="527" w:type="dxa"/>
            <w:gridSpan w:val="2"/>
            <w:tcBorders/>
            <w:shd w:fill="auto" w:val="clear"/>
            <w:vAlign w:val="center"/>
          </w:tcPr>
          <w:p>
            <w:pPr>
              <w:pStyle w:val="TableContents"/>
              <w:spacing w:before="0" w:after="283"/>
              <w:rPr>
                <w:sz w:val="4"/>
                <w:szCs w:val="4"/>
              </w:rPr>
            </w:pPr>
            <w:r>
              <w:rPr>
                <w:sz w:val="4"/>
                <w:szCs w:val="4"/>
              </w:rPr>
            </w:r>
          </w:p>
        </w:tc>
        <w:tc>
          <w:tcPr>
            <w:tcW w:w="8466"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4.1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COMMITTEES OF DIRECTORS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4.2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COMMITTEE MINUTES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4.3</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MEETINGS AND ACTION OF COMMITTEES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4.4</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SUBCOMMITTEES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V - OFFICERS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rHeight w:val="120" w:hRule="atLeast"/>
        </w:trPr>
        <w:tc>
          <w:tcPr>
            <w:tcW w:w="507" w:type="dxa"/>
            <w:tcBorders/>
            <w:shd w:fill="auto" w:val="clear"/>
            <w:vAlign w:val="center"/>
          </w:tcPr>
          <w:p>
            <w:pPr>
              <w:pStyle w:val="TableContents"/>
              <w:spacing w:before="0" w:after="283"/>
              <w:rPr>
                <w:sz w:val="4"/>
                <w:szCs w:val="4"/>
              </w:rPr>
            </w:pPr>
            <w:r>
              <w:rPr>
                <w:sz w:val="4"/>
                <w:szCs w:val="4"/>
              </w:rPr>
            </w:r>
          </w:p>
        </w:tc>
        <w:tc>
          <w:tcPr>
            <w:tcW w:w="527" w:type="dxa"/>
            <w:gridSpan w:val="2"/>
            <w:tcBorders/>
            <w:shd w:fill="auto" w:val="clear"/>
            <w:vAlign w:val="center"/>
          </w:tcPr>
          <w:p>
            <w:pPr>
              <w:pStyle w:val="TableContents"/>
              <w:spacing w:before="0" w:after="283"/>
              <w:rPr>
                <w:sz w:val="4"/>
                <w:szCs w:val="4"/>
              </w:rPr>
            </w:pPr>
            <w:r>
              <w:rPr>
                <w:sz w:val="4"/>
                <w:szCs w:val="4"/>
              </w:rPr>
            </w:r>
          </w:p>
        </w:tc>
        <w:tc>
          <w:tcPr>
            <w:tcW w:w="8466"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5.1</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OFFICERS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5.2</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APPOINTMENT OF OFFICERS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507" w:type="dxa"/>
            <w:tcBorders/>
            <w:shd w:fill="auto" w:val="clea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5.3</w:t>
            </w:r>
          </w:p>
        </w:tc>
        <w:tc>
          <w:tcPr>
            <w:tcW w:w="127" w:type="dxa"/>
            <w:tcBorders/>
            <w:shd w:fill="auto" w:val="clear"/>
            <w:vAlign w:val="bottom"/>
          </w:tcPr>
          <w:p>
            <w:pPr>
              <w:pStyle w:val="TableContents"/>
              <w:spacing w:before="0" w:after="283"/>
              <w:rPr/>
            </w:pPr>
            <w:r>
              <w:rPr/>
              <w:t>  </w:t>
            </w:r>
          </w:p>
        </w:tc>
        <w:tc>
          <w:tcPr>
            <w:tcW w:w="8339" w:type="dxa"/>
            <w:tcBorders/>
            <w:shd w:fill="auto" w:val="clear"/>
            <w:vAlign w:val="bottom"/>
          </w:tcPr>
          <w:p>
            <w:pPr>
              <w:pStyle w:val="TableContents"/>
              <w:spacing w:before="0" w:after="283"/>
              <w:rPr/>
            </w:pPr>
            <w:r>
              <w:rPr/>
              <w:t>SUBORDINATE OFFICERS</w:t>
            </w:r>
          </w:p>
        </w:tc>
        <w:tc>
          <w:tcPr>
            <w:tcW w:w="127"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center"/>
        <w:rPr>
          <w:rFonts w:ascii="Times New Roman" w:hAnsi="Times New Roman"/>
          <w:b/>
          <w:sz w:val="20"/>
        </w:rPr>
      </w:pPr>
      <w:r>
        <w:rPr>
          <w:rFonts w:ascii="Times New Roman" w:hAnsi="Times New Roman"/>
          <w:b/>
          <w:sz w:val="20"/>
        </w:rPr>
        <w:t xml:space="preserve">(continued)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3"/>
        <w:gridCol w:w="67"/>
        <w:gridCol w:w="398"/>
        <w:gridCol w:w="126"/>
        <w:gridCol w:w="8406"/>
        <w:gridCol w:w="126"/>
        <w:gridCol w:w="96"/>
        <w:gridCol w:w="419"/>
        <w:gridCol w:w="64"/>
      </w:tblGrid>
      <w:tr>
        <w:trPr/>
        <w:tc>
          <w:tcPr>
            <w:tcW w:w="503"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840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jc w:val="center"/>
              <w:rPr>
                <w:b/>
                <w:i/>
              </w:rPr>
            </w:pPr>
            <w:r>
              <w:rPr>
                <w:b/>
                <w:i/>
              </w:rPr>
              <w:t>Page</w:t>
            </w:r>
          </w:p>
        </w:tc>
        <w:tc>
          <w:tcPr>
            <w:tcW w:w="64" w:type="dxa"/>
            <w:tcBorders/>
            <w:shd w:fill="auto" w:val="cle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532"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0"/>
              <w:rPr/>
            </w:pPr>
            <w:r>
              <w:rPr/>
              <w:t>        </w:t>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5.4</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REMOVAL AND RESIGNATION OF OFFICERS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5.5</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VACANCIES IN OFFICES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5.6</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REPRESENTATION OF SECURITIES OF OTHER ENTITIES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5.7</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AUTHORITY AND DUTIES OF OFFICERS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VI - STOCK</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532"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6.1</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STOCK CERTIFICATES; PARTLY PAID SHARES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6.2</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SPECIAL DESIGNATION ON CERTIFICATES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19</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6.3</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LOST CERTIFICATES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19</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6.4</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DIVIDENDS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6.5</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TRANSFER OF STOCK</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6.6</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STOCK TRANSFER AGREEMENTS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6.7</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REGISTERED STOCKHOLDERS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VII - MANNER OF GIVING NOTICE AND WAIVER</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532"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7.1</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NOTICE OF STOCKHOLDERS MEETINGS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7.2</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NOTICE TO STOCKHOLDERS SHARING AN ADDRESS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7.3</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NOTICE TO PERSON WITH WHOM COMMUNICATION IS UNLAWFUL</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7.4</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WAIVER OF NOTICE</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VIII - INDEMNIFICATION</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532"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8.1</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INDEMNIFICATION OF DIRECTORS AND OFFICERS IN THIRD PARTY</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PROCEEDINGS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8.2</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INDEMNIFICATION OF DIRECTORS AND OFFICERS IN ACTIONS BY</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OR IN THE RIGHT OF THE COMPANY</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8.3</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SUCCESSFUL DEFENSE</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8.4</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INDEMNIFICATION OF OTHERS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8.5</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ADVANCED PAYMENT OF EXPENSES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8.6</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LIMITATION ON INDEMNIFICATION</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23</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8.7</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DETERMINATION; CLAIM</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8.8</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NON-EXCLUSIVITY OF RIGHTS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8.9</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INSURANCE</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8.10</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SURVIVAL</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8.11</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EFFECT OF REPEAL OR MODIFICATION</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8.12</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CERTAIN DEFINITIONS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IX - GENERAL MATTERS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532" w:type="dxa"/>
            <w:gridSpan w:val="2"/>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9.1</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EXECUTION OF CORPORATE CONTRACTS AND INSTRUMENTS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9.2</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FISCAL YEAR</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9.3</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SEAL</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9.4</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CONSTRUCTION; DEFINITIONS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64" w:type="dxa"/>
            <w:tcBorders/>
            <w:shd w:fill="auto" w:val="clear"/>
            <w:vAlign w:val="bottom"/>
          </w:tcPr>
          <w:p>
            <w:pPr>
              <w:pStyle w:val="TableContents"/>
              <w:spacing w:before="0" w:after="283"/>
              <w:rPr/>
            </w:pPr>
            <w:r>
              <w:rPr/>
              <w:t> </w:t>
            </w:r>
          </w:p>
        </w:tc>
      </w:tr>
      <w:tr>
        <w:trPr/>
        <w:tc>
          <w:tcPr>
            <w:tcW w:w="503"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0"/>
              <w:rPr>
                <w:rFonts w:ascii="Times New Roman" w:hAnsi="Times New Roman"/>
                <w:sz w:val="20"/>
              </w:rPr>
            </w:pPr>
            <w:r>
              <w:rPr>
                <w:rFonts w:ascii="Times New Roman" w:hAnsi="Times New Roman"/>
                <w:sz w:val="20"/>
              </w:rPr>
              <w:t>9.5</w:t>
            </w:r>
          </w:p>
        </w:tc>
        <w:tc>
          <w:tcPr>
            <w:tcW w:w="126" w:type="dxa"/>
            <w:tcBorders/>
            <w:shd w:fill="auto" w:val="clear"/>
            <w:vAlign w:val="bottom"/>
          </w:tcPr>
          <w:p>
            <w:pPr>
              <w:pStyle w:val="TableContents"/>
              <w:spacing w:before="0" w:after="283"/>
              <w:rPr/>
            </w:pPr>
            <w:r>
              <w:rPr/>
              <w:t>  </w:t>
            </w:r>
          </w:p>
        </w:tc>
        <w:tc>
          <w:tcPr>
            <w:tcW w:w="8406" w:type="dxa"/>
            <w:tcBorders/>
            <w:shd w:fill="auto" w:val="clear"/>
            <w:vAlign w:val="bottom"/>
          </w:tcPr>
          <w:p>
            <w:pPr>
              <w:pStyle w:val="TableContents"/>
              <w:spacing w:before="0" w:after="283"/>
              <w:rPr/>
            </w:pPr>
            <w:r>
              <w:rPr/>
              <w:t>FORUM SELECTION</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64" w:type="dxa"/>
            <w:tcBorders/>
            <w:shd w:fill="auto" w:val="clear"/>
            <w:vAlign w:val="bottom"/>
          </w:tcPr>
          <w:p>
            <w:pPr>
              <w:pStyle w:val="TableContents"/>
              <w:spacing w:before="0" w:after="283"/>
              <w:rPr/>
            </w:pPr>
            <w:r>
              <w:rPr/>
              <w:t> </w:t>
            </w:r>
          </w:p>
        </w:tc>
      </w:tr>
      <w:tr>
        <w:trPr>
          <w:trHeight w:val="120" w:hRule="atLeast"/>
        </w:trPr>
        <w:tc>
          <w:tcPr>
            <w:tcW w:w="9500" w:type="dxa"/>
            <w:gridSpan w:val="5"/>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r>
      <w:tr>
        <w:trPr/>
        <w:tc>
          <w:tcPr>
            <w:tcW w:w="9500"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ARTICLE X - AMENDMENTS</w:t>
            </w:r>
          </w:p>
        </w:tc>
        <w:tc>
          <w:tcPr>
            <w:tcW w:w="12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BYLAWS OF PMV PHARMACEUTICALS, INC.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ARTICLE I - CORPORATE OFFICES </w:t>
      </w:r>
    </w:p>
    <w:p>
      <w:pPr>
        <w:pStyle w:val="TextBody"/>
        <w:spacing w:before="240" w:after="0"/>
        <w:jc w:val="left"/>
        <w:rPr>
          <w:rFonts w:ascii="Times New Roman" w:hAnsi="Times New Roman"/>
          <w:sz w:val="20"/>
        </w:rPr>
      </w:pPr>
      <w:r>
        <w:rPr>
          <w:rFonts w:ascii="Times New Roman" w:hAnsi="Times New Roman"/>
          <w:sz w:val="20"/>
        </w:rPr>
        <w:t xml:space="preserve">1.1 REGISTERED OFFICE </w:t>
      </w:r>
    </w:p>
    <w:p>
      <w:pPr>
        <w:pStyle w:val="TextBody"/>
        <w:spacing w:before="240" w:after="0"/>
        <w:jc w:val="left"/>
        <w:rPr>
          <w:rFonts w:ascii="Times New Roman" w:hAnsi="Times New Roman"/>
          <w:sz w:val="20"/>
        </w:rPr>
      </w:pPr>
      <w:r>
        <w:rPr>
          <w:rFonts w:ascii="Times New Roman" w:hAnsi="Times New Roman"/>
          <w:sz w:val="20"/>
        </w:rPr>
        <w:t>The registered office of PMV Pharmaceuticals, Inc. (the </w:t>
      </w:r>
      <w:r>
        <w:rPr>
          <w:rFonts w:ascii="Times New Roman" w:hAnsi="Times New Roman"/>
          <w:b/>
          <w:sz w:val="20"/>
        </w:rPr>
        <w:t>Company</w:t>
      </w:r>
      <w:r>
        <w:rPr>
          <w:rFonts w:ascii="Times New Roman" w:hAnsi="Times New Roman"/>
          <w:sz w:val="20"/>
        </w:rPr>
        <w:t xml:space="preserve">) shall be fixed in the Companys certificate of incorporation, as the same may be amended from time to time. </w:t>
      </w:r>
    </w:p>
    <w:p>
      <w:pPr>
        <w:pStyle w:val="TextBody"/>
        <w:spacing w:before="240" w:after="0"/>
        <w:jc w:val="left"/>
        <w:rPr>
          <w:rFonts w:ascii="Times New Roman" w:hAnsi="Times New Roman"/>
          <w:sz w:val="20"/>
        </w:rPr>
      </w:pPr>
      <w:r>
        <w:rPr>
          <w:rFonts w:ascii="Times New Roman" w:hAnsi="Times New Roman"/>
          <w:sz w:val="20"/>
        </w:rPr>
        <w:t xml:space="preserve">1.2 OTHER OFFICES </w:t>
      </w:r>
    </w:p>
    <w:p>
      <w:pPr>
        <w:pStyle w:val="TextBody"/>
        <w:spacing w:before="240" w:after="0"/>
        <w:jc w:val="left"/>
        <w:rPr>
          <w:rFonts w:ascii="Times New Roman" w:hAnsi="Times New Roman"/>
          <w:sz w:val="20"/>
        </w:rPr>
      </w:pPr>
      <w:r>
        <w:rPr>
          <w:rFonts w:ascii="Times New Roman" w:hAnsi="Times New Roman"/>
          <w:sz w:val="20"/>
        </w:rPr>
        <w:t xml:space="preserve">The Company may at any time establish other offices. </w:t>
      </w:r>
    </w:p>
    <w:p>
      <w:pPr>
        <w:pStyle w:val="TextBody"/>
        <w:spacing w:before="480" w:after="0"/>
        <w:jc w:val="center"/>
        <w:rPr>
          <w:rFonts w:ascii="Times New Roman" w:hAnsi="Times New Roman"/>
          <w:b/>
          <w:sz w:val="20"/>
        </w:rPr>
      </w:pPr>
      <w:r>
        <w:rPr>
          <w:rFonts w:ascii="Times New Roman" w:hAnsi="Times New Roman"/>
          <w:b/>
          <w:sz w:val="20"/>
        </w:rPr>
        <w:t xml:space="preserve">ARTICLE II - MEETINGS OF STOCKHOLDERS </w:t>
      </w:r>
    </w:p>
    <w:p>
      <w:pPr>
        <w:pStyle w:val="TextBody"/>
        <w:spacing w:before="240" w:after="0"/>
        <w:jc w:val="left"/>
        <w:rPr>
          <w:rFonts w:ascii="Times New Roman" w:hAnsi="Times New Roman"/>
          <w:sz w:val="20"/>
        </w:rPr>
      </w:pPr>
      <w:r>
        <w:rPr>
          <w:rFonts w:ascii="Times New Roman" w:hAnsi="Times New Roman"/>
          <w:sz w:val="20"/>
        </w:rPr>
        <w:t xml:space="preserve">2.1 PLACE OF MEETINGS </w:t>
      </w:r>
    </w:p>
    <w:p>
      <w:pPr>
        <w:pStyle w:val="TextBody"/>
        <w:spacing w:before="240" w:after="0"/>
        <w:jc w:val="left"/>
        <w:rPr>
          <w:rFonts w:ascii="Times New Roman" w:hAnsi="Times New Roman"/>
          <w:sz w:val="20"/>
        </w:rPr>
      </w:pPr>
      <w:r>
        <w:rPr>
          <w:rFonts w:ascii="Times New Roman" w:hAnsi="Times New Roman"/>
          <w:sz w:val="20"/>
        </w:rPr>
        <w:t>Meetings of stockholders shall be held at a place, if any, within or outside the State of Delaware, determined by the board of directors of the Company (the </w:t>
      </w:r>
      <w:r>
        <w:rPr>
          <w:rFonts w:ascii="Times New Roman" w:hAnsi="Times New Roman"/>
          <w:b/>
          <w:sz w:val="20"/>
        </w:rPr>
        <w:t>Board of Directors</w:t>
      </w:r>
      <w:r>
        <w:rPr>
          <w:rFonts w:ascii="Times New Roman" w:hAnsi="Times New Roman"/>
          <w:sz w:val="20"/>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hAnsi="Times New Roman"/>
          <w:b/>
          <w:sz w:val="20"/>
        </w:rPr>
        <w:t>DGCL</w:t>
      </w:r>
      <w:r>
        <w:rPr>
          <w:rFonts w:ascii="Times New Roman" w:hAnsi="Times New Roman"/>
          <w:sz w:val="20"/>
        </w:rPr>
        <w:t xml:space="preserve">). In the absence of any such designation or determination, stockholders meetings shall be held at the Companys principal executive office. </w:t>
      </w:r>
    </w:p>
    <w:p>
      <w:pPr>
        <w:pStyle w:val="TextBody"/>
        <w:spacing w:before="240" w:after="0"/>
        <w:jc w:val="left"/>
        <w:rPr>
          <w:rFonts w:ascii="Times New Roman" w:hAnsi="Times New Roman"/>
          <w:sz w:val="20"/>
        </w:rPr>
      </w:pPr>
      <w:r>
        <w:rPr>
          <w:rFonts w:ascii="Times New Roman" w:hAnsi="Times New Roman"/>
          <w:sz w:val="20"/>
        </w:rPr>
        <w:t xml:space="preserve">2.2 ANNUAL MEETING </w:t>
      </w:r>
    </w:p>
    <w:p>
      <w:pPr>
        <w:pStyle w:val="TextBody"/>
        <w:spacing w:before="240" w:after="0"/>
        <w:jc w:val="left"/>
        <w:rPr>
          <w:rFonts w:ascii="Times New Roman" w:hAnsi="Times New Roman"/>
          <w:sz w:val="20"/>
        </w:rPr>
      </w:pPr>
      <w:r>
        <w:rPr>
          <w:rFonts w:ascii="Times New Roman" w:hAnsi="Times New Roman"/>
          <w:sz w:val="20"/>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hAnsi="Times New Roman"/>
          <w:b/>
          <w:sz w:val="20"/>
        </w:rPr>
        <w:t>Whole Board</w:t>
      </w:r>
      <w:r>
        <w:rPr>
          <w:rFonts w:ascii="Times New Roman" w:hAnsi="Times New Roman"/>
          <w:sz w:val="20"/>
        </w:rPr>
        <w:t xml:space="preserve"> shall mean the total number of authorized directorships whether or not there exist any vacancies or other unfilled seats in previously authorized directorships. </w:t>
      </w:r>
    </w:p>
    <w:p>
      <w:pPr>
        <w:pStyle w:val="TextBody"/>
        <w:spacing w:before="240" w:after="0"/>
        <w:jc w:val="left"/>
        <w:rPr>
          <w:rFonts w:ascii="Times New Roman" w:hAnsi="Times New Roman"/>
          <w:sz w:val="20"/>
        </w:rPr>
      </w:pPr>
      <w:r>
        <w:rPr>
          <w:rFonts w:ascii="Times New Roman" w:hAnsi="Times New Roman"/>
          <w:sz w:val="20"/>
        </w:rPr>
        <w:t xml:space="preserve">2.3 SPECIAL MEETING </w:t>
      </w:r>
    </w:p>
    <w:p>
      <w:pPr>
        <w:pStyle w:val="TextBody"/>
        <w:spacing w:before="240" w:after="0"/>
        <w:jc w:val="left"/>
        <w:rPr>
          <w:rFonts w:ascii="Times New Roman" w:hAnsi="Times New Roman"/>
          <w:sz w:val="20"/>
        </w:rPr>
      </w:pPr>
      <w:r>
        <w:rPr>
          <w:rFonts w:ascii="Times New Roman" w:hAnsi="Times New Roman"/>
          <w:sz w:val="20"/>
        </w:rPr>
        <w:t xml:space="preserve">(a) 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 </w:t>
      </w:r>
    </w:p>
    <w:p>
      <w:pPr>
        <w:pStyle w:val="TextBody"/>
        <w:spacing w:before="240" w:after="0"/>
        <w:jc w:val="left"/>
        <w:rPr>
          <w:rFonts w:ascii="Times New Roman" w:hAnsi="Times New Roman"/>
          <w:sz w:val="20"/>
        </w:rPr>
      </w:pPr>
      <w:r>
        <w:rPr>
          <w:rFonts w:ascii="Times New Roman" w:hAnsi="Times New Roman"/>
          <w:sz w:val="20"/>
        </w:rPr>
        <w:t xml:space="preserve">2.4 ADVANCE NOTICE PROCEDURES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Meetings of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 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 </w:t>
      </w:r>
    </w:p>
    <w:p>
      <w:pPr>
        <w:pStyle w:val="TextBody"/>
        <w:spacing w:before="240" w:after="0"/>
        <w:jc w:val="left"/>
        <w:rPr>
          <w:rFonts w:ascii="Times New Roman" w:hAnsi="Times New Roman"/>
          <w:sz w:val="20"/>
        </w:rPr>
      </w:pPr>
      <w:r>
        <w:rPr>
          <w:rFonts w:ascii="Times New Roman" w:hAnsi="Times New Roman"/>
          <w:sz w:val="20"/>
        </w:rPr>
        <w:t xml:space="preserve">(ii) 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Eastern time, on the 120th day and no later than 5:00 p.m., Eastern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Eastern time, on the 120th day prior to the day of the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Eastern time, on the 10th day following the day on which such public announcement is first made. </w:t>
      </w:r>
      <w:r>
        <w:rPr>
          <w:rFonts w:ascii="Times New Roman" w:hAnsi="Times New Roman"/>
          <w:b/>
          <w:sz w:val="20"/>
        </w:rPr>
        <w:t>Public announcement</w:t>
      </w:r>
      <w:r>
        <w:rPr>
          <w:rFonts w:ascii="Times New Roman" w:hAnsi="Times New Roman"/>
          <w:sz w:val="20"/>
        </w:rPr>
        <w:t> means disclosure in a press release reported by a national news service or in a document publicly filed by the Company with the Securities and Exchange Commission pursuant to Section 13, Section 14 or Section 15(d) of the Securities Exchange Act of 1934 (as amended and inclusive of rules and regulations thereunder, the </w:t>
      </w:r>
      <w:r>
        <w:rPr>
          <w:rFonts w:ascii="Times New Roman" w:hAnsi="Times New Roman"/>
          <w:b/>
          <w:sz w:val="20"/>
        </w:rPr>
        <w:t>1934</w:t>
      </w:r>
      <w:r>
        <w:rPr>
          <w:rFonts w:ascii="Times New Roman" w:hAnsi="Times New Roman"/>
          <w:sz w:val="20"/>
        </w:rPr>
        <w:t> </w:t>
      </w:r>
      <w:r>
        <w:rPr>
          <w:rFonts w:ascii="Times New Roman" w:hAnsi="Times New Roman"/>
          <w:b/>
          <w:sz w:val="20"/>
        </w:rPr>
        <w:t>Act</w:t>
      </w:r>
      <w:r>
        <w:rPr>
          <w:rFonts w:ascii="Times New Roman" w:hAnsi="Times New Roman"/>
          <w:sz w:val="20"/>
        </w:rPr>
        <w:t xml:space="preserve">) or by such other means as is reasonably designed to inform the public or stockholders of the Company in general of such information, including, without limitation, posting on the Companys investor relations website. </w:t>
      </w:r>
    </w:p>
    <w:p>
      <w:pPr>
        <w:pStyle w:val="TextBody"/>
        <w:spacing w:before="240" w:after="0"/>
        <w:jc w:val="left"/>
        <w:rPr>
          <w:rFonts w:ascii="Times New Roman" w:hAnsi="Times New Roman"/>
          <w:sz w:val="20"/>
        </w:rPr>
      </w:pPr>
      <w:r>
        <w:rPr>
          <w:rFonts w:ascii="Times New Roman" w:hAnsi="Times New Roman"/>
          <w:sz w:val="20"/>
        </w:rPr>
        <w:t xml:space="preserve">(iii) A stockholders notice to the secretary must set forth: </w:t>
      </w:r>
    </w:p>
    <w:p>
      <w:pPr>
        <w:pStyle w:val="TextBody"/>
        <w:spacing w:before="240" w:after="0"/>
        <w:jc w:val="left"/>
        <w:rPr>
          <w:rFonts w:ascii="Times New Roman" w:hAnsi="Times New Roman"/>
          <w:sz w:val="20"/>
        </w:rPr>
      </w:pPr>
      <w:r>
        <w:rPr>
          <w:rFonts w:ascii="Times New Roman" w:hAnsi="Times New Roman"/>
          <w:sz w:val="20"/>
        </w:rPr>
        <w:t xml:space="preserve">(1) as to each person whom the stockholder proposes to nominate for election as a director: </w:t>
      </w:r>
    </w:p>
    <w:p>
      <w:pPr>
        <w:pStyle w:val="TextBody"/>
        <w:spacing w:before="240" w:after="0"/>
        <w:jc w:val="left"/>
        <w:rPr>
          <w:rFonts w:ascii="Times New Roman" w:hAnsi="Times New Roman"/>
          <w:sz w:val="20"/>
        </w:rPr>
      </w:pPr>
      <w:r>
        <w:rPr>
          <w:rFonts w:ascii="Times New Roman" w:hAnsi="Times New Roman"/>
          <w:sz w:val="20"/>
        </w:rPr>
        <w:t xml:space="preserve">(A) such persons name, age, business address, residence address and principal occupation or employment; </w:t>
      </w:r>
    </w:p>
    <w:p>
      <w:pPr>
        <w:pStyle w:val="TextBody"/>
        <w:spacing w:before="240" w:after="0"/>
        <w:jc w:val="left"/>
        <w:rPr>
          <w:rFonts w:ascii="Times New Roman" w:hAnsi="Times New Roman"/>
          <w:sz w:val="20"/>
        </w:rPr>
      </w:pPr>
      <w:r>
        <w:rPr>
          <w:rFonts w:ascii="Times New Roman" w:hAnsi="Times New Roman"/>
          <w:sz w:val="20"/>
        </w:rPr>
        <w:t xml:space="preserve">(B) the class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 </w:t>
      </w:r>
    </w:p>
    <w:p>
      <w:pPr>
        <w:pStyle w:val="TextBody"/>
        <w:spacing w:before="240" w:after="0"/>
        <w:jc w:val="left"/>
        <w:rPr>
          <w:rFonts w:ascii="Times New Roman" w:hAnsi="Times New Roman"/>
          <w:sz w:val="20"/>
        </w:rPr>
      </w:pPr>
      <w:r>
        <w:rPr>
          <w:rFonts w:ascii="Times New Roman" w:hAnsi="Times New Roman"/>
          <w:sz w:val="20"/>
        </w:rPr>
        <w:t xml:space="preserve">(C) all information relating to such person that is required to be disclosed in connection with solicitations of proxies for the contested election of directors, or is otherwise required, in each case pursuant to Section 14 of the 1934 Act; </w:t>
      </w:r>
    </w:p>
    <w:p>
      <w:pPr>
        <w:pStyle w:val="TextBody"/>
        <w:spacing w:before="240" w:after="0"/>
        <w:jc w:val="left"/>
        <w:rPr>
          <w:rFonts w:ascii="Times New Roman" w:hAnsi="Times New Roman"/>
          <w:sz w:val="20"/>
        </w:rPr>
      </w:pPr>
      <w:r>
        <w:rPr>
          <w:rFonts w:ascii="Times New Roman" w:hAnsi="Times New Roman"/>
          <w:sz w:val="20"/>
        </w:rPr>
        <w:t xml:space="preserve">(D) such persons written consent (x) to being named as a nominee of such stockholder, (y) to being named in the Companys form of proxy pursuant to Rule 14a-19 under the 1934 Act and (z) to serving as a director of the Company if elected; </w:t>
      </w:r>
    </w:p>
    <w:p>
      <w:pPr>
        <w:pStyle w:val="TextBody"/>
        <w:spacing w:before="240" w:after="0"/>
        <w:jc w:val="left"/>
        <w:rPr>
          <w:rFonts w:ascii="Times New Roman" w:hAnsi="Times New Roman"/>
          <w:sz w:val="20"/>
        </w:rPr>
      </w:pPr>
      <w:r>
        <w:rPr>
          <w:rFonts w:ascii="Times New Roman" w:hAnsi="Times New Roman"/>
          <w:sz w:val="20"/>
        </w:rPr>
        <w:t>(E) 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hAnsi="Times New Roman"/>
          <w:b/>
          <w:sz w:val="20"/>
        </w:rPr>
        <w:t>Third-Party Compensation Arrangement</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(F) 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 as to any other business that the stockholder proposes to bring before the annual meeting: </w:t>
      </w:r>
    </w:p>
    <w:p>
      <w:pPr>
        <w:pStyle w:val="TextBody"/>
        <w:spacing w:before="240" w:after="0"/>
        <w:jc w:val="left"/>
        <w:rPr>
          <w:rFonts w:ascii="Times New Roman" w:hAnsi="Times New Roman"/>
          <w:sz w:val="20"/>
        </w:rPr>
      </w:pPr>
      <w:r>
        <w:rPr>
          <w:rFonts w:ascii="Times New Roman" w:hAnsi="Times New Roman"/>
          <w:sz w:val="20"/>
        </w:rPr>
        <w:t xml:space="preserve">(A) a brief description of the business desired to be brought before the annual meeting; </w:t>
      </w:r>
    </w:p>
    <w:p>
      <w:pPr>
        <w:pStyle w:val="TextBody"/>
        <w:spacing w:before="240" w:after="0"/>
        <w:jc w:val="left"/>
        <w:rPr>
          <w:rFonts w:ascii="Times New Roman" w:hAnsi="Times New Roman"/>
          <w:sz w:val="20"/>
        </w:rPr>
      </w:pPr>
      <w:r>
        <w:rPr>
          <w:rFonts w:ascii="Times New Roman" w:hAnsi="Times New Roman"/>
          <w:sz w:val="20"/>
        </w:rPr>
        <w:t xml:space="preserve">(B) the text of the proposal or business (including the text of any resolutions proposed for consideration and, if applicable, the text of any proposed amendment to these bylaws); </w:t>
      </w:r>
    </w:p>
    <w:p>
      <w:pPr>
        <w:pStyle w:val="TextBody"/>
        <w:spacing w:before="240" w:after="0"/>
        <w:jc w:val="left"/>
        <w:rPr>
          <w:rFonts w:ascii="Times New Roman" w:hAnsi="Times New Roman"/>
          <w:sz w:val="20"/>
        </w:rPr>
      </w:pPr>
      <w:r>
        <w:rPr>
          <w:rFonts w:ascii="Times New Roman" w:hAnsi="Times New Roman"/>
          <w:sz w:val="20"/>
        </w:rPr>
        <w:t xml:space="preserve">(C) the reasons for conducting such business at the annual meeting; </w:t>
      </w:r>
    </w:p>
    <w:p>
      <w:pPr>
        <w:pStyle w:val="TextBody"/>
        <w:spacing w:before="240" w:after="0"/>
        <w:jc w:val="left"/>
        <w:rPr>
          <w:rFonts w:ascii="Times New Roman" w:hAnsi="Times New Roman"/>
          <w:sz w:val="20"/>
        </w:rPr>
      </w:pPr>
      <w:r>
        <w:rPr>
          <w:rFonts w:ascii="Times New Roman" w:hAnsi="Times New Roman"/>
          <w:sz w:val="20"/>
        </w:rPr>
        <w:t xml:space="preserve">(D) any material interest in such business of such stockholder giving the notice and the beneficial owner, if any, on whose behalf the proposal is made, and their respective affiliates and associates, or others acting in concert with them; and </w:t>
      </w:r>
    </w:p>
    <w:p>
      <w:pPr>
        <w:pStyle w:val="TextBody"/>
        <w:spacing w:before="240" w:after="0"/>
        <w:jc w:val="left"/>
        <w:rPr>
          <w:rFonts w:ascii="Times New Roman" w:hAnsi="Times New Roman"/>
          <w:sz w:val="20"/>
        </w:rPr>
      </w:pPr>
      <w:r>
        <w:rPr>
          <w:rFonts w:ascii="Times New Roman" w:hAnsi="Times New Roman"/>
          <w:sz w:val="20"/>
        </w:rPr>
        <w:t xml:space="preserve">(E) 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 </w:t>
      </w:r>
    </w:p>
    <w:p>
      <w:pPr>
        <w:pStyle w:val="TextBody"/>
        <w:spacing w:before="240" w:after="0"/>
        <w:jc w:val="left"/>
        <w:rPr>
          <w:rFonts w:ascii="Times New Roman" w:hAnsi="Times New Roman"/>
          <w:sz w:val="20"/>
        </w:rPr>
      </w:pPr>
      <w:r>
        <w:rPr>
          <w:rFonts w:ascii="Times New Roman" w:hAnsi="Times New Roman"/>
          <w:sz w:val="20"/>
        </w:rPr>
        <w:t xml:space="preserve">(3) as to the stockholder giving the notice and the beneficial owner, if any, on whose behalf the nomination or proposal is made: </w:t>
      </w:r>
    </w:p>
    <w:p>
      <w:pPr>
        <w:pStyle w:val="TextBody"/>
        <w:spacing w:before="240" w:after="0"/>
        <w:jc w:val="left"/>
        <w:rPr>
          <w:rFonts w:ascii="Times New Roman" w:hAnsi="Times New Roman"/>
          <w:sz w:val="20"/>
        </w:rPr>
      </w:pPr>
      <w:r>
        <w:rPr>
          <w:rFonts w:ascii="Times New Roman" w:hAnsi="Times New Roman"/>
          <w:sz w:val="20"/>
        </w:rPr>
        <w:t xml:space="preserve">(A) the name and address of such stockholder (as they appear on the Companys books), of such beneficial owner, and of their respective affiliates or associates or others acting in concert with them; </w:t>
      </w:r>
    </w:p>
    <w:p>
      <w:pPr>
        <w:pStyle w:val="TextBody"/>
        <w:spacing w:before="240" w:after="0"/>
        <w:jc w:val="left"/>
        <w:rPr>
          <w:rFonts w:ascii="Times New Roman" w:hAnsi="Times New Roman"/>
          <w:sz w:val="20"/>
        </w:rPr>
      </w:pPr>
      <w:r>
        <w:rPr>
          <w:rFonts w:ascii="Times New Roman" w:hAnsi="Times New Roman"/>
          <w:sz w:val="20"/>
        </w:rPr>
        <w:t xml:space="preserve">(B) for each class or series, the number of shares of stock of the Company that are, directly or indirectly, held of record or are beneficially owned by such stockholder, such beneficial owner or their respective affiliates or associates or others acting in concert with them; </w:t>
      </w:r>
    </w:p>
    <w:p>
      <w:pPr>
        <w:pStyle w:val="TextBody"/>
        <w:spacing w:before="240" w:after="0"/>
        <w:jc w:val="left"/>
        <w:rPr>
          <w:rFonts w:ascii="Times New Roman" w:hAnsi="Times New Roman"/>
          <w:sz w:val="20"/>
        </w:rPr>
      </w:pPr>
      <w:r>
        <w:rPr>
          <w:rFonts w:ascii="Times New Roman" w:hAnsi="Times New Roman"/>
          <w:sz w:val="20"/>
        </w:rPr>
        <w:t xml:space="preserve">(C)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 </w:t>
      </w:r>
    </w:p>
    <w:p>
      <w:pPr>
        <w:pStyle w:val="TextBody"/>
        <w:spacing w:before="240" w:after="0"/>
        <w:jc w:val="left"/>
        <w:rPr>
          <w:rFonts w:ascii="Times New Roman" w:hAnsi="Times New Roman"/>
          <w:sz w:val="20"/>
        </w:rPr>
      </w:pPr>
      <w:r>
        <w:rPr>
          <w:rFonts w:ascii="Times New Roman" w:hAnsi="Times New Roman"/>
          <w:sz w:val="20"/>
        </w:rPr>
        <w:t>(D) 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hAnsi="Times New Roman"/>
          <w:b/>
          <w:sz w:val="20"/>
        </w:rPr>
        <w:t>Derivative Instrument</w:t>
      </w:r>
      <w:r>
        <w:rPr>
          <w:rFonts w:ascii="Times New Roman" w:hAnsi="Times New Roman"/>
          <w:sz w:val="20"/>
        </w:rPr>
        <w:t xml:space="preserve">)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any proxy, contract, arrangement, understanding or relationship pursuant to which such stockholder, such beneficial owner or their respective affiliates or associates or others acting in concert with them has a right to vote any shares of any security of the Company; </w:t>
      </w:r>
    </w:p>
    <w:p>
      <w:pPr>
        <w:pStyle w:val="TextBody"/>
        <w:spacing w:before="240" w:after="0"/>
        <w:jc w:val="left"/>
        <w:rPr>
          <w:rFonts w:ascii="Times New Roman" w:hAnsi="Times New Roman"/>
          <w:sz w:val="20"/>
        </w:rPr>
      </w:pPr>
      <w:r>
        <w:rPr>
          <w:rFonts w:ascii="Times New Roman" w:hAnsi="Times New Roman"/>
          <w:sz w:val="20"/>
        </w:rPr>
        <w:t xml:space="preserve">(F) any rights to dividends on the Companys securities owned beneficially by such stockholder, such beneficial owner or their respective affiliates or associates or others acting in concert with them that are separated or separable from the underlying security; </w:t>
      </w:r>
    </w:p>
    <w:p>
      <w:pPr>
        <w:pStyle w:val="TextBody"/>
        <w:spacing w:before="240" w:after="0"/>
        <w:jc w:val="left"/>
        <w:rPr>
          <w:rFonts w:ascii="Times New Roman" w:hAnsi="Times New Roman"/>
          <w:sz w:val="20"/>
        </w:rPr>
      </w:pPr>
      <w:r>
        <w:rPr>
          <w:rFonts w:ascii="Times New Roman" w:hAnsi="Times New Roman"/>
          <w:sz w:val="20"/>
        </w:rPr>
        <w:t xml:space="preserve">(G) 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 </w:t>
      </w:r>
    </w:p>
    <w:p>
      <w:pPr>
        <w:pStyle w:val="TextBody"/>
        <w:spacing w:before="240" w:after="0"/>
        <w:jc w:val="left"/>
        <w:rPr>
          <w:rFonts w:ascii="Times New Roman" w:hAnsi="Times New Roman"/>
          <w:sz w:val="20"/>
        </w:rPr>
      </w:pPr>
      <w:r>
        <w:rPr>
          <w:rFonts w:ascii="Times New Roman" w:hAnsi="Times New Roman"/>
          <w:sz w:val="20"/>
        </w:rPr>
        <w:t xml:space="preserve">(H) 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 </w:t>
      </w:r>
    </w:p>
    <w:p>
      <w:pPr>
        <w:pStyle w:val="TextBody"/>
        <w:spacing w:before="240" w:after="0"/>
        <w:jc w:val="left"/>
        <w:rPr>
          <w:rFonts w:ascii="Times New Roman" w:hAnsi="Times New Roman"/>
          <w:sz w:val="20"/>
        </w:rPr>
      </w:pPr>
      <w:r>
        <w:rPr>
          <w:rFonts w:ascii="Times New Roman" w:hAnsi="Times New Roman"/>
          <w:sz w:val="20"/>
        </w:rPr>
        <w:t xml:space="preserve">(I) any significant equity interests or any Derivative Instruments in any principal competitor of the Company that are held by such stockholder, such beneficial owner or their respective affiliates or associates or others acting in concert with them; </w:t>
      </w:r>
    </w:p>
    <w:p>
      <w:pPr>
        <w:pStyle w:val="TextBody"/>
        <w:spacing w:before="240" w:after="0"/>
        <w:jc w:val="left"/>
        <w:rPr>
          <w:rFonts w:ascii="Times New Roman" w:hAnsi="Times New Roman"/>
          <w:sz w:val="20"/>
        </w:rPr>
      </w:pPr>
      <w:r>
        <w:rPr>
          <w:rFonts w:ascii="Times New Roman" w:hAnsi="Times New Roman"/>
          <w:sz w:val="20"/>
        </w:rPr>
        <w:t xml:space="preserve">(J) 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 </w:t>
      </w:r>
    </w:p>
    <w:p>
      <w:pPr>
        <w:pStyle w:val="TextBody"/>
        <w:spacing w:before="240" w:after="0"/>
        <w:jc w:val="left"/>
        <w:rPr>
          <w:rFonts w:ascii="Times New Roman" w:hAnsi="Times New Roman"/>
          <w:sz w:val="20"/>
        </w:rPr>
      </w:pPr>
      <w:r>
        <w:rPr>
          <w:rFonts w:ascii="Times New Roman" w:hAnsi="Times New Roman"/>
          <w:sz w:val="20"/>
        </w:rPr>
        <w:t xml:space="preserve">(K) 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 </w:t>
      </w:r>
    </w:p>
    <w:p>
      <w:pPr>
        <w:pStyle w:val="TextBody"/>
        <w:spacing w:before="240" w:after="0"/>
        <w:jc w:val="left"/>
        <w:rPr>
          <w:rFonts w:ascii="Times New Roman" w:hAnsi="Times New Roman"/>
          <w:sz w:val="20"/>
        </w:rPr>
      </w:pPr>
      <w:r>
        <w:rPr>
          <w:rFonts w:ascii="Times New Roman" w:hAnsi="Times New Roman"/>
          <w:sz w:val="20"/>
        </w:rPr>
        <w:t xml:space="preserve">(L) any material relationship between such stockholder, such beneficial owner or their respective affiliates or associates or others acting in concert with them, on the one hand, and the Company or any of its officers, directors or affiliates, on the other hand; </w:t>
      </w:r>
    </w:p>
    <w:p>
      <w:pPr>
        <w:pStyle w:val="TextBody"/>
        <w:spacing w:before="240" w:after="0"/>
        <w:jc w:val="left"/>
        <w:rPr>
          <w:rFonts w:ascii="Times New Roman" w:hAnsi="Times New Roman"/>
          <w:sz w:val="20"/>
        </w:rPr>
      </w:pPr>
      <w:r>
        <w:rPr>
          <w:rFonts w:ascii="Times New Roman" w:hAnsi="Times New Roman"/>
          <w:sz w:val="20"/>
        </w:rPr>
        <w:t xml:space="preserve">(M) 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 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 </w:t>
      </w:r>
    </w:p>
    <w:p>
      <w:pPr>
        <w:pStyle w:val="TextBody"/>
        <w:spacing w:before="240" w:after="0"/>
        <w:jc w:val="left"/>
        <w:rPr>
          <w:rFonts w:ascii="Times New Roman" w:hAnsi="Times New Roman"/>
          <w:sz w:val="20"/>
        </w:rPr>
      </w:pPr>
      <w:r>
        <w:rPr>
          <w:rFonts w:ascii="Times New Roman" w:hAnsi="Times New Roman"/>
          <w:sz w:val="20"/>
        </w:rPr>
        <w:t xml:space="preserve">(O) 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 </w:t>
      </w:r>
    </w:p>
    <w:p>
      <w:pPr>
        <w:pStyle w:val="TextBody"/>
        <w:spacing w:before="240" w:after="0"/>
        <w:jc w:val="left"/>
        <w:rPr>
          <w:rFonts w:ascii="Times New Roman" w:hAnsi="Times New Roman"/>
          <w:sz w:val="20"/>
        </w:rPr>
      </w:pPr>
      <w:r>
        <w:rPr>
          <w:rFonts w:ascii="Times New Roman" w:hAnsi="Times New Roman"/>
          <w:sz w:val="20"/>
        </w:rPr>
        <w:t xml:space="preserve">(P) such other information relating to any proposed item of business as the Company may reasonably require to determine whether such proposed item of business is a proper matter for stockholder action. </w:t>
      </w:r>
    </w:p>
    <w:p>
      <w:pPr>
        <w:pStyle w:val="TextBody"/>
        <w:spacing w:before="240" w:after="0"/>
        <w:jc w:val="left"/>
        <w:rPr>
          <w:rFonts w:ascii="Times New Roman" w:hAnsi="Times New Roman"/>
          <w:sz w:val="20"/>
        </w:rPr>
      </w:pPr>
      <w:r>
        <w:rPr>
          <w:rFonts w:ascii="Times New Roman" w:hAnsi="Times New Roman"/>
          <w:sz w:val="20"/>
        </w:rPr>
        <w:t xml:space="preserve">(iv) 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Meetings of Stockholders</w:t>
      </w:r>
      <w:r>
        <w:rPr>
          <w:rFonts w:ascii="Times New Roman" w:hAnsi="Times New Roman"/>
          <w:sz w:val="20"/>
        </w:rPr>
        <w:t xml:space="preserve">. Except to the extent required by the DGCL, and subject to Section 2.3(a), special 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Eastern time, on the 120th day prior to the day of the special meeting and no later than 5:00 p.m., Eastern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Other Requirements</w:t>
      </w:r>
      <w:r>
        <w:rPr>
          <w:rFonts w:ascii="Times New Roman" w:hAnsi="Times New Roman"/>
          <w:sz w:val="20"/>
        </w:rPr>
        <w:t xml:space="preserve"> </w:t>
      </w:r>
      <w:r>
        <w:rPr>
          <w:rFonts w:ascii="Times New Roman" w:hAnsi="Times New Roman"/>
          <w:i/>
          <w:sz w:val="20"/>
        </w:rPr>
        <w:t>and Procedures.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 To be eligible to be a nominee of any stockholder for election as a director of the Company, the proposed nominee must provide to the secretary, in accordance with the applicable time periods prescribed for delivery of notice under Section 2.4(a)(ii) or Section 2.4(b): </w:t>
      </w:r>
    </w:p>
    <w:p>
      <w:pPr>
        <w:pStyle w:val="TextBody"/>
        <w:spacing w:before="120" w:after="0"/>
        <w:jc w:val="left"/>
        <w:rPr>
          <w:rFonts w:ascii="Times New Roman" w:hAnsi="Times New Roman"/>
          <w:sz w:val="20"/>
        </w:rPr>
      </w:pPr>
      <w:r>
        <w:rPr>
          <w:rFonts w:ascii="Times New Roman" w:hAnsi="Times New Roman"/>
          <w:sz w:val="20"/>
        </w:rPr>
        <w:t xml:space="preserve">(1) 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 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 </w:t>
      </w:r>
    </w:p>
    <w:p>
      <w:pPr>
        <w:pStyle w:val="TextBody"/>
        <w:spacing w:before="240" w:after="0"/>
        <w:jc w:val="left"/>
        <w:rPr>
          <w:rFonts w:ascii="Times New Roman" w:hAnsi="Times New Roman"/>
          <w:sz w:val="20"/>
        </w:rPr>
      </w:pPr>
      <w:r>
        <w:rPr>
          <w:rFonts w:ascii="Times New Roman" w:hAnsi="Times New Roman"/>
          <w:sz w:val="20"/>
        </w:rPr>
        <w:t xml:space="preserve">(3) a written representation and undertaking that, unless previously disclosed to the Company, such nominee is not, and will not become, a party to any Third-Party Compensation Arrangement; </w:t>
      </w:r>
    </w:p>
    <w:p>
      <w:pPr>
        <w:pStyle w:val="TextBody"/>
        <w:spacing w:before="240" w:after="0"/>
        <w:jc w:val="left"/>
        <w:rPr>
          <w:rFonts w:ascii="Times New Roman" w:hAnsi="Times New Roman"/>
          <w:sz w:val="20"/>
        </w:rPr>
      </w:pPr>
      <w:r>
        <w:rPr>
          <w:rFonts w:ascii="Times New Roman" w:hAnsi="Times New Roman"/>
          <w:sz w:val="20"/>
        </w:rPr>
        <w:t xml:space="preserve">(4) 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and </w:t>
      </w:r>
    </w:p>
    <w:p>
      <w:pPr>
        <w:pStyle w:val="TextBody"/>
        <w:spacing w:before="240" w:after="0"/>
        <w:jc w:val="left"/>
        <w:rPr>
          <w:rFonts w:ascii="Times New Roman" w:hAnsi="Times New Roman"/>
          <w:sz w:val="20"/>
        </w:rPr>
      </w:pPr>
      <w:r>
        <w:rPr>
          <w:rFonts w:ascii="Times New Roman" w:hAnsi="Times New Roman"/>
          <w:sz w:val="20"/>
        </w:rPr>
        <w:t xml:space="preserve">(5) a written representation and undertaking that such nominee, if elected, intends to serve a full term on the Board of Directors. </w:t>
      </w:r>
    </w:p>
    <w:p>
      <w:pPr>
        <w:pStyle w:val="TextBody"/>
        <w:spacing w:before="240" w:after="0"/>
        <w:jc w:val="left"/>
        <w:rPr>
          <w:rFonts w:ascii="Times New Roman" w:hAnsi="Times New Roman"/>
          <w:sz w:val="20"/>
        </w:rPr>
      </w:pPr>
      <w:r>
        <w:rPr>
          <w:rFonts w:ascii="Times New Roman" w:hAnsi="Times New Roman"/>
          <w:sz w:val="20"/>
        </w:rPr>
        <w:t xml:space="preserve">(ii) At the request of the Board of Directors, any person nominated by the Board of Directors for election as a director must furnish to the secretary the information that is required to be set forth in a stockholders notice of nomination pertaining to such nominee. </w:t>
      </w:r>
    </w:p>
    <w:p>
      <w:pPr>
        <w:pStyle w:val="TextBody"/>
        <w:spacing w:before="240" w:after="0"/>
        <w:jc w:val="left"/>
        <w:rPr>
          <w:rFonts w:ascii="Times New Roman" w:hAnsi="Times New Roman"/>
          <w:sz w:val="20"/>
        </w:rPr>
      </w:pPr>
      <w:r>
        <w:rPr>
          <w:rFonts w:ascii="Times New Roman" w:hAnsi="Times New Roman"/>
          <w:sz w:val="20"/>
        </w:rPr>
        <w:t xml:space="preserve">(iii) 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 </w:t>
      </w:r>
    </w:p>
    <w:p>
      <w:pPr>
        <w:pStyle w:val="TextBody"/>
        <w:spacing w:before="240" w:after="0"/>
        <w:jc w:val="left"/>
        <w:rPr>
          <w:rFonts w:ascii="Times New Roman" w:hAnsi="Times New Roman"/>
          <w:sz w:val="20"/>
        </w:rPr>
      </w:pPr>
      <w:r>
        <w:rPr>
          <w:rFonts w:ascii="Times New Roman" w:hAnsi="Times New Roman"/>
          <w:sz w:val="20"/>
        </w:rPr>
        <w:t xml:space="preserve">(iv) 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 </w:t>
      </w:r>
    </w:p>
    <w:p>
      <w:pPr>
        <w:pStyle w:val="TextBody"/>
        <w:spacing w:before="240" w:after="0"/>
        <w:jc w:val="left"/>
        <w:rPr>
          <w:rFonts w:ascii="Times New Roman" w:hAnsi="Times New Roman"/>
          <w:sz w:val="20"/>
        </w:rPr>
      </w:pPr>
      <w:r>
        <w:rPr>
          <w:rFonts w:ascii="Times New Roman" w:hAnsi="Times New Roman"/>
          <w:sz w:val="20"/>
        </w:rPr>
        <w:t xml:space="preserve">(v) 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 </w:t>
      </w:r>
    </w:p>
    <w:p>
      <w:pPr>
        <w:pStyle w:val="TextBody"/>
        <w:spacing w:before="240" w:after="0"/>
        <w:jc w:val="left"/>
        <w:rPr>
          <w:rFonts w:ascii="Times New Roman" w:hAnsi="Times New Roman"/>
          <w:sz w:val="20"/>
        </w:rPr>
      </w:pPr>
      <w:r>
        <w:rPr>
          <w:rFonts w:ascii="Times New Roman" w:hAnsi="Times New Roman"/>
          <w:sz w:val="20"/>
        </w:rPr>
        <w:t xml:space="preserve">(vii) 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 has been prepared by the Company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 </w:t>
      </w:r>
    </w:p>
    <w:p>
      <w:pPr>
        <w:pStyle w:val="TextBody"/>
        <w:spacing w:before="240" w:after="0"/>
        <w:jc w:val="left"/>
        <w:rPr>
          <w:rFonts w:ascii="Times New Roman" w:hAnsi="Times New Roman"/>
          <w:sz w:val="20"/>
        </w:rPr>
      </w:pPr>
      <w:r>
        <w:rPr>
          <w:rFonts w:ascii="Times New Roman" w:hAnsi="Times New Roman"/>
          <w:sz w:val="20"/>
        </w:rPr>
        <w:t xml:space="preserve">2.5 NOTICE OF STOCKHOLDERS MEETINGS </w:t>
      </w:r>
    </w:p>
    <w:p>
      <w:pPr>
        <w:pStyle w:val="TextBody"/>
        <w:spacing w:before="240" w:after="0"/>
        <w:jc w:val="left"/>
        <w:rPr>
          <w:rFonts w:ascii="Times New Roman" w:hAnsi="Times New Roman"/>
          <w:sz w:val="20"/>
        </w:rPr>
      </w:pPr>
      <w:r>
        <w:rPr>
          <w:rFonts w:ascii="Times New Roman" w:hAnsi="Times New Roman"/>
          <w:sz w:val="20"/>
        </w:rPr>
        <w:t xml:space="preserve">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 </w:t>
      </w:r>
    </w:p>
    <w:p>
      <w:pPr>
        <w:pStyle w:val="TextBody"/>
        <w:spacing w:before="240" w:after="0"/>
        <w:jc w:val="left"/>
        <w:rPr>
          <w:rFonts w:ascii="Times New Roman" w:hAnsi="Times New Roman"/>
          <w:sz w:val="20"/>
        </w:rPr>
      </w:pPr>
      <w:r>
        <w:rPr>
          <w:rFonts w:ascii="Times New Roman" w:hAnsi="Times New Roman"/>
          <w:sz w:val="20"/>
        </w:rPr>
        <w:t xml:space="preserve">2.6 QUORUM </w:t>
      </w:r>
    </w:p>
    <w:p>
      <w:pPr>
        <w:pStyle w:val="TextBody"/>
        <w:spacing w:before="240" w:after="0"/>
        <w:jc w:val="left"/>
        <w:rPr>
          <w:rFonts w:ascii="Times New Roman" w:hAnsi="Times New Roman"/>
          <w:sz w:val="20"/>
        </w:rPr>
      </w:pPr>
      <w:r>
        <w:rPr>
          <w:rFonts w:ascii="Times New Roman" w:hAnsi="Times New Roman"/>
          <w:sz w:val="20"/>
        </w:rPr>
        <w:t xml:space="preserve">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 </w:t>
      </w:r>
    </w:p>
    <w:p>
      <w:pPr>
        <w:pStyle w:val="TextBody"/>
        <w:spacing w:before="240" w:after="0"/>
        <w:jc w:val="left"/>
        <w:rPr>
          <w:rFonts w:ascii="Times New Roman" w:hAnsi="Times New Roman"/>
          <w:sz w:val="20"/>
        </w:rPr>
      </w:pPr>
      <w:r>
        <w:rPr>
          <w:rFonts w:ascii="Times New Roman" w:hAnsi="Times New Roman"/>
          <w:sz w:val="20"/>
        </w:rPr>
        <w:t xml:space="preserve">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2.7 ADJOURNED MEETING; NOTICE </w:t>
      </w:r>
    </w:p>
    <w:p>
      <w:pPr>
        <w:pStyle w:val="TextBody"/>
        <w:spacing w:before="240" w:after="0"/>
        <w:jc w:val="left"/>
        <w:rPr>
          <w:rFonts w:ascii="Times New Roman" w:hAnsi="Times New Roman"/>
          <w:sz w:val="20"/>
        </w:rPr>
      </w:pPr>
      <w:r>
        <w:rPr>
          <w:rFonts w:ascii="Times New Roman" w:hAnsi="Times New Roman"/>
          <w:sz w:val="20"/>
        </w:rPr>
        <w:t xml:space="preserve">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 </w:t>
      </w:r>
    </w:p>
    <w:p>
      <w:pPr>
        <w:pStyle w:val="TextBody"/>
        <w:spacing w:before="240" w:after="0"/>
        <w:jc w:val="left"/>
        <w:rPr>
          <w:rFonts w:ascii="Times New Roman" w:hAnsi="Times New Roman"/>
          <w:sz w:val="20"/>
        </w:rPr>
      </w:pPr>
      <w:r>
        <w:rPr>
          <w:rFonts w:ascii="Times New Roman" w:hAnsi="Times New Roman"/>
          <w:sz w:val="20"/>
        </w:rPr>
        <w:t xml:space="preserve">2.8 CONDUCT OF BUSINESS </w:t>
      </w:r>
    </w:p>
    <w:p>
      <w:pPr>
        <w:pStyle w:val="TextBody"/>
        <w:spacing w:before="240" w:after="0"/>
        <w:jc w:val="left"/>
        <w:rPr>
          <w:rFonts w:ascii="Times New Roman" w:hAnsi="Times New Roman"/>
          <w:sz w:val="20"/>
        </w:rPr>
      </w:pPr>
      <w:r>
        <w:rPr>
          <w:rFonts w:ascii="Times New Roman" w:hAnsi="Times New Roman"/>
          <w:sz w:val="20"/>
        </w:rPr>
        <w:t xml:space="preserve">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 </w:t>
      </w:r>
    </w:p>
    <w:p>
      <w:pPr>
        <w:pStyle w:val="TextBody"/>
        <w:spacing w:before="240" w:after="0"/>
        <w:jc w:val="left"/>
        <w:rPr>
          <w:rFonts w:ascii="Times New Roman" w:hAnsi="Times New Roman"/>
          <w:sz w:val="20"/>
        </w:rPr>
      </w:pPr>
      <w:r>
        <w:rPr>
          <w:rFonts w:ascii="Times New Roman" w:hAnsi="Times New Roman"/>
          <w:sz w:val="20"/>
        </w:rPr>
        <w:t xml:space="preserve">2.9 VOTING </w:t>
      </w:r>
    </w:p>
    <w:p>
      <w:pPr>
        <w:pStyle w:val="TextBody"/>
        <w:spacing w:before="240" w:after="0"/>
        <w:jc w:val="left"/>
        <w:rPr>
          <w:rFonts w:ascii="Times New Roman" w:hAnsi="Times New Roman"/>
          <w:sz w:val="20"/>
        </w:rPr>
      </w:pPr>
      <w:r>
        <w:rPr>
          <w:rFonts w:ascii="Times New Roman" w:hAnsi="Times New Roman"/>
          <w:sz w:val="20"/>
        </w:rPr>
        <w:t xml:space="preserve">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 </w:t>
      </w:r>
    </w:p>
    <w:p>
      <w:pPr>
        <w:pStyle w:val="TextBody"/>
        <w:spacing w:before="240" w:after="0"/>
        <w:jc w:val="left"/>
        <w:rPr>
          <w:rFonts w:ascii="Times New Roman" w:hAnsi="Times New Roman"/>
          <w:sz w:val="20"/>
        </w:rPr>
      </w:pPr>
      <w:r>
        <w:rPr>
          <w:rFonts w:ascii="Times New Roman" w:hAnsi="Times New Roman"/>
          <w:sz w:val="20"/>
        </w:rPr>
        <w:t xml:space="preserve">Except as may be otherwise provided in the certificate of incorporation, each stockholder shall be entitled to one vote for each share of capital stock held by such stockholder as of the applicable record date that has voting power upon the matter in question.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represented by proxy at the meeting and entitled to vote on the subject matter shall be the act of the stockholders. Except as otherwise required by law, the certificate of incorporation or these bylaws, directors shall be elected by a plurality of the voting power of the outstanding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 </w:t>
      </w:r>
    </w:p>
    <w:p>
      <w:pPr>
        <w:pStyle w:val="TextBody"/>
        <w:spacing w:before="240" w:after="0"/>
        <w:jc w:val="left"/>
        <w:rPr>
          <w:rFonts w:ascii="Times New Roman" w:hAnsi="Times New Roman"/>
          <w:sz w:val="20"/>
        </w:rPr>
      </w:pPr>
      <w:r>
        <w:rPr>
          <w:rFonts w:ascii="Times New Roman" w:hAnsi="Times New Roman"/>
          <w:sz w:val="20"/>
        </w:rPr>
        <w:t xml:space="preserve">2.10 STOCKHOLDER ACTION BY WRITTEN CONSENT WITHOUT A MEETING </w:t>
      </w:r>
    </w:p>
    <w:p>
      <w:pPr>
        <w:pStyle w:val="TextBody"/>
        <w:spacing w:before="240" w:after="0"/>
        <w:jc w:val="left"/>
        <w:rPr>
          <w:rFonts w:ascii="Times New Roman" w:hAnsi="Times New Roman"/>
          <w:sz w:val="20"/>
        </w:rPr>
      </w:pPr>
      <w:r>
        <w:rPr>
          <w:rFonts w:ascii="Times New Roman" w:hAnsi="Times New Roman"/>
          <w:sz w:val="20"/>
        </w:rPr>
        <w:t xml:space="preserve">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 </w:t>
      </w:r>
    </w:p>
    <w:p>
      <w:pPr>
        <w:pStyle w:val="TextBody"/>
        <w:spacing w:before="240" w:after="0"/>
        <w:jc w:val="left"/>
        <w:rPr>
          <w:rFonts w:ascii="Times New Roman" w:hAnsi="Times New Roman"/>
          <w:sz w:val="20"/>
        </w:rPr>
      </w:pPr>
      <w:r>
        <w:rPr>
          <w:rFonts w:ascii="Times New Roman" w:hAnsi="Times New Roman"/>
          <w:sz w:val="20"/>
        </w:rPr>
        <w:t xml:space="preserve">2.11 RECORD DATES </w:t>
      </w:r>
    </w:p>
    <w:p>
      <w:pPr>
        <w:pStyle w:val="TextBody"/>
        <w:spacing w:before="240" w:after="0"/>
        <w:jc w:val="left"/>
        <w:rPr>
          <w:rFonts w:ascii="Times New Roman" w:hAnsi="Times New Roman"/>
          <w:sz w:val="20"/>
        </w:rPr>
      </w:pPr>
      <w:r>
        <w:rPr>
          <w:rFonts w:ascii="Times New Roman" w:hAnsi="Times New Roman"/>
          <w:sz w:val="20"/>
        </w:rPr>
        <w:t xml:space="preserve">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w:t>
      </w:r>
    </w:p>
    <w:p>
      <w:pPr>
        <w:pStyle w:val="TextBody"/>
        <w:spacing w:before="240" w:after="0"/>
        <w:jc w:val="left"/>
        <w:rPr>
          <w:rFonts w:ascii="Times New Roman" w:hAnsi="Times New Roman"/>
          <w:sz w:val="20"/>
        </w:rPr>
      </w:pPr>
      <w:r>
        <w:rPr>
          <w:rFonts w:ascii="Times New Roman" w:hAnsi="Times New Roman"/>
          <w:sz w:val="20"/>
        </w:rPr>
        <w:t xml:space="preserve">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shall apply to any adjournment of the meeting; </w:t>
      </w:r>
      <w:r>
        <w:rPr>
          <w:rFonts w:ascii="Times New Roman" w:hAnsi="Times New Roman"/>
          <w:i/>
          <w:sz w:val="20"/>
        </w:rPr>
        <w:t>provided, however</w:t>
      </w:r>
      <w:r>
        <w:rPr>
          <w:rFonts w:ascii="Times New Roman" w:hAnsi="Times New Roman"/>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 </w:t>
      </w:r>
    </w:p>
    <w:p>
      <w:pPr>
        <w:pStyle w:val="TextBody"/>
        <w:spacing w:before="240" w:after="0"/>
        <w:jc w:val="left"/>
        <w:rPr>
          <w:rFonts w:ascii="Times New Roman" w:hAnsi="Times New Roman"/>
          <w:sz w:val="20"/>
        </w:rPr>
      </w:pPr>
      <w:r>
        <w:rPr>
          <w:rFonts w:ascii="Times New Roman" w:hAnsi="Times New Roman"/>
          <w:sz w:val="20"/>
        </w:rPr>
        <w:t xml:space="preserve">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2.12 PROXIES </w:t>
      </w:r>
    </w:p>
    <w:p>
      <w:pPr>
        <w:pStyle w:val="TextBody"/>
        <w:spacing w:before="240" w:after="0"/>
        <w:jc w:val="left"/>
        <w:rPr>
          <w:rFonts w:ascii="Times New Roman" w:hAnsi="Times New Roman"/>
          <w:sz w:val="20"/>
        </w:rPr>
      </w:pPr>
      <w:r>
        <w:rPr>
          <w:rFonts w:ascii="Times New Roman" w:hAnsi="Times New Roman"/>
          <w:sz w:val="20"/>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hAnsi="Times New Roman"/>
          <w:i/>
          <w:sz w:val="20"/>
        </w:rPr>
        <w:t>provided</w:t>
      </w:r>
      <w:r>
        <w:rPr>
          <w:rFonts w:ascii="Times New Roman" w:hAnsi="Times New Roman"/>
          <w:sz w:val="20"/>
        </w:rPr>
        <w:t xml:space="preserve">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 </w:t>
      </w:r>
    </w:p>
    <w:p>
      <w:pPr>
        <w:pStyle w:val="TextBody"/>
        <w:spacing w:before="240" w:after="0"/>
        <w:jc w:val="left"/>
        <w:rPr>
          <w:rFonts w:ascii="Times New Roman" w:hAnsi="Times New Roman"/>
          <w:sz w:val="20"/>
        </w:rPr>
      </w:pPr>
      <w:r>
        <w:rPr>
          <w:rFonts w:ascii="Times New Roman" w:hAnsi="Times New Roman"/>
          <w:sz w:val="20"/>
        </w:rPr>
        <w:t xml:space="preserve">2.13 LIST OF STOCKHOLDERS ENTITLED TO VOTE </w:t>
      </w:r>
    </w:p>
    <w:p>
      <w:pPr>
        <w:pStyle w:val="TextBody"/>
        <w:spacing w:before="240" w:after="0"/>
        <w:jc w:val="left"/>
        <w:rPr>
          <w:rFonts w:ascii="Times New Roman" w:hAnsi="Times New Roman"/>
          <w:sz w:val="20"/>
        </w:rPr>
      </w:pPr>
      <w:r>
        <w:rPr>
          <w:rFonts w:ascii="Times New Roman" w:hAnsi="Times New Roman"/>
          <w:sz w:val="20"/>
        </w:rPr>
        <w:t xml:space="preserve">The Company shall prepare, no later than the tenth day before each meeting of stockholders, a complete list of the stockholders entitled to vote at the meeting; </w:t>
      </w:r>
      <w:r>
        <w:rPr>
          <w:rFonts w:ascii="Times New Roman" w:hAnsi="Times New Roman"/>
          <w:i/>
          <w:sz w:val="20"/>
        </w:rPr>
        <w:t>provided, however,</w:t>
      </w:r>
      <w:r>
        <w:rPr>
          <w:rFonts w:ascii="Times New Roman" w:hAnsi="Times New Roman"/>
          <w:sz w:val="20"/>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w:t>
      </w:r>
      <w:r>
        <w:rPr>
          <w:rFonts w:ascii="Times New Roman" w:hAnsi="Times New Roman"/>
          <w:i/>
          <w:sz w:val="20"/>
        </w:rPr>
        <w:t>provided</w:t>
      </w:r>
      <w:r>
        <w:rPr>
          <w:rFonts w:ascii="Times New Roman" w:hAnsi="Times New Roman"/>
          <w:sz w:val="20"/>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w:t>
      </w:r>
    </w:p>
    <w:p>
      <w:pPr>
        <w:pStyle w:val="TextBody"/>
        <w:spacing w:before="240" w:after="0"/>
        <w:jc w:val="left"/>
        <w:rPr>
          <w:rFonts w:ascii="Times New Roman" w:hAnsi="Times New Roman"/>
          <w:sz w:val="20"/>
        </w:rPr>
      </w:pPr>
      <w:r>
        <w:rPr>
          <w:rFonts w:ascii="Times New Roman" w:hAnsi="Times New Roman"/>
          <w:sz w:val="20"/>
        </w:rPr>
        <w:t xml:space="preserve">2.14 INSPECTORS OF ELECTION </w:t>
      </w:r>
    </w:p>
    <w:p>
      <w:pPr>
        <w:pStyle w:val="TextBody"/>
        <w:spacing w:before="240" w:after="0"/>
        <w:jc w:val="left"/>
        <w:rPr>
          <w:rFonts w:ascii="Times New Roman" w:hAnsi="Times New Roman"/>
          <w:sz w:val="20"/>
        </w:rPr>
      </w:pPr>
      <w:r>
        <w:rPr>
          <w:rFonts w:ascii="Times New Roman" w:hAnsi="Times New Roman"/>
          <w:sz w:val="20"/>
        </w:rPr>
        <w:t xml:space="preserve">Before any meeting of stockholders, the Company shall appoint an inspector or inspectors of election to act at the meeting or its adjournment. The Company may designate one or more persons as alternate inspectors to replace any inspector who fails to act. </w:t>
      </w:r>
    </w:p>
    <w:p>
      <w:pPr>
        <w:pStyle w:val="TextBody"/>
        <w:spacing w:before="240" w:after="0"/>
        <w:jc w:val="left"/>
        <w:rPr>
          <w:rFonts w:ascii="Times New Roman" w:hAnsi="Times New Roman"/>
          <w:sz w:val="20"/>
        </w:rPr>
      </w:pPr>
      <w:r>
        <w:rPr>
          <w:rFonts w:ascii="Times New Roman" w:hAnsi="Times New Roman"/>
          <w:sz w:val="20"/>
        </w:rPr>
        <w:t xml:space="preserve">Such inspectors shall: </w:t>
      </w:r>
    </w:p>
    <w:p>
      <w:pPr>
        <w:pStyle w:val="TextBody"/>
        <w:spacing w:before="120" w:after="0"/>
        <w:jc w:val="left"/>
        <w:rPr>
          <w:rFonts w:ascii="Times New Roman" w:hAnsi="Times New Roman"/>
          <w:sz w:val="20"/>
        </w:rPr>
      </w:pPr>
      <w:r>
        <w:rPr>
          <w:rFonts w:ascii="Times New Roman" w:hAnsi="Times New Roman"/>
          <w:sz w:val="20"/>
        </w:rPr>
        <w:t xml:space="preserve">(a) ascertain the number of shares outstanding and the voting power of each; </w:t>
      </w:r>
    </w:p>
    <w:p>
      <w:pPr>
        <w:pStyle w:val="TextBody"/>
        <w:spacing w:before="240" w:after="0"/>
        <w:jc w:val="left"/>
        <w:rPr>
          <w:rFonts w:ascii="Times New Roman" w:hAnsi="Times New Roman"/>
          <w:sz w:val="20"/>
        </w:rPr>
      </w:pPr>
      <w:r>
        <w:rPr>
          <w:rFonts w:ascii="Times New Roman" w:hAnsi="Times New Roman"/>
          <w:sz w:val="20"/>
        </w:rPr>
        <w:t xml:space="preserve">(b) determine the shares represented at the meeting and the validity of proxies and ballots; </w:t>
      </w:r>
    </w:p>
    <w:p>
      <w:pPr>
        <w:pStyle w:val="TextBody"/>
        <w:spacing w:before="240" w:after="0"/>
        <w:jc w:val="left"/>
        <w:rPr>
          <w:rFonts w:ascii="Times New Roman" w:hAnsi="Times New Roman"/>
          <w:sz w:val="20"/>
        </w:rPr>
      </w:pPr>
      <w:r>
        <w:rPr>
          <w:rFonts w:ascii="Times New Roman" w:hAnsi="Times New Roman"/>
          <w:sz w:val="20"/>
        </w:rPr>
        <w:t xml:space="preserve">(c) count all votes and ballots; </w:t>
      </w:r>
    </w:p>
    <w:p>
      <w:pPr>
        <w:pStyle w:val="TextBody"/>
        <w:spacing w:before="240" w:after="0"/>
        <w:jc w:val="left"/>
        <w:rPr>
          <w:rFonts w:ascii="Times New Roman" w:hAnsi="Times New Roman"/>
          <w:sz w:val="20"/>
        </w:rPr>
      </w:pPr>
      <w:r>
        <w:rPr>
          <w:rFonts w:ascii="Times New Roman" w:hAnsi="Times New Roman"/>
          <w:sz w:val="20"/>
        </w:rPr>
        <w:t xml:space="preserve">(d) determine and retain for a reasonable period a record of the disposition of any challenges made to any determination by the inspectors;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certify their determination of the number of shares represented at the meeting, and their count of all votes and ballots. </w:t>
      </w:r>
    </w:p>
    <w:p>
      <w:pPr>
        <w:pStyle w:val="TextBody"/>
        <w:spacing w:before="240" w:after="0"/>
        <w:jc w:val="left"/>
        <w:rPr>
          <w:rFonts w:ascii="Times New Roman" w:hAnsi="Times New Roman"/>
          <w:sz w:val="20"/>
        </w:rPr>
      </w:pPr>
      <w:r>
        <w:rPr>
          <w:rFonts w:ascii="Times New Roman" w:hAnsi="Times New Roman"/>
          <w:sz w:val="20"/>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hAnsi="Times New Roman"/>
          <w:i/>
          <w:sz w:val="20"/>
        </w:rPr>
        <w:t>prima facie</w:t>
      </w:r>
      <w:r>
        <w:rPr>
          <w:rFonts w:ascii="Times New Roman" w:hAnsi="Times New Roman"/>
          <w:sz w:val="20"/>
        </w:rPr>
        <w:t xml:space="preserve"> evidence of the facts stated therein. </w:t>
      </w:r>
    </w:p>
    <w:p>
      <w:pPr>
        <w:pStyle w:val="TextBody"/>
        <w:spacing w:before="480" w:after="0"/>
        <w:jc w:val="center"/>
        <w:rPr>
          <w:rFonts w:ascii="Times New Roman" w:hAnsi="Times New Roman"/>
          <w:b/>
          <w:sz w:val="20"/>
        </w:rPr>
      </w:pPr>
      <w:r>
        <w:rPr>
          <w:rFonts w:ascii="Times New Roman" w:hAnsi="Times New Roman"/>
          <w:b/>
          <w:sz w:val="20"/>
        </w:rPr>
        <w:t xml:space="preserve">ARTICLE III - DIRECTORS </w:t>
      </w:r>
    </w:p>
    <w:p>
      <w:pPr>
        <w:pStyle w:val="TextBody"/>
        <w:spacing w:before="240" w:after="0"/>
        <w:jc w:val="left"/>
        <w:rPr>
          <w:rFonts w:ascii="Times New Roman" w:hAnsi="Times New Roman"/>
          <w:sz w:val="20"/>
        </w:rPr>
      </w:pPr>
      <w:r>
        <w:rPr>
          <w:rFonts w:ascii="Times New Roman" w:hAnsi="Times New Roman"/>
          <w:sz w:val="20"/>
        </w:rPr>
        <w:t xml:space="preserve">3.1 POWERS </w:t>
      </w:r>
    </w:p>
    <w:p>
      <w:pPr>
        <w:pStyle w:val="TextBody"/>
        <w:spacing w:before="240" w:after="0"/>
        <w:jc w:val="left"/>
        <w:rPr>
          <w:rFonts w:ascii="Times New Roman" w:hAnsi="Times New Roman"/>
          <w:sz w:val="20"/>
        </w:rPr>
      </w:pPr>
      <w:r>
        <w:rPr>
          <w:rFonts w:ascii="Times New Roman" w:hAnsi="Times New Roman"/>
          <w:sz w:val="20"/>
        </w:rPr>
        <w:t xml:space="preserve">The business and affairs of the Company shall be managed by or under the direction of the Board of Directors, except as may be otherwise provided in the DGCL or the certificate of incorporation. </w:t>
      </w:r>
    </w:p>
    <w:p>
      <w:pPr>
        <w:pStyle w:val="TextBody"/>
        <w:spacing w:before="240" w:after="0"/>
        <w:jc w:val="left"/>
        <w:rPr>
          <w:rFonts w:ascii="Times New Roman" w:hAnsi="Times New Roman"/>
          <w:sz w:val="20"/>
        </w:rPr>
      </w:pPr>
      <w:r>
        <w:rPr>
          <w:rFonts w:ascii="Times New Roman" w:hAnsi="Times New Roman"/>
          <w:sz w:val="20"/>
        </w:rPr>
        <w:t xml:space="preserve">3.2 NUMBER OF DIRECTORS </w:t>
      </w:r>
    </w:p>
    <w:p>
      <w:pPr>
        <w:pStyle w:val="TextBody"/>
        <w:spacing w:before="240" w:after="0"/>
        <w:jc w:val="left"/>
        <w:rPr>
          <w:rFonts w:ascii="Times New Roman" w:hAnsi="Times New Roman"/>
          <w:sz w:val="20"/>
        </w:rPr>
      </w:pPr>
      <w:r>
        <w:rPr>
          <w:rFonts w:ascii="Times New Roman" w:hAnsi="Times New Roman"/>
          <w:sz w:val="20"/>
        </w:rPr>
        <w:t xml:space="preserve">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 </w:t>
      </w:r>
    </w:p>
    <w:p>
      <w:pPr>
        <w:pStyle w:val="TextBody"/>
        <w:spacing w:before="240" w:after="0"/>
        <w:jc w:val="left"/>
        <w:rPr>
          <w:rFonts w:ascii="Times New Roman" w:hAnsi="Times New Roman"/>
          <w:sz w:val="20"/>
        </w:rPr>
      </w:pPr>
      <w:r>
        <w:rPr>
          <w:rFonts w:ascii="Times New Roman" w:hAnsi="Times New Roman"/>
          <w:sz w:val="20"/>
        </w:rPr>
        <w:t xml:space="preserve">3.3 ELECTION, QUALIFICATION AND TERM OF OFFICE OF DIRECTORS </w:t>
      </w:r>
    </w:p>
    <w:p>
      <w:pPr>
        <w:pStyle w:val="TextBody"/>
        <w:spacing w:before="240" w:after="0"/>
        <w:jc w:val="left"/>
        <w:rPr>
          <w:rFonts w:ascii="Times New Roman" w:hAnsi="Times New Roman"/>
          <w:sz w:val="20"/>
        </w:rPr>
      </w:pPr>
      <w:r>
        <w:rPr>
          <w:rFonts w:ascii="Times New Roman" w:hAnsi="Times New Roman"/>
          <w:sz w:val="20"/>
        </w:rPr>
        <w:t xml:space="preserve">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 </w:t>
      </w:r>
    </w:p>
    <w:p>
      <w:pPr>
        <w:pStyle w:val="TextBody"/>
        <w:spacing w:before="240" w:after="0"/>
        <w:jc w:val="left"/>
        <w:rPr>
          <w:rFonts w:ascii="Times New Roman" w:hAnsi="Times New Roman"/>
          <w:sz w:val="20"/>
        </w:rPr>
      </w:pPr>
      <w:r>
        <w:rPr>
          <w:rFonts w:ascii="Times New Roman" w:hAnsi="Times New Roman"/>
          <w:sz w:val="20"/>
        </w:rPr>
        <w:t xml:space="preserve">If so provided in the certificate of incorporation, the directors of the Company shall be divided into three classes. </w:t>
      </w:r>
    </w:p>
    <w:p>
      <w:pPr>
        <w:pStyle w:val="TextBody"/>
        <w:spacing w:before="240" w:after="0"/>
        <w:jc w:val="left"/>
        <w:rPr>
          <w:rFonts w:ascii="Times New Roman" w:hAnsi="Times New Roman"/>
          <w:sz w:val="20"/>
        </w:rPr>
      </w:pPr>
      <w:r>
        <w:rPr>
          <w:rFonts w:ascii="Times New Roman" w:hAnsi="Times New Roman"/>
          <w:sz w:val="20"/>
        </w:rPr>
        <w:t xml:space="preserve">3.4 RESIGNATION AND VACANCIES </w:t>
      </w:r>
    </w:p>
    <w:p>
      <w:pPr>
        <w:pStyle w:val="TextBody"/>
        <w:spacing w:before="240" w:after="0"/>
        <w:jc w:val="left"/>
        <w:rPr>
          <w:rFonts w:ascii="Times New Roman" w:hAnsi="Times New Roman"/>
          <w:sz w:val="20"/>
        </w:rPr>
      </w:pPr>
      <w:r>
        <w:rPr>
          <w:rFonts w:ascii="Times New Roman" w:hAnsi="Times New Roman"/>
          <w:sz w:val="20"/>
        </w:rPr>
        <w:t xml:space="preserve">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 </w:t>
      </w:r>
    </w:p>
    <w:p>
      <w:pPr>
        <w:pStyle w:val="TextBody"/>
        <w:spacing w:before="240" w:after="0"/>
        <w:jc w:val="left"/>
        <w:rPr>
          <w:rFonts w:ascii="Times New Roman" w:hAnsi="Times New Roman"/>
          <w:sz w:val="20"/>
        </w:rPr>
      </w:pPr>
      <w:r>
        <w:rPr>
          <w:rFonts w:ascii="Times New Roman" w:hAnsi="Times New Roman"/>
          <w:sz w:val="20"/>
        </w:rPr>
        <w:t xml:space="preserve">3.5 PLACE OF MEETINGS; MEETINGS BY TELEPHONE </w:t>
      </w:r>
    </w:p>
    <w:p>
      <w:pPr>
        <w:pStyle w:val="TextBody"/>
        <w:spacing w:before="240" w:after="0"/>
        <w:jc w:val="left"/>
        <w:rPr>
          <w:rFonts w:ascii="Times New Roman" w:hAnsi="Times New Roman"/>
          <w:sz w:val="20"/>
        </w:rPr>
      </w:pPr>
      <w:r>
        <w:rPr>
          <w:rFonts w:ascii="Times New Roman" w:hAnsi="Times New Roman"/>
          <w:sz w:val="20"/>
        </w:rPr>
        <w:t xml:space="preserve">The Board of Directors may hold meetings, both regular and special, either within or outside the State of Delaware. </w:t>
      </w:r>
    </w:p>
    <w:p>
      <w:pPr>
        <w:pStyle w:val="TextBody"/>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 </w:t>
      </w:r>
    </w:p>
    <w:p>
      <w:pPr>
        <w:pStyle w:val="TextBody"/>
        <w:spacing w:before="240" w:after="0"/>
        <w:jc w:val="left"/>
        <w:rPr>
          <w:rFonts w:ascii="Times New Roman" w:hAnsi="Times New Roman"/>
          <w:sz w:val="20"/>
        </w:rPr>
      </w:pPr>
      <w:r>
        <w:rPr>
          <w:rFonts w:ascii="Times New Roman" w:hAnsi="Times New Roman"/>
          <w:sz w:val="20"/>
        </w:rPr>
        <w:t xml:space="preserve">3.6 REGULAR MEETINGS </w:t>
      </w:r>
    </w:p>
    <w:p>
      <w:pPr>
        <w:pStyle w:val="TextBody"/>
        <w:spacing w:before="240" w:after="0"/>
        <w:jc w:val="left"/>
        <w:rPr>
          <w:rFonts w:ascii="Times New Roman" w:hAnsi="Times New Roman"/>
          <w:sz w:val="20"/>
        </w:rPr>
      </w:pPr>
      <w:r>
        <w:rPr>
          <w:rFonts w:ascii="Times New Roman" w:hAnsi="Times New Roman"/>
          <w:sz w:val="20"/>
        </w:rPr>
        <w:t xml:space="preserve">Regular meetings of the Board of Directors may be held without notice at such time and at such place as shall from time to time be determined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3.7 SPECIAL MEETINGS; NOTICE </w:t>
      </w:r>
    </w:p>
    <w:p>
      <w:pPr>
        <w:pStyle w:val="TextBody"/>
        <w:spacing w:before="240" w:after="0"/>
        <w:jc w:val="left"/>
        <w:rPr>
          <w:rFonts w:ascii="Times New Roman" w:hAnsi="Times New Roman"/>
          <w:sz w:val="20"/>
        </w:rPr>
      </w:pPr>
      <w:r>
        <w:rPr>
          <w:rFonts w:ascii="Times New Roman" w:hAnsi="Times New Roman"/>
          <w:sz w:val="20"/>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hAnsi="Times New Roman"/>
          <w:i/>
          <w:sz w:val="20"/>
        </w:rPr>
        <w:t>provided</w:t>
      </w:r>
      <w:r>
        <w:rPr>
          <w:rFonts w:ascii="Times New Roman" w:hAnsi="Times New Roman"/>
          <w:sz w:val="20"/>
        </w:rPr>
        <w:t xml:space="preserve"> that the person(s) authorized to call a special meeting of the Board of Directors may authorize another person or persons to send notice of such meeting. </w:t>
      </w:r>
    </w:p>
    <w:p>
      <w:pPr>
        <w:pStyle w:val="TextBody"/>
        <w:spacing w:before="240" w:after="0"/>
        <w:jc w:val="left"/>
        <w:rPr>
          <w:rFonts w:ascii="Times New Roman" w:hAnsi="Times New Roman"/>
          <w:sz w:val="20"/>
        </w:rPr>
      </w:pPr>
      <w:r>
        <w:rPr>
          <w:rFonts w:ascii="Times New Roman" w:hAnsi="Times New Roman"/>
          <w:sz w:val="20"/>
        </w:rPr>
        <w:t xml:space="preserve">Notice of the time and place of special meetings shall be: </w:t>
      </w:r>
    </w:p>
    <w:p>
      <w:pPr>
        <w:pStyle w:val="TextBody"/>
        <w:spacing w:before="240" w:after="0"/>
        <w:jc w:val="left"/>
        <w:rPr>
          <w:rFonts w:ascii="Times New Roman" w:hAnsi="Times New Roman"/>
          <w:sz w:val="20"/>
        </w:rPr>
      </w:pPr>
      <w:r>
        <w:rPr>
          <w:rFonts w:ascii="Times New Roman" w:hAnsi="Times New Roman"/>
          <w:sz w:val="20"/>
        </w:rPr>
        <w:t xml:space="preserve">(a) delivered personally by hand, by courier or by telephone; </w:t>
      </w:r>
    </w:p>
    <w:p>
      <w:pPr>
        <w:pStyle w:val="TextBody"/>
        <w:spacing w:before="240" w:after="0"/>
        <w:jc w:val="left"/>
        <w:rPr>
          <w:rFonts w:ascii="Times New Roman" w:hAnsi="Times New Roman"/>
          <w:sz w:val="20"/>
        </w:rPr>
      </w:pPr>
      <w:r>
        <w:rPr>
          <w:rFonts w:ascii="Times New Roman" w:hAnsi="Times New Roman"/>
          <w:sz w:val="20"/>
        </w:rPr>
        <w:t xml:space="preserve">(b) sent by United States first-class mail, postage prepaid; </w:t>
      </w:r>
    </w:p>
    <w:p>
      <w:pPr>
        <w:pStyle w:val="TextBody"/>
        <w:spacing w:before="240" w:after="0"/>
        <w:jc w:val="left"/>
        <w:rPr>
          <w:rFonts w:ascii="Times New Roman" w:hAnsi="Times New Roman"/>
          <w:sz w:val="20"/>
        </w:rPr>
      </w:pPr>
      <w:r>
        <w:rPr>
          <w:rFonts w:ascii="Times New Roman" w:hAnsi="Times New Roman"/>
          <w:sz w:val="20"/>
        </w:rPr>
        <w:t xml:space="preserve">(c) sent by facsimile; </w:t>
      </w:r>
    </w:p>
    <w:p>
      <w:pPr>
        <w:pStyle w:val="TextBody"/>
        <w:spacing w:before="240" w:after="0"/>
        <w:jc w:val="left"/>
        <w:rPr>
          <w:rFonts w:ascii="Times New Roman" w:hAnsi="Times New Roman"/>
          <w:sz w:val="20"/>
        </w:rPr>
      </w:pPr>
      <w:r>
        <w:rPr>
          <w:rFonts w:ascii="Times New Roman" w:hAnsi="Times New Roman"/>
          <w:sz w:val="20"/>
        </w:rPr>
        <w:t xml:space="preserve">(d) sent by electronic mail; or </w:t>
      </w:r>
    </w:p>
    <w:p>
      <w:pPr>
        <w:pStyle w:val="TextBody"/>
        <w:spacing w:before="240" w:after="0"/>
        <w:jc w:val="left"/>
        <w:rPr>
          <w:rFonts w:ascii="Times New Roman" w:hAnsi="Times New Roman"/>
          <w:sz w:val="20"/>
        </w:rPr>
      </w:pPr>
      <w:r>
        <w:rPr>
          <w:rFonts w:ascii="Times New Roman" w:hAnsi="Times New Roman"/>
          <w:sz w:val="20"/>
        </w:rPr>
        <w:t xml:space="preserve">(e) otherwise given by electronic transmission (as defined in Section 232 of the DGCL), </w:t>
      </w:r>
    </w:p>
    <w:p>
      <w:pPr>
        <w:pStyle w:val="TextBody"/>
        <w:spacing w:before="240" w:after="0"/>
        <w:jc w:val="left"/>
        <w:rPr>
          <w:rFonts w:ascii="Times New Roman" w:hAnsi="Times New Roman"/>
          <w:sz w:val="20"/>
        </w:rPr>
      </w:pPr>
      <w:r>
        <w:rPr>
          <w:rFonts w:ascii="Times New Roman" w:hAnsi="Times New Roman"/>
          <w:sz w:val="20"/>
        </w:rPr>
        <w:t xml:space="preserve">directed to each director at that directors address, telephone number, facsimile number, electronic mail address or other contact for notice by electronic transmission, as the case may be, as shown on the Companys records.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 </w:t>
      </w:r>
    </w:p>
    <w:p>
      <w:pPr>
        <w:pStyle w:val="TextBody"/>
        <w:spacing w:before="240" w:after="0"/>
        <w:jc w:val="left"/>
        <w:rPr>
          <w:rFonts w:ascii="Times New Roman" w:hAnsi="Times New Roman"/>
          <w:sz w:val="20"/>
        </w:rPr>
      </w:pPr>
      <w:r>
        <w:rPr>
          <w:rFonts w:ascii="Times New Roman" w:hAnsi="Times New Roman"/>
          <w:sz w:val="20"/>
        </w:rPr>
        <w:t xml:space="preserve">3.8 QUORUM; VOTING </w:t>
      </w:r>
    </w:p>
    <w:p>
      <w:pPr>
        <w:pStyle w:val="TextBody"/>
        <w:spacing w:before="240" w:after="0"/>
        <w:jc w:val="left"/>
        <w:rPr>
          <w:rFonts w:ascii="Times New Roman" w:hAnsi="Times New Roman"/>
          <w:sz w:val="20"/>
        </w:rPr>
      </w:pPr>
      <w:r>
        <w:rPr>
          <w:rFonts w:ascii="Times New Roman" w:hAnsi="Times New Roman"/>
          <w:sz w:val="20"/>
        </w:rPr>
        <w:t xml:space="preserve">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w:t>
      </w:r>
    </w:p>
    <w:p>
      <w:pPr>
        <w:pStyle w:val="TextBody"/>
        <w:spacing w:before="240" w:after="0"/>
        <w:jc w:val="left"/>
        <w:rPr>
          <w:rFonts w:ascii="Times New Roman" w:hAnsi="Times New Roman"/>
          <w:sz w:val="20"/>
        </w:rPr>
      </w:pPr>
      <w:r>
        <w:rPr>
          <w:rFonts w:ascii="Times New Roman" w:hAnsi="Times New Roman"/>
          <w:sz w:val="20"/>
        </w:rPr>
        <w:t xml:space="preserve">The affirmative vote of a majority of the directors present at any meeting at which a quorum is present shall be the act of the Board of Directors, except as may be otherwise specifically provided by statute, the certificate of incorporation or these bylaws. </w:t>
      </w:r>
    </w:p>
    <w:p>
      <w:pPr>
        <w:pStyle w:val="TextBody"/>
        <w:spacing w:before="240" w:after="0"/>
        <w:jc w:val="left"/>
        <w:rPr>
          <w:rFonts w:ascii="Times New Roman" w:hAnsi="Times New Roman"/>
          <w:sz w:val="20"/>
        </w:rPr>
      </w:pPr>
      <w:r>
        <w:rPr>
          <w:rFonts w:ascii="Times New Roman" w:hAnsi="Times New Roman"/>
          <w:sz w:val="20"/>
        </w:rPr>
        <w:t xml:space="preserve">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 </w:t>
      </w:r>
    </w:p>
    <w:p>
      <w:pPr>
        <w:pStyle w:val="TextBody"/>
        <w:spacing w:before="240" w:after="0"/>
        <w:jc w:val="left"/>
        <w:rPr>
          <w:rFonts w:ascii="Times New Roman" w:hAnsi="Times New Roman"/>
          <w:sz w:val="20"/>
        </w:rPr>
      </w:pPr>
      <w:r>
        <w:rPr>
          <w:rFonts w:ascii="Times New Roman" w:hAnsi="Times New Roman"/>
          <w:sz w:val="20"/>
        </w:rPr>
        <w:t xml:space="preserve">3.9 BOARD ACTION BY WRITTEN CONSENT WITHOUT A MEETING </w:t>
      </w:r>
    </w:p>
    <w:p>
      <w:pPr>
        <w:pStyle w:val="TextBody"/>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 </w:t>
      </w:r>
    </w:p>
    <w:p>
      <w:pPr>
        <w:pStyle w:val="TextBody"/>
        <w:spacing w:before="240" w:after="0"/>
        <w:jc w:val="left"/>
        <w:rPr>
          <w:rFonts w:ascii="Times New Roman" w:hAnsi="Times New Roman"/>
          <w:sz w:val="20"/>
        </w:rPr>
      </w:pPr>
      <w:r>
        <w:rPr>
          <w:rFonts w:ascii="Times New Roman" w:hAnsi="Times New Roman"/>
          <w:sz w:val="20"/>
        </w:rPr>
        <w:t xml:space="preserve">3.10 FEES AND COMPENSATION OF DIRECTORS </w:t>
      </w:r>
    </w:p>
    <w:p>
      <w:pPr>
        <w:pStyle w:val="TextBody"/>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of Directors shall have the authority to fix the compensation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3.11 REMOVAL OF DIRECTORS </w:t>
      </w:r>
    </w:p>
    <w:p>
      <w:pPr>
        <w:pStyle w:val="TextBody"/>
        <w:spacing w:before="240" w:after="0"/>
        <w:jc w:val="left"/>
        <w:rPr>
          <w:rFonts w:ascii="Times New Roman" w:hAnsi="Times New Roman"/>
          <w:sz w:val="20"/>
        </w:rPr>
      </w:pPr>
      <w:r>
        <w:rPr>
          <w:rFonts w:ascii="Times New Roman" w:hAnsi="Times New Roman"/>
          <w:sz w:val="20"/>
        </w:rPr>
        <w:t xml:space="preserve">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 </w:t>
      </w:r>
    </w:p>
    <w:p>
      <w:pPr>
        <w:pStyle w:val="TextBody"/>
        <w:spacing w:before="480" w:after="0"/>
        <w:jc w:val="center"/>
        <w:rPr>
          <w:rFonts w:ascii="Times New Roman" w:hAnsi="Times New Roman"/>
          <w:b/>
          <w:sz w:val="20"/>
        </w:rPr>
      </w:pPr>
      <w:r>
        <w:rPr>
          <w:rFonts w:ascii="Times New Roman" w:hAnsi="Times New Roman"/>
          <w:b/>
          <w:sz w:val="20"/>
        </w:rPr>
        <w:t xml:space="preserve">ARTICLE IV - COMMITTEES </w:t>
      </w:r>
    </w:p>
    <w:p>
      <w:pPr>
        <w:pStyle w:val="TextBody"/>
        <w:spacing w:before="240" w:after="0"/>
        <w:jc w:val="left"/>
        <w:rPr>
          <w:rFonts w:ascii="Times New Roman" w:hAnsi="Times New Roman"/>
          <w:sz w:val="20"/>
        </w:rPr>
      </w:pPr>
      <w:r>
        <w:rPr>
          <w:rFonts w:ascii="Times New Roman" w:hAnsi="Times New Roman"/>
          <w:sz w:val="20"/>
        </w:rPr>
        <w:t xml:space="preserve">4.1 COMMITTEES OF DIRECTORS </w:t>
      </w:r>
    </w:p>
    <w:p>
      <w:pPr>
        <w:pStyle w:val="TextBody"/>
        <w:spacing w:before="240" w:after="0"/>
        <w:jc w:val="left"/>
        <w:rPr>
          <w:rFonts w:ascii="Times New Roman" w:hAnsi="Times New Roman"/>
          <w:sz w:val="20"/>
        </w:rPr>
      </w:pPr>
      <w:r>
        <w:rPr>
          <w:rFonts w:ascii="Times New Roman" w:hAnsi="Times New Roman"/>
          <w:sz w:val="20"/>
        </w:rPr>
        <w:t xml:space="preserve">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 </w:t>
      </w:r>
    </w:p>
    <w:p>
      <w:pPr>
        <w:pStyle w:val="TextBody"/>
        <w:spacing w:before="240" w:after="0"/>
        <w:jc w:val="left"/>
        <w:rPr>
          <w:rFonts w:ascii="Times New Roman" w:hAnsi="Times New Roman"/>
          <w:sz w:val="20"/>
        </w:rPr>
      </w:pPr>
      <w:r>
        <w:rPr>
          <w:rFonts w:ascii="Times New Roman" w:hAnsi="Times New Roman"/>
          <w:sz w:val="20"/>
        </w:rPr>
        <w:t xml:space="preserve">4.2 COMMITTEE MINUTES </w:t>
      </w:r>
    </w:p>
    <w:p>
      <w:pPr>
        <w:pStyle w:val="TextBody"/>
        <w:spacing w:before="240" w:after="0"/>
        <w:jc w:val="left"/>
        <w:rPr>
          <w:rFonts w:ascii="Times New Roman" w:hAnsi="Times New Roman"/>
          <w:sz w:val="20"/>
        </w:rPr>
      </w:pPr>
      <w:r>
        <w:rPr>
          <w:rFonts w:ascii="Times New Roman" w:hAnsi="Times New Roman"/>
          <w:sz w:val="20"/>
        </w:rPr>
        <w:t xml:space="preserve">Each committee and subcommittee shall keep regular minutes of its meetings. </w:t>
      </w:r>
    </w:p>
    <w:p>
      <w:pPr>
        <w:pStyle w:val="TextBody"/>
        <w:spacing w:before="240" w:after="0"/>
        <w:jc w:val="left"/>
        <w:rPr>
          <w:rFonts w:ascii="Times New Roman" w:hAnsi="Times New Roman"/>
          <w:sz w:val="20"/>
        </w:rPr>
      </w:pPr>
      <w:r>
        <w:rPr>
          <w:rFonts w:ascii="Times New Roman" w:hAnsi="Times New Roman"/>
          <w:sz w:val="20"/>
        </w:rPr>
        <w:t xml:space="preserve">4.3 MEETINGS AND ACTION OF COMMITTEES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by the Board of Directors, meetings and actions of committees and subcommittees shall be governed by, and held and taken in accordance with, the provisions of: </w:t>
      </w:r>
    </w:p>
    <w:p>
      <w:pPr>
        <w:pStyle w:val="TextBody"/>
        <w:spacing w:before="120" w:after="0"/>
        <w:jc w:val="left"/>
        <w:rPr>
          <w:rFonts w:ascii="Times New Roman" w:hAnsi="Times New Roman"/>
          <w:sz w:val="20"/>
        </w:rPr>
      </w:pPr>
      <w:r>
        <w:rPr>
          <w:rFonts w:ascii="Times New Roman" w:hAnsi="Times New Roman"/>
          <w:sz w:val="20"/>
        </w:rPr>
        <w:t xml:space="preserve">(a) Section 3.5 (place of meetings and meetings by telephone); </w:t>
      </w:r>
    </w:p>
    <w:p>
      <w:pPr>
        <w:pStyle w:val="TextBody"/>
        <w:spacing w:before="240" w:after="0"/>
        <w:jc w:val="left"/>
        <w:rPr>
          <w:rFonts w:ascii="Times New Roman" w:hAnsi="Times New Roman"/>
          <w:sz w:val="20"/>
        </w:rPr>
      </w:pPr>
      <w:r>
        <w:rPr>
          <w:rFonts w:ascii="Times New Roman" w:hAnsi="Times New Roman"/>
          <w:sz w:val="20"/>
        </w:rPr>
        <w:t xml:space="preserve">(b) Section 3.6 (regular meetings); </w:t>
      </w:r>
    </w:p>
    <w:p>
      <w:pPr>
        <w:pStyle w:val="TextBody"/>
        <w:spacing w:before="240" w:after="0"/>
        <w:jc w:val="left"/>
        <w:rPr>
          <w:rFonts w:ascii="Times New Roman" w:hAnsi="Times New Roman"/>
          <w:sz w:val="20"/>
        </w:rPr>
      </w:pPr>
      <w:r>
        <w:rPr>
          <w:rFonts w:ascii="Times New Roman" w:hAnsi="Times New Roman"/>
          <w:sz w:val="20"/>
        </w:rPr>
        <w:t xml:space="preserve">(c) Section 3.7 (special meetings and notice); </w:t>
      </w:r>
    </w:p>
    <w:p>
      <w:pPr>
        <w:pStyle w:val="TextBody"/>
        <w:spacing w:before="240" w:after="0"/>
        <w:jc w:val="left"/>
        <w:rPr>
          <w:rFonts w:ascii="Times New Roman" w:hAnsi="Times New Roman"/>
          <w:sz w:val="20"/>
        </w:rPr>
      </w:pPr>
      <w:r>
        <w:rPr>
          <w:rFonts w:ascii="Times New Roman" w:hAnsi="Times New Roman"/>
          <w:sz w:val="20"/>
        </w:rPr>
        <w:t xml:space="preserve">(d) Section 3.8 (quorum; voting); </w:t>
      </w:r>
    </w:p>
    <w:p>
      <w:pPr>
        <w:pStyle w:val="TextBody"/>
        <w:spacing w:before="240" w:after="0"/>
        <w:jc w:val="left"/>
        <w:rPr>
          <w:rFonts w:ascii="Times New Roman" w:hAnsi="Times New Roman"/>
          <w:sz w:val="20"/>
        </w:rPr>
      </w:pPr>
      <w:r>
        <w:rPr>
          <w:rFonts w:ascii="Times New Roman" w:hAnsi="Times New Roman"/>
          <w:sz w:val="20"/>
        </w:rPr>
        <w:t xml:space="preserve">(e) Section 3.9 (action without a meeting); and </w:t>
      </w:r>
    </w:p>
    <w:p>
      <w:pPr>
        <w:pStyle w:val="TextBody"/>
        <w:spacing w:before="240" w:after="0"/>
        <w:jc w:val="left"/>
        <w:rPr>
          <w:rFonts w:ascii="Times New Roman" w:hAnsi="Times New Roman"/>
          <w:sz w:val="20"/>
        </w:rPr>
      </w:pPr>
      <w:r>
        <w:rPr>
          <w:rFonts w:ascii="Times New Roman" w:hAnsi="Times New Roman"/>
          <w:sz w:val="20"/>
        </w:rPr>
        <w:t xml:space="preserve">(f) Section 7.4 (waiver of notice)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 such changes in the context of those bylaws as are necessary to substitute the committee or subcommittee and its members for the Board of Directors and its members. </w:t>
      </w:r>
      <w:r>
        <w:rPr>
          <w:rFonts w:ascii="Times New Roman" w:hAnsi="Times New Roman"/>
          <w:i/>
          <w:sz w:val="20"/>
        </w:rPr>
        <w:t>However</w:t>
      </w:r>
      <w:r>
        <w:rPr>
          <w:rFonts w:ascii="Times New Roman" w:hAnsi="Times New Roman"/>
          <w:sz w:val="20"/>
        </w:rPr>
        <w:t xml:space="preserve">,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 </w:t>
      </w:r>
    </w:p>
    <w:p>
      <w:pPr>
        <w:pStyle w:val="TextBody"/>
        <w:spacing w:before="240" w:after="0"/>
        <w:jc w:val="left"/>
        <w:rPr>
          <w:rFonts w:ascii="Times New Roman" w:hAnsi="Times New Roman"/>
          <w:sz w:val="20"/>
        </w:rPr>
      </w:pPr>
      <w:r>
        <w:rPr>
          <w:rFonts w:ascii="Times New Roman" w:hAnsi="Times New Roman"/>
          <w:sz w:val="20"/>
        </w:rPr>
        <w:t xml:space="preserve">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 </w:t>
      </w:r>
    </w:p>
    <w:p>
      <w:pPr>
        <w:pStyle w:val="TextBody"/>
        <w:spacing w:before="240" w:after="0"/>
        <w:jc w:val="left"/>
        <w:rPr>
          <w:rFonts w:ascii="Times New Roman" w:hAnsi="Times New Roman"/>
          <w:sz w:val="20"/>
        </w:rPr>
      </w:pPr>
      <w:r>
        <w:rPr>
          <w:rFonts w:ascii="Times New Roman" w:hAnsi="Times New Roman"/>
          <w:sz w:val="20"/>
        </w:rPr>
        <w:t xml:space="preserve">4.4 SUBCOMMITTEES </w:t>
      </w:r>
    </w:p>
    <w:p>
      <w:pPr>
        <w:pStyle w:val="TextBody"/>
        <w:spacing w:before="240" w:after="0"/>
        <w:jc w:val="left"/>
        <w:rPr>
          <w:rFonts w:ascii="Times New Roman" w:hAnsi="Times New Roman"/>
          <w:sz w:val="20"/>
        </w:rPr>
      </w:pPr>
      <w:r>
        <w:rPr>
          <w:rFonts w:ascii="Times New Roman" w:hAnsi="Times New Roman"/>
          <w:sz w:val="20"/>
        </w:rPr>
        <w:t xml:space="preserve">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 </w:t>
      </w:r>
    </w:p>
    <w:p>
      <w:pPr>
        <w:pStyle w:val="TextBody"/>
        <w:spacing w:before="480" w:after="0"/>
        <w:jc w:val="center"/>
        <w:rPr>
          <w:rFonts w:ascii="Times New Roman" w:hAnsi="Times New Roman"/>
          <w:b/>
          <w:sz w:val="20"/>
        </w:rPr>
      </w:pPr>
      <w:r>
        <w:rPr>
          <w:rFonts w:ascii="Times New Roman" w:hAnsi="Times New Roman"/>
          <w:b/>
          <w:sz w:val="20"/>
        </w:rPr>
        <w:t xml:space="preserve">ARTICLE V - OFFICERS </w:t>
      </w:r>
    </w:p>
    <w:p>
      <w:pPr>
        <w:pStyle w:val="TextBody"/>
        <w:spacing w:before="240" w:after="0"/>
        <w:jc w:val="left"/>
        <w:rPr>
          <w:rFonts w:ascii="Times New Roman" w:hAnsi="Times New Roman"/>
          <w:sz w:val="20"/>
        </w:rPr>
      </w:pPr>
      <w:r>
        <w:rPr>
          <w:rFonts w:ascii="Times New Roman" w:hAnsi="Times New Roman"/>
          <w:sz w:val="20"/>
        </w:rPr>
        <w:t xml:space="preserve">5.1 OFFICERS </w:t>
      </w:r>
    </w:p>
    <w:p>
      <w:pPr>
        <w:pStyle w:val="TextBody"/>
        <w:spacing w:before="240" w:after="0"/>
        <w:jc w:val="left"/>
        <w:rPr>
          <w:rFonts w:ascii="Times New Roman" w:hAnsi="Times New Roman"/>
          <w:sz w:val="20"/>
        </w:rPr>
      </w:pPr>
      <w:r>
        <w:rPr>
          <w:rFonts w:ascii="Times New Roman" w:hAnsi="Times New Roman"/>
          <w:sz w:val="20"/>
        </w:rPr>
        <w:t xml:space="preserve">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w:t>
      </w:r>
    </w:p>
    <w:p>
      <w:pPr>
        <w:pStyle w:val="TextBody"/>
        <w:spacing w:before="240" w:after="0"/>
        <w:jc w:val="left"/>
        <w:rPr>
          <w:rFonts w:ascii="Times New Roman" w:hAnsi="Times New Roman"/>
          <w:sz w:val="20"/>
        </w:rPr>
      </w:pPr>
      <w:r>
        <w:rPr>
          <w:rFonts w:ascii="Times New Roman" w:hAnsi="Times New Roman"/>
          <w:sz w:val="20"/>
        </w:rPr>
        <w:t xml:space="preserve">5.2 APPOINTMENT OF OFFICERS </w:t>
      </w:r>
    </w:p>
    <w:p>
      <w:pPr>
        <w:pStyle w:val="TextBody"/>
        <w:spacing w:before="240" w:after="0"/>
        <w:jc w:val="left"/>
        <w:rPr>
          <w:rFonts w:ascii="Times New Roman" w:hAnsi="Times New Roman"/>
          <w:sz w:val="20"/>
        </w:rPr>
      </w:pPr>
      <w:r>
        <w:rPr>
          <w:rFonts w:ascii="Times New Roman" w:hAnsi="Times New Roman"/>
          <w:sz w:val="20"/>
        </w:rPr>
        <w:t xml:space="preserve">The Board of Directors shall appoint the officers of the Company, except such officers as may be appointed in accordance with the provisions of Section 5.3 of these bylaws, subject to the rights, if any, of an officer under any contract of employment. </w:t>
      </w:r>
    </w:p>
    <w:p>
      <w:pPr>
        <w:pStyle w:val="TextBody"/>
        <w:spacing w:before="240" w:after="0"/>
        <w:jc w:val="left"/>
        <w:rPr>
          <w:rFonts w:ascii="Times New Roman" w:hAnsi="Times New Roman"/>
          <w:sz w:val="20"/>
        </w:rPr>
      </w:pPr>
      <w:r>
        <w:rPr>
          <w:rFonts w:ascii="Times New Roman" w:hAnsi="Times New Roman"/>
          <w:sz w:val="20"/>
        </w:rPr>
        <w:t xml:space="preserve">5.3 SUBORDINATE OFFICERS </w:t>
      </w:r>
    </w:p>
    <w:p>
      <w:pPr>
        <w:pStyle w:val="TextBody"/>
        <w:spacing w:before="240" w:after="0"/>
        <w:jc w:val="left"/>
        <w:rPr>
          <w:rFonts w:ascii="Times New Roman" w:hAnsi="Times New Roman"/>
          <w:sz w:val="20"/>
        </w:rPr>
      </w:pPr>
      <w:r>
        <w:rPr>
          <w:rFonts w:ascii="Times New Roman" w:hAnsi="Times New Roman"/>
          <w:sz w:val="20"/>
        </w:rPr>
        <w:t xml:space="preserve">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5.4 REMOVAL AND RESIGNATION OF OFFICERS </w:t>
      </w:r>
    </w:p>
    <w:p>
      <w:pPr>
        <w:pStyle w:val="TextBody"/>
        <w:spacing w:before="24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 </w:t>
      </w:r>
    </w:p>
    <w:p>
      <w:pPr>
        <w:pStyle w:val="TextBody"/>
        <w:spacing w:before="240" w:after="0"/>
        <w:jc w:val="left"/>
        <w:rPr>
          <w:rFonts w:ascii="Times New Roman" w:hAnsi="Times New Roman"/>
          <w:sz w:val="20"/>
        </w:rPr>
      </w:pPr>
      <w:r>
        <w:rPr>
          <w:rFonts w:ascii="Times New Roman" w:hAnsi="Times New Roman"/>
          <w:sz w:val="20"/>
        </w:rPr>
        <w:t xml:space="preserve">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 </w:t>
      </w:r>
    </w:p>
    <w:p>
      <w:pPr>
        <w:pStyle w:val="TextBody"/>
        <w:spacing w:before="240" w:after="0"/>
        <w:jc w:val="left"/>
        <w:rPr>
          <w:rFonts w:ascii="Times New Roman" w:hAnsi="Times New Roman"/>
          <w:sz w:val="20"/>
        </w:rPr>
      </w:pPr>
      <w:r>
        <w:rPr>
          <w:rFonts w:ascii="Times New Roman" w:hAnsi="Times New Roman"/>
          <w:sz w:val="20"/>
        </w:rPr>
        <w:t xml:space="preserve">5.5 VACANCIES IN OFFICES </w:t>
      </w:r>
    </w:p>
    <w:p>
      <w:pPr>
        <w:pStyle w:val="TextBody"/>
        <w:spacing w:before="240" w:after="0"/>
        <w:jc w:val="left"/>
        <w:rPr>
          <w:rFonts w:ascii="Times New Roman" w:hAnsi="Times New Roman"/>
          <w:sz w:val="20"/>
        </w:rPr>
      </w:pPr>
      <w:r>
        <w:rPr>
          <w:rFonts w:ascii="Times New Roman" w:hAnsi="Times New Roman"/>
          <w:sz w:val="20"/>
        </w:rPr>
        <w:t xml:space="preserve">Any vacancy occurring in any office of the Company shall be filled by the Board of Directors or as provided in Section 5.3. </w:t>
      </w:r>
    </w:p>
    <w:p>
      <w:pPr>
        <w:pStyle w:val="TextBody"/>
        <w:spacing w:before="240" w:after="0"/>
        <w:jc w:val="left"/>
        <w:rPr>
          <w:rFonts w:ascii="Times New Roman" w:hAnsi="Times New Roman"/>
          <w:sz w:val="20"/>
        </w:rPr>
      </w:pPr>
      <w:r>
        <w:rPr>
          <w:rFonts w:ascii="Times New Roman" w:hAnsi="Times New Roman"/>
          <w:sz w:val="20"/>
        </w:rPr>
        <w:t xml:space="preserve">5.6 REPRESENTATION OF SECURITIES OF OTHER ENTITIES </w:t>
      </w:r>
    </w:p>
    <w:p>
      <w:pPr>
        <w:pStyle w:val="TextBody"/>
        <w:spacing w:before="240" w:after="0"/>
        <w:jc w:val="left"/>
        <w:rPr>
          <w:rFonts w:ascii="Times New Roman" w:hAnsi="Times New Roman"/>
          <w:sz w:val="20"/>
        </w:rPr>
      </w:pPr>
      <w:r>
        <w:rPr>
          <w:rFonts w:ascii="Times New Roman" w:hAnsi="Times New Roman"/>
          <w:sz w:val="20"/>
        </w:rPr>
        <w:t xml:space="preserve">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 </w:t>
      </w:r>
    </w:p>
    <w:p>
      <w:pPr>
        <w:pStyle w:val="TextBody"/>
        <w:spacing w:before="240" w:after="0"/>
        <w:jc w:val="left"/>
        <w:rPr>
          <w:rFonts w:ascii="Times New Roman" w:hAnsi="Times New Roman"/>
          <w:sz w:val="20"/>
        </w:rPr>
      </w:pPr>
      <w:r>
        <w:rPr>
          <w:rFonts w:ascii="Times New Roman" w:hAnsi="Times New Roman"/>
          <w:sz w:val="20"/>
        </w:rPr>
        <w:t xml:space="preserve">5.7 AUTHORITY AND DUTIES OF OFFICERS </w:t>
      </w:r>
    </w:p>
    <w:p>
      <w:pPr>
        <w:pStyle w:val="TextBody"/>
        <w:spacing w:before="240" w:after="0"/>
        <w:jc w:val="left"/>
        <w:rPr>
          <w:rFonts w:ascii="Times New Roman" w:hAnsi="Times New Roman"/>
          <w:sz w:val="20"/>
        </w:rPr>
      </w:pPr>
      <w:r>
        <w:rPr>
          <w:rFonts w:ascii="Times New Roman" w:hAnsi="Times New Roman"/>
          <w:sz w:val="20"/>
        </w:rPr>
        <w:t xml:space="preserve">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 </w:t>
      </w:r>
    </w:p>
    <w:p>
      <w:pPr>
        <w:pStyle w:val="TextBody"/>
        <w:spacing w:before="480" w:after="0"/>
        <w:jc w:val="center"/>
        <w:rPr>
          <w:rFonts w:ascii="Times New Roman" w:hAnsi="Times New Roman"/>
          <w:b/>
          <w:sz w:val="20"/>
        </w:rPr>
      </w:pPr>
      <w:r>
        <w:rPr>
          <w:rFonts w:ascii="Times New Roman" w:hAnsi="Times New Roman"/>
          <w:b/>
          <w:sz w:val="20"/>
        </w:rPr>
        <w:t xml:space="preserve">ARTICLE VI - STOCK </w:t>
      </w:r>
    </w:p>
    <w:p>
      <w:pPr>
        <w:pStyle w:val="TextBody"/>
        <w:spacing w:before="240" w:after="0"/>
        <w:jc w:val="left"/>
        <w:rPr>
          <w:rFonts w:ascii="Times New Roman" w:hAnsi="Times New Roman"/>
          <w:sz w:val="20"/>
        </w:rPr>
      </w:pPr>
      <w:r>
        <w:rPr>
          <w:rFonts w:ascii="Times New Roman" w:hAnsi="Times New Roman"/>
          <w:sz w:val="20"/>
        </w:rPr>
        <w:t xml:space="preserve">6.1 STOCK CERTIFICATES; PARTLY PAID SHARES </w:t>
      </w:r>
    </w:p>
    <w:p>
      <w:pPr>
        <w:pStyle w:val="TextBody"/>
        <w:spacing w:before="240" w:after="0"/>
        <w:jc w:val="left"/>
        <w:rPr>
          <w:rFonts w:ascii="Times New Roman" w:hAnsi="Times New Roman"/>
          <w:sz w:val="20"/>
        </w:rPr>
      </w:pPr>
      <w:r>
        <w:rPr>
          <w:rFonts w:ascii="Times New Roman" w:hAnsi="Times New Roman"/>
          <w:sz w:val="20"/>
        </w:rPr>
        <w:t xml:space="preserve">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 </w:t>
      </w:r>
    </w:p>
    <w:p>
      <w:pPr>
        <w:pStyle w:val="TextBody"/>
        <w:spacing w:before="240" w:after="0"/>
        <w:jc w:val="left"/>
        <w:rPr>
          <w:rFonts w:ascii="Times New Roman" w:hAnsi="Times New Roman"/>
          <w:sz w:val="20"/>
        </w:rPr>
      </w:pPr>
      <w:r>
        <w:rPr>
          <w:rFonts w:ascii="Times New Roman" w:hAnsi="Times New Roman"/>
          <w:sz w:val="20"/>
        </w:rPr>
        <w:t xml:space="preserve">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 </w:t>
      </w:r>
    </w:p>
    <w:p>
      <w:pPr>
        <w:pStyle w:val="TextBody"/>
        <w:spacing w:before="240" w:after="0"/>
        <w:jc w:val="left"/>
        <w:rPr>
          <w:rFonts w:ascii="Times New Roman" w:hAnsi="Times New Roman"/>
          <w:sz w:val="20"/>
        </w:rPr>
      </w:pPr>
      <w:r>
        <w:rPr>
          <w:rFonts w:ascii="Times New Roman" w:hAnsi="Times New Roman"/>
          <w:sz w:val="20"/>
        </w:rPr>
        <w:t xml:space="preserve">6.2 SPECIAL DESIGNATION ON CERTIFICATES </w:t>
      </w:r>
    </w:p>
    <w:p>
      <w:pPr>
        <w:pStyle w:val="TextBody"/>
        <w:spacing w:before="240" w:after="0"/>
        <w:jc w:val="left"/>
        <w:rPr>
          <w:rFonts w:ascii="Times New Roman" w:hAnsi="Times New Roman"/>
          <w:sz w:val="20"/>
        </w:rPr>
      </w:pPr>
      <w:r>
        <w:rPr>
          <w:rFonts w:ascii="Times New Roman" w:hAnsi="Times New Roman"/>
          <w:sz w:val="20"/>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hAnsi="Times New Roman"/>
          <w:i/>
          <w:sz w:val="20"/>
        </w:rPr>
        <w:t>provided, however</w:t>
      </w:r>
      <w:r>
        <w:rPr>
          <w:rFonts w:ascii="Times New Roman" w:hAnsi="Times New Roman"/>
          <w:sz w:val="20"/>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 </w:t>
      </w:r>
    </w:p>
    <w:p>
      <w:pPr>
        <w:pStyle w:val="TextBody"/>
        <w:spacing w:before="240" w:after="0"/>
        <w:jc w:val="left"/>
        <w:rPr>
          <w:rFonts w:ascii="Times New Roman" w:hAnsi="Times New Roman"/>
          <w:sz w:val="20"/>
        </w:rPr>
      </w:pPr>
      <w:r>
        <w:rPr>
          <w:rFonts w:ascii="Times New Roman" w:hAnsi="Times New Roman"/>
          <w:sz w:val="20"/>
        </w:rPr>
        <w:t xml:space="preserve">6.3 LOST CERTIFICATES </w:t>
      </w:r>
    </w:p>
    <w:p>
      <w:pPr>
        <w:pStyle w:val="TextBody"/>
        <w:spacing w:before="240" w:after="0"/>
        <w:jc w:val="left"/>
        <w:rPr>
          <w:rFonts w:ascii="Times New Roman" w:hAnsi="Times New Roman"/>
          <w:sz w:val="20"/>
        </w:rPr>
      </w:pPr>
      <w:r>
        <w:rPr>
          <w:rFonts w:ascii="Times New Roman" w:hAnsi="Times New Roman"/>
          <w:sz w:val="20"/>
        </w:rPr>
        <w:t xml:space="preserve">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6.4 DIVIDENDS </w:t>
      </w:r>
    </w:p>
    <w:p>
      <w:pPr>
        <w:pStyle w:val="TextBody"/>
        <w:spacing w:before="240" w:after="0"/>
        <w:jc w:val="left"/>
        <w:rPr>
          <w:rFonts w:ascii="Times New Roman" w:hAnsi="Times New Roman"/>
          <w:sz w:val="20"/>
        </w:rPr>
      </w:pPr>
      <w:r>
        <w:rPr>
          <w:rFonts w:ascii="Times New Roman" w:hAnsi="Times New Roman"/>
          <w:sz w:val="20"/>
        </w:rPr>
        <w:t xml:space="preserve">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 </w:t>
      </w:r>
    </w:p>
    <w:p>
      <w:pPr>
        <w:pStyle w:val="TextBody"/>
        <w:spacing w:before="240" w:after="0"/>
        <w:jc w:val="left"/>
        <w:rPr>
          <w:rFonts w:ascii="Times New Roman" w:hAnsi="Times New Roman"/>
          <w:sz w:val="20"/>
        </w:rPr>
      </w:pPr>
      <w:r>
        <w:rPr>
          <w:rFonts w:ascii="Times New Roman" w:hAnsi="Times New Roman"/>
          <w:sz w:val="20"/>
        </w:rPr>
        <w:t xml:space="preserve">6.5 TRANSFER OF STOCK </w:t>
      </w:r>
    </w:p>
    <w:p>
      <w:pPr>
        <w:pStyle w:val="TextBody"/>
        <w:spacing w:before="240" w:after="0"/>
        <w:jc w:val="left"/>
        <w:rPr>
          <w:rFonts w:ascii="Times New Roman" w:hAnsi="Times New Roman"/>
          <w:sz w:val="20"/>
        </w:rPr>
      </w:pPr>
      <w:r>
        <w:rPr>
          <w:rFonts w:ascii="Times New Roman" w:hAnsi="Times New Roman"/>
          <w:sz w:val="20"/>
        </w:rPr>
        <w:t xml:space="preserve">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 </w:t>
      </w:r>
    </w:p>
    <w:p>
      <w:pPr>
        <w:pStyle w:val="TextBody"/>
        <w:spacing w:before="240" w:after="0"/>
        <w:jc w:val="left"/>
        <w:rPr>
          <w:rFonts w:ascii="Times New Roman" w:hAnsi="Times New Roman"/>
          <w:sz w:val="20"/>
        </w:rPr>
      </w:pPr>
      <w:r>
        <w:rPr>
          <w:rFonts w:ascii="Times New Roman" w:hAnsi="Times New Roman"/>
          <w:sz w:val="20"/>
        </w:rPr>
        <w:t xml:space="preserve">6.6 STOCK TRANSFER AGREEMENTS </w:t>
      </w:r>
    </w:p>
    <w:p>
      <w:pPr>
        <w:pStyle w:val="TextBody"/>
        <w:spacing w:before="240" w:after="0"/>
        <w:jc w:val="left"/>
        <w:rPr>
          <w:rFonts w:ascii="Times New Roman" w:hAnsi="Times New Roman"/>
          <w:sz w:val="20"/>
        </w:rPr>
      </w:pPr>
      <w:r>
        <w:rPr>
          <w:rFonts w:ascii="Times New Roman" w:hAnsi="Times New Roman"/>
          <w:sz w:val="20"/>
        </w:rPr>
        <w:t xml:space="preserve">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 </w:t>
      </w:r>
    </w:p>
    <w:p>
      <w:pPr>
        <w:pStyle w:val="TextBody"/>
        <w:spacing w:before="240" w:after="0"/>
        <w:jc w:val="left"/>
        <w:rPr>
          <w:rFonts w:ascii="Times New Roman" w:hAnsi="Times New Roman"/>
          <w:sz w:val="20"/>
        </w:rPr>
      </w:pPr>
      <w:r>
        <w:rPr>
          <w:rFonts w:ascii="Times New Roman" w:hAnsi="Times New Roman"/>
          <w:sz w:val="20"/>
        </w:rPr>
        <w:t xml:space="preserve">6.7 REGISTERED STOCKHOLDERS </w:t>
      </w:r>
    </w:p>
    <w:p>
      <w:pPr>
        <w:pStyle w:val="TextBody"/>
        <w:spacing w:before="240" w:after="0"/>
        <w:jc w:val="left"/>
        <w:rPr>
          <w:rFonts w:ascii="Times New Roman" w:hAnsi="Times New Roman"/>
          <w:sz w:val="20"/>
        </w:rPr>
      </w:pPr>
      <w:r>
        <w:rPr>
          <w:rFonts w:ascii="Times New Roman" w:hAnsi="Times New Roman"/>
          <w:sz w:val="20"/>
        </w:rPr>
        <w:t xml:space="preserve">The Company: </w:t>
      </w:r>
    </w:p>
    <w:p>
      <w:pPr>
        <w:pStyle w:val="TextBody"/>
        <w:spacing w:before="120" w:after="0"/>
        <w:jc w:val="left"/>
        <w:rPr>
          <w:rFonts w:ascii="Times New Roman" w:hAnsi="Times New Roman"/>
          <w:sz w:val="20"/>
        </w:rPr>
      </w:pPr>
      <w:r>
        <w:rPr>
          <w:rFonts w:ascii="Times New Roman" w:hAnsi="Times New Roman"/>
          <w:sz w:val="20"/>
        </w:rPr>
        <w:t xml:space="preserve">(a) shall be entitled to recognize the exclusive right of a person registered on its books as the owner of shares to receive dividends and notices and to vote as such owner; and </w:t>
      </w:r>
    </w:p>
    <w:p>
      <w:pPr>
        <w:pStyle w:val="TextBody"/>
        <w:spacing w:before="240" w:after="0"/>
        <w:jc w:val="left"/>
        <w:rPr>
          <w:rFonts w:ascii="Times New Roman" w:hAnsi="Times New Roman"/>
          <w:sz w:val="20"/>
        </w:rPr>
      </w:pPr>
      <w:r>
        <w:rPr>
          <w:rFonts w:ascii="Times New Roman" w:hAnsi="Times New Roman"/>
          <w:sz w:val="20"/>
        </w:rPr>
        <w:t xml:space="preserve">(b)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spacing w:before="480" w:after="0"/>
        <w:jc w:val="center"/>
        <w:rPr>
          <w:rFonts w:ascii="Times New Roman" w:hAnsi="Times New Roman"/>
          <w:b/>
          <w:sz w:val="20"/>
        </w:rPr>
      </w:pPr>
      <w:r>
        <w:rPr>
          <w:rFonts w:ascii="Times New Roman" w:hAnsi="Times New Roman"/>
          <w:b/>
          <w:sz w:val="20"/>
        </w:rPr>
        <w:t xml:space="preserve">ARTICLE VIIMANNER OF GIVING NOTICE AND WAIVER </w:t>
      </w:r>
    </w:p>
    <w:p>
      <w:pPr>
        <w:pStyle w:val="TextBody"/>
        <w:spacing w:before="240" w:after="0"/>
        <w:jc w:val="left"/>
        <w:rPr>
          <w:rFonts w:ascii="Times New Roman" w:hAnsi="Times New Roman"/>
          <w:sz w:val="20"/>
        </w:rPr>
      </w:pPr>
      <w:r>
        <w:rPr>
          <w:rFonts w:ascii="Times New Roman" w:hAnsi="Times New Roman"/>
          <w:sz w:val="20"/>
        </w:rPr>
        <w:t xml:space="preserve">7.1 NOTICE OF STOCKHOLDERS MEETINGS </w:t>
      </w:r>
    </w:p>
    <w:p>
      <w:pPr>
        <w:pStyle w:val="TextBody"/>
        <w:spacing w:before="240" w:after="0"/>
        <w:jc w:val="left"/>
        <w:rPr>
          <w:rFonts w:ascii="Times New Roman" w:hAnsi="Times New Roman"/>
          <w:sz w:val="20"/>
        </w:rPr>
      </w:pPr>
      <w:r>
        <w:rPr>
          <w:rFonts w:ascii="Times New Roman" w:hAnsi="Times New Roman"/>
          <w:sz w:val="20"/>
        </w:rPr>
        <w:t xml:space="preserve">Notice of any meeting of stockholders shall be given in the manner set forth in the DGCL. </w:t>
      </w:r>
    </w:p>
    <w:p>
      <w:pPr>
        <w:pStyle w:val="TextBody"/>
        <w:spacing w:before="240" w:after="0"/>
        <w:jc w:val="left"/>
        <w:rPr>
          <w:rFonts w:ascii="Times New Roman" w:hAnsi="Times New Roman"/>
          <w:sz w:val="20"/>
        </w:rPr>
      </w:pPr>
      <w:r>
        <w:rPr>
          <w:rFonts w:ascii="Times New Roman" w:hAnsi="Times New Roman"/>
          <w:sz w:val="20"/>
        </w:rPr>
        <w:t xml:space="preserve">7.2 NOTICE TO STOCKHOLDERS SHARING AN ADDRESS </w:t>
      </w:r>
    </w:p>
    <w:p>
      <w:pPr>
        <w:pStyle w:val="TextBody"/>
        <w:spacing w:before="240" w:after="0"/>
        <w:jc w:val="left"/>
        <w:rPr>
          <w:rFonts w:ascii="Times New Roman" w:hAnsi="Times New Roman"/>
          <w:sz w:val="20"/>
        </w:rPr>
      </w:pPr>
      <w:r>
        <w:rPr>
          <w:rFonts w:ascii="Times New Roman" w:hAnsi="Times New Roman"/>
          <w:sz w:val="20"/>
        </w:rPr>
        <w:t xml:space="preserve">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7.3 NOTICE TO PERSON WITH WHOM COMMUNICATION IS UNLAWFUL </w:t>
      </w:r>
    </w:p>
    <w:p>
      <w:pPr>
        <w:pStyle w:val="TextBody"/>
        <w:spacing w:before="240" w:after="0"/>
        <w:jc w:val="left"/>
        <w:rPr>
          <w:rFonts w:ascii="Times New Roman" w:hAnsi="Times New Roman"/>
          <w:sz w:val="20"/>
        </w:rPr>
      </w:pPr>
      <w:r>
        <w:rPr>
          <w:rFonts w:ascii="Times New Roman" w:hAnsi="Times New Roman"/>
          <w:sz w:val="20"/>
        </w:rPr>
        <w:t xml:space="preserve">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 </w:t>
      </w:r>
    </w:p>
    <w:p>
      <w:pPr>
        <w:pStyle w:val="TextBody"/>
        <w:spacing w:before="240" w:after="0"/>
        <w:jc w:val="left"/>
        <w:rPr>
          <w:rFonts w:ascii="Times New Roman" w:hAnsi="Times New Roman"/>
          <w:sz w:val="20"/>
        </w:rPr>
      </w:pPr>
      <w:r>
        <w:rPr>
          <w:rFonts w:ascii="Times New Roman" w:hAnsi="Times New Roman"/>
          <w:sz w:val="20"/>
        </w:rPr>
        <w:t xml:space="preserve">7.4 WAIVER OF NOTICE </w:t>
      </w:r>
    </w:p>
    <w:p>
      <w:pPr>
        <w:pStyle w:val="TextBody"/>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spacing w:before="480" w:after="0"/>
        <w:jc w:val="center"/>
        <w:rPr>
          <w:rFonts w:ascii="Times New Roman" w:hAnsi="Times New Roman"/>
          <w:b/>
          <w:sz w:val="20"/>
        </w:rPr>
      </w:pPr>
      <w:r>
        <w:rPr>
          <w:rFonts w:ascii="Times New Roman" w:hAnsi="Times New Roman"/>
          <w:b/>
          <w:sz w:val="20"/>
        </w:rPr>
        <w:t xml:space="preserve">ARTICLE VIII - INDEMNIFICATION </w:t>
      </w:r>
    </w:p>
    <w:p>
      <w:pPr>
        <w:pStyle w:val="TextBody"/>
        <w:spacing w:before="240" w:after="0"/>
        <w:jc w:val="left"/>
        <w:rPr>
          <w:rFonts w:ascii="Times New Roman" w:hAnsi="Times New Roman"/>
          <w:sz w:val="20"/>
        </w:rPr>
      </w:pPr>
      <w:r>
        <w:rPr>
          <w:rFonts w:ascii="Times New Roman" w:hAnsi="Times New Roman"/>
          <w:sz w:val="20"/>
        </w:rPr>
        <w:t xml:space="preserve">8.1 INDEMNIFICATION OF DIRECTORS AND OFFICERS IN THIRD PARTY PROCEEDINGS </w:t>
      </w:r>
    </w:p>
    <w:p>
      <w:pPr>
        <w:pStyle w:val="TextBody"/>
        <w:spacing w:before="240" w:after="0"/>
        <w:jc w:val="left"/>
        <w:rPr>
          <w:rFonts w:ascii="Times New Roman" w:hAnsi="Times New Roman"/>
          <w:sz w:val="20"/>
        </w:rPr>
      </w:pPr>
      <w:r>
        <w:rPr>
          <w:rFonts w:ascii="Times New Roman" w:hAnsi="Times New Roman"/>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hAnsi="Times New Roman"/>
          <w:b/>
          <w:sz w:val="20"/>
        </w:rPr>
        <w:t>Proceeding</w:t>
      </w:r>
      <w:r>
        <w:rPr>
          <w:rFonts w:ascii="Times New Roman" w:hAnsi="Times New Roman"/>
          <w:sz w:val="20"/>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hAnsi="Times New Roman"/>
          <w:i/>
          <w:sz w:val="20"/>
        </w:rPr>
        <w:t>nolo contendere</w:t>
      </w:r>
      <w:r>
        <w:rPr>
          <w:rFonts w:ascii="Times New Roman" w:hAnsi="Times New Roman"/>
          <w:sz w:val="20"/>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8.2 INDEMNIFICATION OF DIRECTORS AND OFFICERS IN ACTIONS BY OR IN THE RIGHT OF THE COMPANY </w:t>
      </w:r>
    </w:p>
    <w:p>
      <w:pPr>
        <w:pStyle w:val="TextBody"/>
        <w:spacing w:before="240" w:after="0"/>
        <w:jc w:val="left"/>
        <w:rPr>
          <w:rFonts w:ascii="Times New Roman" w:hAnsi="Times New Roman"/>
          <w:sz w:val="20"/>
        </w:rPr>
      </w:pPr>
      <w:r>
        <w:rPr>
          <w:rFonts w:ascii="Times New Roman" w:hAnsi="Times New Roman"/>
          <w:sz w:val="20"/>
        </w:rPr>
        <w:t xml:space="preserve">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spacing w:before="240" w:after="0"/>
        <w:jc w:val="left"/>
        <w:rPr>
          <w:rFonts w:ascii="Times New Roman" w:hAnsi="Times New Roman"/>
          <w:sz w:val="20"/>
        </w:rPr>
      </w:pPr>
      <w:r>
        <w:rPr>
          <w:rFonts w:ascii="Times New Roman" w:hAnsi="Times New Roman"/>
          <w:sz w:val="20"/>
        </w:rPr>
        <w:t xml:space="preserve">8.3 SUCCESSFUL DEFENSE </w:t>
      </w:r>
    </w:p>
    <w:p>
      <w:pPr>
        <w:pStyle w:val="TextBody"/>
        <w:spacing w:before="240" w:after="0"/>
        <w:jc w:val="left"/>
        <w:rPr>
          <w:rFonts w:ascii="Times New Roman" w:hAnsi="Times New Roman"/>
          <w:sz w:val="20"/>
        </w:rPr>
      </w:pPr>
      <w:r>
        <w:rPr>
          <w:rFonts w:ascii="Times New Roman" w:hAnsi="Times New Roman"/>
          <w:sz w:val="20"/>
        </w:rPr>
        <w:t xml:space="preserve">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 </w:t>
      </w:r>
    </w:p>
    <w:p>
      <w:pPr>
        <w:pStyle w:val="TextBody"/>
        <w:spacing w:before="240" w:after="0"/>
        <w:jc w:val="left"/>
        <w:rPr>
          <w:rFonts w:ascii="Times New Roman" w:hAnsi="Times New Roman"/>
          <w:sz w:val="20"/>
        </w:rPr>
      </w:pPr>
      <w:r>
        <w:rPr>
          <w:rFonts w:ascii="Times New Roman" w:hAnsi="Times New Roman"/>
          <w:sz w:val="20"/>
        </w:rPr>
        <w:t xml:space="preserve">8.4 INDEMNIFICATION OF OTHERS </w:t>
      </w:r>
    </w:p>
    <w:p>
      <w:pPr>
        <w:pStyle w:val="TextBody"/>
        <w:spacing w:before="240" w:after="0"/>
        <w:jc w:val="left"/>
        <w:rPr>
          <w:rFonts w:ascii="Times New Roman" w:hAnsi="Times New Roman"/>
          <w:sz w:val="20"/>
        </w:rPr>
      </w:pPr>
      <w:r>
        <w:rPr>
          <w:rFonts w:ascii="Times New Roman" w:hAnsi="Times New Roman"/>
          <w:sz w:val="20"/>
        </w:rPr>
        <w:t xml:space="preserve">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 </w:t>
      </w:r>
    </w:p>
    <w:p>
      <w:pPr>
        <w:pStyle w:val="TextBody"/>
        <w:spacing w:before="240" w:after="0"/>
        <w:jc w:val="left"/>
        <w:rPr>
          <w:rFonts w:ascii="Times New Roman" w:hAnsi="Times New Roman"/>
          <w:sz w:val="20"/>
        </w:rPr>
      </w:pPr>
      <w:r>
        <w:rPr>
          <w:rFonts w:ascii="Times New Roman" w:hAnsi="Times New Roman"/>
          <w:sz w:val="20"/>
        </w:rPr>
        <w:t xml:space="preserve">8.5 ADVANCED PAYMENT OF EXPENSES </w:t>
      </w:r>
    </w:p>
    <w:p>
      <w:pPr>
        <w:pStyle w:val="TextBody"/>
        <w:spacing w:before="240" w:after="0"/>
        <w:jc w:val="left"/>
        <w:rPr>
          <w:rFonts w:ascii="Times New Roman" w:hAnsi="Times New Roman"/>
          <w:sz w:val="20"/>
        </w:rPr>
      </w:pPr>
      <w:r>
        <w:rPr>
          <w:rFonts w:ascii="Times New Roman" w:hAnsi="Times New Roman"/>
          <w:sz w:val="20"/>
        </w:rPr>
        <w:t xml:space="preserve">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 </w:t>
      </w:r>
    </w:p>
    <w:p>
      <w:pPr>
        <w:pStyle w:val="TextBody"/>
        <w:spacing w:before="240" w:after="0"/>
        <w:jc w:val="left"/>
        <w:rPr>
          <w:rFonts w:ascii="Times New Roman" w:hAnsi="Times New Roman"/>
          <w:sz w:val="20"/>
        </w:rPr>
      </w:pPr>
      <w:r>
        <w:rPr>
          <w:rFonts w:ascii="Times New Roman" w:hAnsi="Times New Roman"/>
          <w:sz w:val="20"/>
        </w:rPr>
        <w:t xml:space="preserve">8.6 LIMITATION ON INDEMNIFICATION </w:t>
      </w:r>
    </w:p>
    <w:p>
      <w:pPr>
        <w:pStyle w:val="TextBody"/>
        <w:spacing w:before="240" w:after="0"/>
        <w:jc w:val="left"/>
        <w:rPr>
          <w:rFonts w:ascii="Times New Roman" w:hAnsi="Times New Roman"/>
          <w:sz w:val="20"/>
        </w:rPr>
      </w:pPr>
      <w:r>
        <w:rPr>
          <w:rFonts w:ascii="Times New Roman" w:hAnsi="Times New Roman"/>
          <w:sz w:val="20"/>
        </w:rPr>
        <w:t xml:space="preserve">Subject to the requirements in Section 8.3 and the DGCL, the Company shall not be obligated to indemnify any person pursuant to this Article VIII in connection with any Proceeding (or any part of any Proceeding): </w:t>
      </w:r>
    </w:p>
    <w:p>
      <w:pPr>
        <w:pStyle w:val="TextBody"/>
        <w:spacing w:before="120" w:after="0"/>
        <w:jc w:val="left"/>
        <w:rPr>
          <w:rFonts w:ascii="Times New Roman" w:hAnsi="Times New Roman"/>
          <w:sz w:val="20"/>
        </w:rPr>
      </w:pPr>
      <w:r>
        <w:rPr>
          <w:rFonts w:ascii="Times New Roman" w:hAnsi="Times New Roman"/>
          <w:sz w:val="20"/>
        </w:rPr>
        <w:t xml:space="preserve">(a) for which payment has actually been made to or on behalf of such person under any statute, insurance policy, indemnity provision, vote or otherwise, except with respect to any excess beyond the amount paid; </w:t>
      </w:r>
    </w:p>
    <w:p>
      <w:pPr>
        <w:pStyle w:val="TextBody"/>
        <w:spacing w:before="240" w:after="0"/>
        <w:jc w:val="left"/>
        <w:rPr>
          <w:rFonts w:ascii="Times New Roman" w:hAnsi="Times New Roman"/>
          <w:sz w:val="20"/>
        </w:rPr>
      </w:pPr>
      <w:r>
        <w:rPr>
          <w:rFonts w:ascii="Times New Roman" w:hAnsi="Times New Roman"/>
          <w:sz w:val="20"/>
        </w:rPr>
        <w:t xml:space="preserve">(b) for an accounting or disgorgement of profits pursuant to Section 16(b) of the 1934 Act, or similar provisions of federal, state or local statutory law or common law, if such person is held liable therefor (including pursuant to any settlement arrangements); </w:t>
      </w:r>
    </w:p>
    <w:p>
      <w:pPr>
        <w:pStyle w:val="TextBody"/>
        <w:spacing w:before="240" w:after="0"/>
        <w:jc w:val="left"/>
        <w:rPr>
          <w:rFonts w:ascii="Times New Roman" w:hAnsi="Times New Roman"/>
          <w:sz w:val="20"/>
        </w:rPr>
      </w:pPr>
      <w:r>
        <w:rPr>
          <w:rFonts w:ascii="Times New Roman" w:hAnsi="Times New Roman"/>
          <w:sz w:val="20"/>
        </w:rPr>
        <w:t>(c) 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hAnsi="Times New Roman"/>
          <w:b/>
          <w:sz w:val="20"/>
        </w:rPr>
        <w:t>Sarbanes-Oxley Act</w:t>
      </w:r>
      <w:r>
        <w:rPr>
          <w:rFonts w:ascii="Times New Roman" w:hAnsi="Times New Roman"/>
          <w:sz w:val="20"/>
        </w:rPr>
        <w:t xml:space="preserve">), or the payment to the Company of profits arising from the purchase and sale by such person of securities in violation of Section 306 of the Sarbanes-Oxley Act), if such person is held liable therefor (including pursuant to any settlement arrangements); </w:t>
      </w:r>
    </w:p>
    <w:p>
      <w:pPr>
        <w:pStyle w:val="TextBody"/>
        <w:spacing w:before="240" w:after="0"/>
        <w:jc w:val="left"/>
        <w:rPr>
          <w:rFonts w:ascii="Times New Roman" w:hAnsi="Times New Roman"/>
          <w:sz w:val="20"/>
        </w:rPr>
      </w:pPr>
      <w:r>
        <w:rPr>
          <w:rFonts w:ascii="Times New Roman" w:hAnsi="Times New Roman"/>
          <w:sz w:val="20"/>
        </w:rPr>
        <w:t xml:space="preserve">(d) 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 </w:t>
      </w:r>
    </w:p>
    <w:p>
      <w:pPr>
        <w:pStyle w:val="TextBody"/>
        <w:spacing w:before="240" w:after="0"/>
        <w:jc w:val="left"/>
        <w:rPr>
          <w:rFonts w:ascii="Times New Roman" w:hAnsi="Times New Roman"/>
          <w:sz w:val="20"/>
        </w:rPr>
      </w:pPr>
      <w:r>
        <w:rPr>
          <w:rFonts w:ascii="Times New Roman" w:hAnsi="Times New Roman"/>
          <w:sz w:val="20"/>
        </w:rPr>
        <w:t xml:space="preserve">(e) if prohibited by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8.7 DETERMINATION; CLAIM </w:t>
      </w:r>
    </w:p>
    <w:p>
      <w:pPr>
        <w:pStyle w:val="TextBody"/>
        <w:spacing w:before="240" w:after="0"/>
        <w:jc w:val="left"/>
        <w:rPr>
          <w:rFonts w:ascii="Times New Roman" w:hAnsi="Times New Roman"/>
          <w:sz w:val="20"/>
        </w:rPr>
      </w:pPr>
      <w:r>
        <w:rPr>
          <w:rFonts w:ascii="Times New Roman" w:hAnsi="Times New Roman"/>
          <w:sz w:val="20"/>
        </w:rPr>
        <w:t xml:space="preserve">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 </w:t>
      </w:r>
    </w:p>
    <w:p>
      <w:pPr>
        <w:pStyle w:val="TextBody"/>
        <w:spacing w:before="240" w:after="0"/>
        <w:jc w:val="left"/>
        <w:rPr>
          <w:rFonts w:ascii="Times New Roman" w:hAnsi="Times New Roman"/>
          <w:sz w:val="20"/>
        </w:rPr>
      </w:pPr>
      <w:r>
        <w:rPr>
          <w:rFonts w:ascii="Times New Roman" w:hAnsi="Times New Roman"/>
          <w:sz w:val="20"/>
        </w:rPr>
        <w:t xml:space="preserve">8.8 NON-EXCLUSIVITY OF RIGHTS </w:t>
      </w:r>
    </w:p>
    <w:p>
      <w:pPr>
        <w:pStyle w:val="TextBody"/>
        <w:spacing w:before="24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 </w:t>
      </w:r>
    </w:p>
    <w:p>
      <w:pPr>
        <w:pStyle w:val="TextBody"/>
        <w:spacing w:before="240" w:after="0"/>
        <w:jc w:val="left"/>
        <w:rPr>
          <w:rFonts w:ascii="Times New Roman" w:hAnsi="Times New Roman"/>
          <w:sz w:val="20"/>
        </w:rPr>
      </w:pPr>
      <w:r>
        <w:rPr>
          <w:rFonts w:ascii="Times New Roman" w:hAnsi="Times New Roman"/>
          <w:sz w:val="20"/>
        </w:rPr>
        <w:t xml:space="preserve">8.9 INSURANCE </w:t>
      </w:r>
    </w:p>
    <w:p>
      <w:pPr>
        <w:pStyle w:val="TextBody"/>
        <w:spacing w:before="240" w:after="0"/>
        <w:jc w:val="left"/>
        <w:rPr>
          <w:rFonts w:ascii="Times New Roman" w:hAnsi="Times New Roman"/>
          <w:sz w:val="20"/>
        </w:rPr>
      </w:pPr>
      <w:r>
        <w:rPr>
          <w:rFonts w:ascii="Times New Roman" w:hAnsi="Times New Roman"/>
          <w:sz w:val="20"/>
        </w:rPr>
        <w:t xml:space="preserve">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 </w:t>
      </w:r>
    </w:p>
    <w:p>
      <w:pPr>
        <w:pStyle w:val="TextBody"/>
        <w:spacing w:before="240" w:after="0"/>
        <w:jc w:val="left"/>
        <w:rPr>
          <w:rFonts w:ascii="Times New Roman" w:hAnsi="Times New Roman"/>
          <w:sz w:val="20"/>
        </w:rPr>
      </w:pPr>
      <w:r>
        <w:rPr>
          <w:rFonts w:ascii="Times New Roman" w:hAnsi="Times New Roman"/>
          <w:sz w:val="20"/>
        </w:rPr>
        <w:t xml:space="preserve">8.10 SURVIVAL </w:t>
      </w:r>
    </w:p>
    <w:p>
      <w:pPr>
        <w:pStyle w:val="TextBody"/>
        <w:spacing w:before="240" w:after="0"/>
        <w:jc w:val="left"/>
        <w:rPr>
          <w:rFonts w:ascii="Times New Roman" w:hAnsi="Times New Roman"/>
          <w:sz w:val="20"/>
        </w:rPr>
      </w:pPr>
      <w:r>
        <w:rPr>
          <w:rFonts w:ascii="Times New Roman" w:hAnsi="Times New Roman"/>
          <w:sz w:val="20"/>
        </w:rPr>
        <w:t xml:space="preserve">The rights to indemnification and advancement of expenses conferred by this Article VIII shall continue as to a person who has ceased to be a director, officer, employee or agent and shall inure to the benefit of the heirs, executors and administrators of such a person. </w:t>
      </w:r>
    </w:p>
    <w:p>
      <w:pPr>
        <w:pStyle w:val="TextBody"/>
        <w:spacing w:before="240" w:after="0"/>
        <w:jc w:val="left"/>
        <w:rPr>
          <w:rFonts w:ascii="Times New Roman" w:hAnsi="Times New Roman"/>
          <w:sz w:val="20"/>
        </w:rPr>
      </w:pPr>
      <w:r>
        <w:rPr>
          <w:rFonts w:ascii="Times New Roman" w:hAnsi="Times New Roman"/>
          <w:sz w:val="20"/>
        </w:rPr>
        <w:t xml:space="preserve">8.11 EFFECT OF REPEAL OR MODIFICATION </w:t>
      </w:r>
    </w:p>
    <w:p>
      <w:pPr>
        <w:pStyle w:val="TextBody"/>
        <w:spacing w:before="240" w:after="0"/>
        <w:jc w:val="left"/>
        <w:rPr>
          <w:rFonts w:ascii="Times New Roman" w:hAnsi="Times New Roman"/>
          <w:sz w:val="20"/>
        </w:rPr>
      </w:pPr>
      <w:r>
        <w:rPr>
          <w:rFonts w:ascii="Times New Roman" w:hAnsi="Times New Roman"/>
          <w:sz w:val="20"/>
        </w:rPr>
        <w:t xml:space="preserve">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8.12 CERTAIN DEFINITIONS </w:t>
      </w:r>
    </w:p>
    <w:p>
      <w:pPr>
        <w:pStyle w:val="TextBody"/>
        <w:spacing w:before="240" w:after="0"/>
        <w:jc w:val="left"/>
        <w:rPr>
          <w:rFonts w:ascii="Times New Roman" w:hAnsi="Times New Roman"/>
          <w:sz w:val="20"/>
        </w:rPr>
      </w:pPr>
      <w:r>
        <w:rPr>
          <w:rFonts w:ascii="Times New Roman" w:hAnsi="Times New Roman"/>
          <w:sz w:val="20"/>
        </w:rPr>
        <w:t>For purposes of this Article VIII, references to the </w:t>
      </w:r>
      <w:r>
        <w:rPr>
          <w:rFonts w:ascii="Times New Roman" w:hAnsi="Times New Roman"/>
          <w:b/>
          <w:sz w:val="20"/>
        </w:rPr>
        <w:t>Company</w:t>
      </w:r>
      <w:r>
        <w:rPr>
          <w:rFonts w:ascii="Times New Roman" w:hAnsi="Times New Roman"/>
          <w:sz w:val="20"/>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hAnsi="Times New Roman"/>
          <w:b/>
          <w:sz w:val="20"/>
        </w:rPr>
        <w:t>other enterprises</w:t>
      </w:r>
      <w:r>
        <w:rPr>
          <w:rFonts w:ascii="Times New Roman" w:hAnsi="Times New Roman"/>
          <w:sz w:val="20"/>
        </w:rPr>
        <w:t> shall include employee benefit plans; references to </w:t>
      </w:r>
      <w:r>
        <w:rPr>
          <w:rFonts w:ascii="Times New Roman" w:hAnsi="Times New Roman"/>
          <w:b/>
          <w:sz w:val="20"/>
        </w:rPr>
        <w:t>fines</w:t>
      </w:r>
      <w:r>
        <w:rPr>
          <w:rFonts w:ascii="Times New Roman" w:hAnsi="Times New Roman"/>
          <w:sz w:val="20"/>
        </w:rPr>
        <w:t> shall include any excise taxes assessed on a person with respect to an employee benefit plan; and references to </w:t>
      </w:r>
      <w:r>
        <w:rPr>
          <w:rFonts w:ascii="Times New Roman" w:hAnsi="Times New Roman"/>
          <w:b/>
          <w:sz w:val="20"/>
        </w:rPr>
        <w:t>serving at the request of the Company</w:t>
      </w:r>
      <w:r>
        <w:rPr>
          <w:rFonts w:ascii="Times New Roman" w:hAnsi="Times New Roman"/>
          <w:sz w:val="20"/>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hAnsi="Times New Roman"/>
          <w:b/>
          <w:sz w:val="20"/>
        </w:rPr>
        <w:t>not opposed to the best interests of the Company</w:t>
      </w:r>
      <w:r>
        <w:rPr>
          <w:rFonts w:ascii="Times New Roman" w:hAnsi="Times New Roman"/>
          <w:sz w:val="20"/>
        </w:rPr>
        <w:t xml:space="preserve"> as referred to in this Article VIII. </w:t>
      </w:r>
    </w:p>
    <w:p>
      <w:pPr>
        <w:pStyle w:val="TextBody"/>
        <w:spacing w:before="480" w:after="0"/>
        <w:jc w:val="center"/>
        <w:rPr>
          <w:rFonts w:ascii="Times New Roman" w:hAnsi="Times New Roman"/>
          <w:b/>
          <w:sz w:val="20"/>
        </w:rPr>
      </w:pPr>
      <w:r>
        <w:rPr>
          <w:rFonts w:ascii="Times New Roman" w:hAnsi="Times New Roman"/>
          <w:b/>
          <w:sz w:val="20"/>
        </w:rPr>
        <w:t xml:space="preserve">ARTICLE IX - GENERAL MATTERS </w:t>
      </w:r>
    </w:p>
    <w:p>
      <w:pPr>
        <w:pStyle w:val="TextBody"/>
        <w:spacing w:before="240" w:after="0"/>
        <w:jc w:val="left"/>
        <w:rPr>
          <w:rFonts w:ascii="Times New Roman" w:hAnsi="Times New Roman"/>
          <w:sz w:val="20"/>
        </w:rPr>
      </w:pPr>
      <w:r>
        <w:rPr>
          <w:rFonts w:ascii="Times New Roman" w:hAnsi="Times New Roman"/>
          <w:sz w:val="20"/>
        </w:rPr>
        <w:t xml:space="preserve">9.1 EXECUTION OF CORPORATE CONTRACTS AND INSTRUMENTS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 </w:t>
      </w:r>
    </w:p>
    <w:p>
      <w:pPr>
        <w:pStyle w:val="TextBody"/>
        <w:spacing w:before="240" w:after="0"/>
        <w:jc w:val="left"/>
        <w:rPr>
          <w:rFonts w:ascii="Times New Roman" w:hAnsi="Times New Roman"/>
          <w:sz w:val="20"/>
        </w:rPr>
      </w:pPr>
      <w:r>
        <w:rPr>
          <w:rFonts w:ascii="Times New Roman" w:hAnsi="Times New Roman"/>
          <w:sz w:val="20"/>
        </w:rPr>
        <w:t xml:space="preserve">9.2 FISCAL YEAR </w:t>
      </w:r>
    </w:p>
    <w:p>
      <w:pPr>
        <w:pStyle w:val="TextBody"/>
        <w:spacing w:before="240" w:after="0"/>
        <w:jc w:val="left"/>
        <w:rPr>
          <w:rFonts w:ascii="Times New Roman" w:hAnsi="Times New Roman"/>
          <w:sz w:val="20"/>
        </w:rPr>
      </w:pPr>
      <w:r>
        <w:rPr>
          <w:rFonts w:ascii="Times New Roman" w:hAnsi="Times New Roman"/>
          <w:sz w:val="20"/>
        </w:rPr>
        <w:t xml:space="preserve">The fiscal year of the Company shall be fixed by resolution of the Board of Directors and may be changed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9.3 SEAL </w:t>
      </w:r>
    </w:p>
    <w:p>
      <w:pPr>
        <w:pStyle w:val="TextBody"/>
        <w:spacing w:before="240" w:after="0"/>
        <w:jc w:val="left"/>
        <w:rPr>
          <w:rFonts w:ascii="Times New Roman" w:hAnsi="Times New Roman"/>
          <w:sz w:val="20"/>
        </w:rPr>
      </w:pPr>
      <w:r>
        <w:rPr>
          <w:rFonts w:ascii="Times New Roman" w:hAnsi="Times New Roman"/>
          <w:sz w:val="20"/>
        </w:rPr>
        <w:t xml:space="preserve">The Company may adopt a corporate seal, which shall be adopted and which may be altered by the Board of Directors. The Company may use the corporate seal by causing it or a facsimile thereof to be impressed or affixed or in any other manner reproduced.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9.4 CONSTRUCTION; DEFINITIONS </w:t>
      </w:r>
    </w:p>
    <w:p>
      <w:pPr>
        <w:pStyle w:val="TextBody"/>
        <w:spacing w:before="240" w:after="0"/>
        <w:jc w:val="left"/>
        <w:rPr>
          <w:rFonts w:ascii="Times New Roman" w:hAnsi="Times New Roman"/>
          <w:sz w:val="20"/>
        </w:rPr>
      </w:pPr>
      <w:r>
        <w:rPr>
          <w:rFonts w:ascii="Times New Roman" w:hAnsi="Times New Roman"/>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hAnsi="Times New Roman"/>
          <w:b/>
          <w:sz w:val="20"/>
        </w:rPr>
        <w:t>person</w:t>
      </w:r>
      <w:r>
        <w:rPr>
          <w:rFonts w:ascii="Times New Roman" w:hAnsi="Times New Roman"/>
          <w:sz w:val="20"/>
        </w:rPr>
        <w:t xml:space="preserve">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 </w:t>
      </w:r>
    </w:p>
    <w:p>
      <w:pPr>
        <w:pStyle w:val="TextBody"/>
        <w:spacing w:before="240" w:after="0"/>
        <w:jc w:val="left"/>
        <w:rPr>
          <w:rFonts w:ascii="Times New Roman" w:hAnsi="Times New Roman"/>
          <w:sz w:val="20"/>
        </w:rPr>
      </w:pPr>
      <w:r>
        <w:rPr>
          <w:rFonts w:ascii="Times New Roman" w:hAnsi="Times New Roman"/>
          <w:sz w:val="20"/>
        </w:rPr>
        <w:t xml:space="preserve">9.5 FORUM SELECTION </w:t>
      </w:r>
    </w:p>
    <w:p>
      <w:pPr>
        <w:pStyle w:val="TextBody"/>
        <w:spacing w:before="24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w:t>
      </w:r>
    </w:p>
    <w:p>
      <w:pPr>
        <w:pStyle w:val="TextBody"/>
        <w:spacing w:before="24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Companys securities, including, without limitation and for the avoidance of doubt, any auditor, underwriter, expert, control person or other defendant. </w:t>
      </w:r>
    </w:p>
    <w:p>
      <w:pPr>
        <w:pStyle w:val="TextBody"/>
        <w:spacing w:before="240" w:after="0"/>
        <w:jc w:val="left"/>
        <w:rPr>
          <w:rFonts w:ascii="Times New Roman" w:hAnsi="Times New Roman"/>
          <w:sz w:val="20"/>
        </w:rPr>
      </w:pPr>
      <w:r>
        <w:rPr>
          <w:rFonts w:ascii="Times New Roman" w:hAnsi="Times New Roman"/>
          <w:sz w:val="20"/>
        </w:rPr>
        <w:t xml:space="preserve">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claim brought to enforce a duty or liability created by the 1934 Act or any successor thereto </w:t>
      </w:r>
    </w:p>
    <w:p>
      <w:pPr>
        <w:pStyle w:val="TextBody"/>
        <w:spacing w:before="480" w:after="0"/>
        <w:jc w:val="center"/>
        <w:rPr>
          <w:rFonts w:ascii="Times New Roman" w:hAnsi="Times New Roman"/>
          <w:b/>
          <w:sz w:val="20"/>
        </w:rPr>
      </w:pPr>
      <w:r>
        <w:rPr>
          <w:rFonts w:ascii="Times New Roman" w:hAnsi="Times New Roman"/>
          <w:b/>
          <w:sz w:val="20"/>
        </w:rPr>
        <w:t xml:space="preserve">ARTICLE X - AMENDMENTS </w:t>
      </w:r>
    </w:p>
    <w:p>
      <w:pPr>
        <w:pStyle w:val="TextBody"/>
        <w:spacing w:before="240" w:after="0"/>
        <w:jc w:val="left"/>
        <w:rPr>
          <w:rFonts w:ascii="Times New Roman" w:hAnsi="Times New Roman"/>
          <w:sz w:val="20"/>
        </w:rPr>
      </w:pPr>
      <w:r>
        <w:rPr>
          <w:rFonts w:ascii="Times New Roman" w:hAnsi="Times New Roman"/>
          <w:sz w:val="20"/>
        </w:rPr>
        <w:t xml:space="preserve">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- 26 -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32</Pages>
  <Words>15987</Words>
  <CharactersWithSpaces>95726</CharactersWithSpaces>
  <Paragraphs>1059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