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November 20, 2024</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0"/>
          <w:szCs w:val="30"/>
          <w:b w:val="1"/>
          <w:bCs w:val="1"/>
          <w:color w:val="auto"/>
        </w:rPr>
        <w:t>FORM S-3</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0"/>
          <w:szCs w:val="30"/>
          <w:b w:val="1"/>
          <w:bCs w:val="1"/>
          <w:color w:val="auto"/>
        </w:rPr>
        <w:t>REGISTRATION STATEMENT</w:t>
      </w:r>
    </w:p>
    <w:p>
      <w:pPr>
        <w:jc w:val="center"/>
        <w:ind w:right="-159"/>
        <w:spacing w:after="0" w:line="237" w:lineRule="auto"/>
        <w:rPr>
          <w:sz w:val="20"/>
          <w:szCs w:val="20"/>
          <w:color w:val="auto"/>
        </w:rPr>
      </w:pPr>
      <w:r>
        <w:rPr>
          <w:rFonts w:ascii="Times New Roman" w:cs="Times New Roman" w:eastAsia="Times New Roman" w:hAnsi="Times New Roman"/>
          <w:sz w:val="19"/>
          <w:szCs w:val="19"/>
          <w:b w:val="1"/>
          <w:bCs w:val="1"/>
          <w:i w:val="1"/>
          <w:iCs w:val="1"/>
          <w:color w:val="auto"/>
        </w:rPr>
        <w:t>UNDER</w:t>
      </w:r>
    </w:p>
    <w:p>
      <w:pPr>
        <w:jc w:val="center"/>
        <w:ind w:right="-159"/>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8"/>
          <w:szCs w:val="38"/>
          <w:b w:val="1"/>
          <w:bCs w:val="1"/>
          <w:color w:val="auto"/>
        </w:rPr>
        <w:t>PMV Pharmaceuticals, Inc.</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4" w:lineRule="exact"/>
        <w:rPr>
          <w:sz w:val="24"/>
          <w:szCs w:val="24"/>
          <w:color w:val="auto"/>
        </w:rPr>
      </w:pPr>
    </w:p>
    <w:tbl>
      <w:tblPr>
        <w:tblLayout w:type="fixed"/>
        <w:tblInd w:w="1900" w:type="dxa"/>
        <w:tblCellMar>
          <w:top w:w="0" w:type="dxa"/>
          <w:left w:w="0" w:type="dxa"/>
          <w:bottom w:w="0" w:type="dxa"/>
          <w:right w:w="0" w:type="dxa"/>
        </w:tblCellMar>
      </w:tblPr>
      <w:tr>
        <w:trPr>
          <w:trHeight w:val="149"/>
        </w:trPr>
        <w:tc>
          <w:tcPr>
            <w:tcW w:w="3900" w:type="dxa"/>
            <w:vAlign w:val="bottom"/>
          </w:tcPr>
          <w:p>
            <w:pPr>
              <w:jc w:val="center"/>
              <w:ind w:right="184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420" w:type="dxa"/>
            <w:vAlign w:val="bottom"/>
          </w:tcPr>
          <w:p>
            <w:pPr>
              <w:jc w:val="center"/>
              <w:ind w:left="1827"/>
              <w:spacing w:after="0"/>
              <w:rPr>
                <w:sz w:val="20"/>
                <w:szCs w:val="20"/>
                <w:color w:val="auto"/>
              </w:rPr>
            </w:pPr>
            <w:r>
              <w:rPr>
                <w:rFonts w:ascii="Times New Roman" w:cs="Times New Roman" w:eastAsia="Times New Roman" w:hAnsi="Times New Roman"/>
                <w:sz w:val="13"/>
                <w:szCs w:val="13"/>
                <w:b w:val="1"/>
                <w:bCs w:val="1"/>
                <w:color w:val="auto"/>
              </w:rPr>
              <w:t>46-3218129</w:t>
            </w:r>
          </w:p>
        </w:tc>
      </w:tr>
      <w:tr>
        <w:trPr>
          <w:trHeight w:val="162"/>
        </w:trPr>
        <w:tc>
          <w:tcPr>
            <w:tcW w:w="3900" w:type="dxa"/>
            <w:vAlign w:val="bottom"/>
          </w:tcPr>
          <w:p>
            <w:pPr>
              <w:jc w:val="center"/>
              <w:ind w:right="1827"/>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420" w:type="dxa"/>
            <w:vAlign w:val="bottom"/>
          </w:tcPr>
          <w:p>
            <w:pPr>
              <w:jc w:val="center"/>
              <w:ind w:left="1827"/>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2"/>
        </w:trPr>
        <w:tc>
          <w:tcPr>
            <w:tcW w:w="3900" w:type="dxa"/>
            <w:vAlign w:val="bottom"/>
          </w:tcPr>
          <w:p>
            <w:pPr>
              <w:jc w:val="center"/>
              <w:ind w:right="1827"/>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420" w:type="dxa"/>
            <w:vAlign w:val="bottom"/>
          </w:tcPr>
          <w:p>
            <w:pPr>
              <w:jc w:val="center"/>
              <w:ind w:left="1827"/>
              <w:spacing w:after="0"/>
              <w:rPr>
                <w:sz w:val="20"/>
                <w:szCs w:val="20"/>
                <w:color w:val="auto"/>
              </w:rPr>
            </w:pPr>
            <w:r>
              <w:rPr>
                <w:rFonts w:ascii="Times New Roman" w:cs="Times New Roman" w:eastAsia="Times New Roman" w:hAnsi="Times New Roman"/>
                <w:sz w:val="15"/>
                <w:szCs w:val="15"/>
                <w:b w:val="1"/>
                <w:bCs w:val="1"/>
                <w:color w:val="auto"/>
              </w:rPr>
              <w:t>Identification Number)</w:t>
            </w:r>
          </w:p>
        </w:tc>
      </w:tr>
    </w:tbl>
    <w:p>
      <w:pPr>
        <w:spacing w:after="0" w:line="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400 Alexander Park Drive, Suite 301</w:t>
      </w: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Princeton, New Jersey 08540</w:t>
      </w:r>
    </w:p>
    <w:p>
      <w:pPr>
        <w:jc w:val="center"/>
        <w:ind w:right="-159"/>
        <w:spacing w:after="0" w:line="217" w:lineRule="auto"/>
        <w:rPr>
          <w:sz w:val="20"/>
          <w:szCs w:val="20"/>
          <w:color w:val="auto"/>
        </w:rPr>
      </w:pPr>
      <w:r>
        <w:rPr>
          <w:rFonts w:ascii="Times New Roman" w:cs="Times New Roman" w:eastAsia="Times New Roman" w:hAnsi="Times New Roman"/>
          <w:sz w:val="15"/>
          <w:szCs w:val="15"/>
          <w:b w:val="1"/>
          <w:bCs w:val="1"/>
          <w:color w:val="auto"/>
        </w:rPr>
        <w:t>(609) 642-6670</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David H. Mack, Ph.D.</w:t>
      </w: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President and Chief Executive Officer</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400 Alexander Park Drive, Suite 301</w:t>
      </w:r>
    </w:p>
    <w:p>
      <w:pPr>
        <w:jc w:val="center"/>
        <w:ind w:right="-159"/>
        <w:spacing w:after="0" w:line="225" w:lineRule="auto"/>
        <w:rPr>
          <w:sz w:val="20"/>
          <w:szCs w:val="20"/>
          <w:color w:val="auto"/>
        </w:rPr>
      </w:pPr>
      <w:r>
        <w:rPr>
          <w:rFonts w:ascii="Times New Roman" w:cs="Times New Roman" w:eastAsia="Times New Roman" w:hAnsi="Times New Roman"/>
          <w:sz w:val="15"/>
          <w:szCs w:val="15"/>
          <w:b w:val="1"/>
          <w:bCs w:val="1"/>
          <w:color w:val="auto"/>
        </w:rPr>
        <w:t>Princeton, New Jersey 08540</w:t>
      </w:r>
    </w:p>
    <w:p>
      <w:pPr>
        <w:jc w:val="center"/>
        <w:ind w:right="-159"/>
        <w:spacing w:after="0" w:line="218" w:lineRule="auto"/>
        <w:rPr>
          <w:sz w:val="20"/>
          <w:szCs w:val="20"/>
          <w:color w:val="auto"/>
        </w:rPr>
      </w:pPr>
      <w:r>
        <w:rPr>
          <w:rFonts w:ascii="Times New Roman" w:cs="Times New Roman" w:eastAsia="Times New Roman" w:hAnsi="Times New Roman"/>
          <w:sz w:val="15"/>
          <w:szCs w:val="15"/>
          <w:b w:val="1"/>
          <w:bCs w:val="1"/>
          <w:color w:val="auto"/>
        </w:rPr>
        <w:t>(609) 642-6670</w:t>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tbl>
      <w:tblPr>
        <w:tblLayout w:type="fixed"/>
        <w:tblInd w:w="1760" w:type="dxa"/>
        <w:tblCellMar>
          <w:top w:w="0" w:type="dxa"/>
          <w:left w:w="0" w:type="dxa"/>
          <w:bottom w:w="0" w:type="dxa"/>
          <w:right w:w="0" w:type="dxa"/>
        </w:tblCellMar>
      </w:tblPr>
      <w:tr>
        <w:trPr>
          <w:trHeight w:val="172"/>
        </w:trPr>
        <w:tc>
          <w:tcPr>
            <w:tcW w:w="2920" w:type="dxa"/>
            <w:vAlign w:val="bottom"/>
          </w:tcPr>
          <w:p>
            <w:pPr>
              <w:spacing w:after="0"/>
              <w:rPr>
                <w:sz w:val="15"/>
                <w:szCs w:val="15"/>
                <w:color w:val="auto"/>
              </w:rPr>
            </w:pPr>
          </w:p>
        </w:tc>
        <w:tc>
          <w:tcPr>
            <w:tcW w:w="4980" w:type="dxa"/>
            <w:vAlign w:val="bottom"/>
          </w:tcPr>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Kenneth A. Clark</w:t>
            </w:r>
          </w:p>
        </w:tc>
        <w:tc>
          <w:tcPr>
            <w:tcW w:w="4980" w:type="dxa"/>
            <w:vAlign w:val="bottom"/>
          </w:tcPr>
          <w:p>
            <w:pPr>
              <w:jc w:val="center"/>
              <w:ind w:left="2504"/>
              <w:spacing w:after="0" w:line="162" w:lineRule="exact"/>
              <w:rPr>
                <w:sz w:val="20"/>
                <w:szCs w:val="20"/>
                <w:color w:val="auto"/>
              </w:rPr>
            </w:pPr>
            <w:r>
              <w:rPr>
                <w:rFonts w:ascii="Times New Roman" w:cs="Times New Roman" w:eastAsia="Times New Roman" w:hAnsi="Times New Roman"/>
                <w:sz w:val="15"/>
                <w:szCs w:val="15"/>
                <w:b w:val="1"/>
                <w:bCs w:val="1"/>
                <w:color w:val="auto"/>
              </w:rPr>
              <w:t>Michael Carulli</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Tony Jeffries</w:t>
            </w:r>
          </w:p>
        </w:tc>
        <w:tc>
          <w:tcPr>
            <w:tcW w:w="4980" w:type="dxa"/>
            <w:vAlign w:val="bottom"/>
          </w:tcPr>
          <w:p>
            <w:pPr>
              <w:jc w:val="center"/>
              <w:ind w:left="2504"/>
              <w:spacing w:after="0" w:line="162" w:lineRule="exact"/>
              <w:rPr>
                <w:sz w:val="20"/>
                <w:szCs w:val="20"/>
                <w:color w:val="auto"/>
              </w:rPr>
            </w:pPr>
            <w:r>
              <w:rPr>
                <w:rFonts w:ascii="Times New Roman" w:cs="Times New Roman" w:eastAsia="Times New Roman" w:hAnsi="Times New Roman"/>
                <w:sz w:val="15"/>
                <w:szCs w:val="15"/>
                <w:b w:val="1"/>
                <w:bCs w:val="1"/>
                <w:color w:val="auto"/>
              </w:rPr>
              <w:t>Chief Financial Officer</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Megan J. Baier</w:t>
            </w:r>
          </w:p>
        </w:tc>
        <w:tc>
          <w:tcPr>
            <w:tcW w:w="4980" w:type="dxa"/>
            <w:vAlign w:val="bottom"/>
          </w:tcPr>
          <w:p>
            <w:pPr>
              <w:jc w:val="center"/>
              <w:ind w:left="2504"/>
              <w:spacing w:after="0" w:line="162" w:lineRule="exact"/>
              <w:rPr>
                <w:sz w:val="20"/>
                <w:szCs w:val="20"/>
                <w:color w:val="auto"/>
              </w:rPr>
            </w:pPr>
            <w:r>
              <w:rPr>
                <w:rFonts w:ascii="Times New Roman" w:cs="Times New Roman" w:eastAsia="Times New Roman" w:hAnsi="Times New Roman"/>
                <w:sz w:val="15"/>
                <w:szCs w:val="15"/>
                <w:b w:val="1"/>
                <w:bCs w:val="1"/>
                <w:color w:val="auto"/>
              </w:rPr>
              <w:t>PMV Pharmaceuticals, Inc.</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Wilson Sonsini Goodrich &amp; Rosati,</w:t>
            </w:r>
          </w:p>
        </w:tc>
        <w:tc>
          <w:tcPr>
            <w:tcW w:w="4980" w:type="dxa"/>
            <w:vAlign w:val="bottom"/>
          </w:tcPr>
          <w:p>
            <w:pPr>
              <w:jc w:val="center"/>
              <w:ind w:left="2504"/>
              <w:spacing w:after="0" w:line="162" w:lineRule="exact"/>
              <w:rPr>
                <w:sz w:val="20"/>
                <w:szCs w:val="20"/>
                <w:color w:val="auto"/>
              </w:rPr>
            </w:pPr>
            <w:r>
              <w:rPr>
                <w:rFonts w:ascii="Times New Roman" w:cs="Times New Roman" w:eastAsia="Times New Roman" w:hAnsi="Times New Roman"/>
                <w:sz w:val="15"/>
                <w:szCs w:val="15"/>
                <w:b w:val="1"/>
                <w:bCs w:val="1"/>
                <w:color w:val="auto"/>
              </w:rPr>
              <w:t>400 Alexander Park Drive, Suite 301</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Professional Corporation</w:t>
            </w:r>
          </w:p>
        </w:tc>
        <w:tc>
          <w:tcPr>
            <w:tcW w:w="4980" w:type="dxa"/>
            <w:vAlign w:val="bottom"/>
          </w:tcPr>
          <w:p>
            <w:pPr>
              <w:jc w:val="center"/>
              <w:ind w:left="2504"/>
              <w:spacing w:after="0" w:line="162" w:lineRule="exact"/>
              <w:rPr>
                <w:sz w:val="20"/>
                <w:szCs w:val="20"/>
                <w:color w:val="auto"/>
              </w:rPr>
            </w:pPr>
            <w:r>
              <w:rPr>
                <w:rFonts w:ascii="Times New Roman" w:cs="Times New Roman" w:eastAsia="Times New Roman" w:hAnsi="Times New Roman"/>
                <w:sz w:val="15"/>
                <w:szCs w:val="15"/>
                <w:b w:val="1"/>
                <w:bCs w:val="1"/>
                <w:color w:val="auto"/>
              </w:rPr>
              <w:t>Princeton, New Jersey 08540</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1301 Avenue of the Americas</w:t>
            </w:r>
          </w:p>
        </w:tc>
        <w:tc>
          <w:tcPr>
            <w:tcW w:w="4980" w:type="dxa"/>
            <w:vAlign w:val="bottom"/>
          </w:tcPr>
          <w:p>
            <w:pPr>
              <w:jc w:val="center"/>
              <w:ind w:left="2504"/>
              <w:spacing w:after="0" w:line="162" w:lineRule="exact"/>
              <w:rPr>
                <w:sz w:val="20"/>
                <w:szCs w:val="20"/>
                <w:color w:val="auto"/>
              </w:rPr>
            </w:pPr>
            <w:r>
              <w:rPr>
                <w:rFonts w:ascii="Times New Roman" w:cs="Times New Roman" w:eastAsia="Times New Roman" w:hAnsi="Times New Roman"/>
                <w:sz w:val="15"/>
                <w:szCs w:val="15"/>
                <w:b w:val="1"/>
                <w:bCs w:val="1"/>
                <w:color w:val="auto"/>
              </w:rPr>
              <w:t>(609) 642-6670</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New York, New York 10019</w:t>
            </w:r>
          </w:p>
        </w:tc>
        <w:tc>
          <w:tcPr>
            <w:tcW w:w="4980" w:type="dxa"/>
            <w:vAlign w:val="bottom"/>
          </w:tcPr>
          <w:p>
            <w:pPr>
              <w:spacing w:after="0"/>
              <w:rPr>
                <w:sz w:val="14"/>
                <w:szCs w:val="14"/>
                <w:color w:val="auto"/>
              </w:rPr>
            </w:pPr>
          </w:p>
        </w:tc>
      </w:tr>
      <w:tr>
        <w:trPr>
          <w:trHeight w:val="202"/>
        </w:trPr>
        <w:tc>
          <w:tcPr>
            <w:tcW w:w="292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(212) 999-5800</w:t>
            </w:r>
          </w:p>
        </w:tc>
        <w:tc>
          <w:tcPr>
            <w:tcW w:w="4980" w:type="dxa"/>
            <w:vAlign w:val="bottom"/>
          </w:tcPr>
          <w:p>
            <w:pPr>
              <w:spacing w:after="0"/>
              <w:rPr>
                <w:sz w:val="17"/>
                <w:szCs w:val="17"/>
                <w:color w:val="auto"/>
              </w:rPr>
            </w:pPr>
          </w:p>
        </w:tc>
      </w:tr>
    </w:tbl>
    <w:p>
      <w:pPr>
        <w:spacing w:after="0" w:line="8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r>
        <w:rPr>
          <w:rFonts w:ascii="Times New Roman" w:cs="Times New Roman" w:eastAsia="Times New Roman" w:hAnsi="Times New Roman"/>
          <w:sz w:val="15"/>
          <w:szCs w:val="15"/>
          <w:color w:val="auto"/>
        </w:rPr>
        <w:t>: From time to time after the effective date of this Registration Statement.</w:t>
      </w:r>
    </w:p>
    <w:p>
      <w:pPr>
        <w:spacing w:after="0" w:line="79"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47" w:lineRule="exact"/>
        <w:rPr>
          <w:sz w:val="24"/>
          <w:szCs w:val="24"/>
          <w:color w:val="auto"/>
        </w:rPr>
      </w:pPr>
    </w:p>
    <w:p>
      <w:pPr>
        <w:ind w:left="120" w:right="1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62" w:lineRule="exact"/>
        <w:rPr>
          <w:sz w:val="24"/>
          <w:szCs w:val="24"/>
          <w:color w:val="auto"/>
        </w:rPr>
      </w:pPr>
    </w:p>
    <w:p>
      <w:pPr>
        <w:ind w:left="120" w:right="18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2" w:lineRule="exact"/>
        <w:rPr>
          <w:sz w:val="24"/>
          <w:szCs w:val="24"/>
          <w:color w:val="auto"/>
        </w:rPr>
      </w:pPr>
    </w:p>
    <w:p>
      <w:pPr>
        <w:ind w:left="120" w:right="3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2" w:lineRule="exact"/>
        <w:rPr>
          <w:sz w:val="24"/>
          <w:szCs w:val="24"/>
          <w:color w:val="auto"/>
        </w:rPr>
      </w:pPr>
    </w:p>
    <w:p>
      <w:pPr>
        <w:ind w:left="120" w:right="6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5"/>
          <w:szCs w:val="15"/>
          <w:color w:val="auto"/>
        </w:rPr>
        <w:t>☐</w:t>
      </w:r>
    </w:p>
    <w:p>
      <w:pPr>
        <w:spacing w:after="0" w:line="62" w:lineRule="exact"/>
        <w:rPr>
          <w:sz w:val="24"/>
          <w:szCs w:val="24"/>
          <w:color w:val="auto"/>
        </w:rPr>
      </w:pPr>
    </w:p>
    <w:p>
      <w:pPr>
        <w:ind w:left="120" w:right="1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62" w:lineRule="exact"/>
        <w:rPr>
          <w:sz w:val="24"/>
          <w:szCs w:val="24"/>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120" w:type="dxa"/>
        <w:tblCellMar>
          <w:top w:w="0" w:type="dxa"/>
          <w:left w:w="0" w:type="dxa"/>
          <w:bottom w:w="0" w:type="dxa"/>
          <w:right w:w="0" w:type="dxa"/>
        </w:tblCellMar>
      </w:tblP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5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1" w:lineRule="exact"/>
        <w:rPr>
          <w:sz w:val="24"/>
          <w:szCs w:val="24"/>
          <w:color w:val="auto"/>
        </w:rPr>
      </w:pPr>
    </w:p>
    <w:p>
      <w:pPr>
        <w:ind w:left="120" w:right="50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1" w:lineRule="exact"/>
        <w:rPr>
          <w:sz w:val="24"/>
          <w:szCs w:val="24"/>
          <w:color w:val="auto"/>
        </w:rPr>
      </w:pPr>
    </w:p>
    <w:p>
      <w:pPr>
        <w:ind w:left="120" w:right="280" w:firstLine="44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registration statement contains:</w:t>
      </w:r>
    </w:p>
    <w:p>
      <w:pPr>
        <w:spacing w:after="0" w:line="131" w:lineRule="exact"/>
        <w:rPr>
          <w:sz w:val="20"/>
          <w:szCs w:val="20"/>
          <w:color w:val="auto"/>
        </w:rPr>
      </w:pPr>
    </w:p>
    <w:p>
      <w:pPr>
        <w:ind w:left="1080" w:right="2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sale and issuance by us of up to $200,000,000 of our common stock, preferred stock, debt securities, warrants, subscription rights, purchase contracts and/or units;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2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by us of up to a maximum aggregate offering price of $113,792,846.40 of our common stock that may be issued and sold from time to time under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October 4, 2021, with Jefferies LLC, or Jefferies.</w:t>
      </w:r>
    </w:p>
    <w:p>
      <w:pPr>
        <w:spacing w:after="0" w:line="199" w:lineRule="exact"/>
        <w:rPr>
          <w:sz w:val="20"/>
          <w:szCs w:val="20"/>
          <w:color w:val="auto"/>
        </w:rPr>
      </w:pPr>
    </w:p>
    <w:p>
      <w:pPr>
        <w:ind w:left="120" w:firstLine="440"/>
        <w:spacing w:after="0" w:line="221"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sales agreement prospectus supplement immediately follows the base prospectus. The $113,792,846.40 of common stock that may be offered, issued and sold under the sales agreement prospectus supplement is included in the $200,000,000 of securities that may be offered, issued and sold by us under the base prospectus. If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is terminated, any amounts included in the sales agreement prospectus supplement that remain unsold will be available for sale in other offerings pursuant to the base prospectus, and if no shares are sold under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the full amount of this registration statement may be sold in other offerings pursuant to the base prospectus and a corresponding prospectus supplement.</w:t>
      </w:r>
    </w:p>
    <w:p>
      <w:pPr>
        <w:sectPr>
          <w:pgSz w:w="11900" w:h="16838" w:orient="portrait"/>
          <w:cols w:equalWidth="0" w:num="1">
            <w:col w:w="11040"/>
          </w:cols>
          <w:pgMar w:left="320" w:top="455"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20,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173990</wp:posOffset>
            </wp:positionV>
            <wp:extent cx="340296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securities covered by this prospectus may be sold by PMV Pharmaceuticals, Inc. from time to time in one or more offerings. This prospectus provides you with a general description of the securities.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from time to time in one or more offerings, in amounts, at prices and on terms determined at the time of offering, of up to $200,000,000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“PMVP.” On November 19, 2024, the last reported sale price of our common stock on the Nasdaq Global Select Market was $1.59 per share.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right="60" w:firstLine="440"/>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PLEASE CAREFULLY READ THE INFORMATION UNDER THE HEADINGS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4 OF THIS PROSPECTUS AND ANY SIMILAR SECTION CONTAINED IN THE APPLICABLE PROSPECTUS SUPPLEMENT AND “ITEM 1A – RISK FACTORS” OF OUR MOST RECENT REPORT ON FORM 10-K OR 10-Q THAT IS INCORPORATED BY REFERENCE IN THIS PROSPECTUS BEFORE YOU INVEST IN OUR SECURITIES.</w:t>
      </w:r>
    </w:p>
    <w:p>
      <w:pPr>
        <w:spacing w:after="0" w:line="184"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620" w:type="dxa"/>
            <w:vAlign w:val="bottom"/>
            <w:gridSpan w:val="8"/>
            <w:vMerge w:val="restart"/>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1580" w:type="dxa"/>
            <w:vAlign w:val="bottom"/>
            <w:tcBorders>
              <w:bottom w:val="single" w:sz="8" w:color="0000EE"/>
            </w:tcBorders>
            <w:gridSpan w:val="8"/>
            <w:vMerge w:val="continue"/>
          </w:tcPr>
          <w:p>
            <w:pPr>
              <w:spacing w:after="0"/>
              <w:rPr>
                <w:sz w:val="13"/>
                <w:szCs w:val="13"/>
                <w:color w:val="auto"/>
              </w:rPr>
            </w:pPr>
          </w:p>
        </w:tc>
        <w:tc>
          <w:tcPr>
            <w:tcW w:w="2620" w:type="dxa"/>
            <w:vAlign w:val="bottom"/>
            <w:gridSpan w:val="8"/>
            <w:vMerge w:val="continue"/>
          </w:tcPr>
          <w:p>
            <w:pPr>
              <w:spacing w:after="0"/>
              <w:rPr>
                <w:sz w:val="13"/>
                <w:szCs w:val="13"/>
                <w:color w:val="auto"/>
              </w:rPr>
            </w:pPr>
          </w:p>
        </w:tc>
        <w:tc>
          <w:tcPr>
            <w:tcW w:w="64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6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gridSpan w:val="9"/>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20" w:type="dxa"/>
            <w:vAlign w:val="bottom"/>
            <w:gridSpan w:val="5"/>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700" w:type="dxa"/>
            <w:vAlign w:val="bottom"/>
            <w:gridSpan w:val="3"/>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740" w:type="dxa"/>
            <w:vAlign w:val="bottom"/>
            <w:gridSpan w:val="4"/>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gridSpan w:val="10"/>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11"/>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3"/>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4"/>
          </w:tcPr>
          <w:p>
            <w:pPr>
              <w:spacing w:after="0"/>
              <w:rPr>
                <w:sz w:val="17"/>
                <w:szCs w:val="17"/>
                <w:color w:val="auto"/>
              </w:rPr>
            </w:pPr>
          </w:p>
        </w:tc>
        <w:tc>
          <w:tcPr>
            <w:tcW w:w="1340" w:type="dxa"/>
            <w:vAlign w:val="bottom"/>
            <w:gridSpan w:val="2"/>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$200,000,000.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 and its subsidiaries taken as a whole.</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189" w:lineRule="exact"/>
        <w:rPr>
          <w:sz w:val="20"/>
          <w:szCs w:val="20"/>
          <w:color w:val="auto"/>
        </w:rPr>
      </w:pPr>
    </w:p>
    <w:p>
      <w:pPr>
        <w:ind w:left="300" w:right="300" w:firstLine="426"/>
        <w:spacing w:after="0" w:line="276" w:lineRule="auto"/>
        <w:rPr>
          <w:sz w:val="20"/>
          <w:szCs w:val="20"/>
          <w:color w:val="auto"/>
        </w:rPr>
      </w:pPr>
      <w:r>
        <w:rPr>
          <w:rFonts w:ascii="Times New Roman" w:cs="Times New Roman" w:eastAsia="Times New Roman" w:hAnsi="Times New Roman"/>
          <w:sz w:val="17"/>
          <w:szCs w:val="17"/>
          <w:color w:val="auto"/>
        </w:rPr>
        <w:t>Our lead product candidate, PC14586 (rezatapopt), is an orally available small molecule designed to potently and selectively correct p53 misfolding caused by a specific p53 mutation, Y220C, while sparing wild-type p53. The p53 Y220C mutation is associated with approximately</w:t>
      </w:r>
    </w:p>
    <w:p>
      <w:pPr>
        <w:spacing w:after="0" w:line="1" w:lineRule="exact"/>
        <w:rPr>
          <w:sz w:val="20"/>
          <w:szCs w:val="20"/>
          <w:color w:val="auto"/>
        </w:rPr>
      </w:pPr>
    </w:p>
    <w:p>
      <w:pPr>
        <w:ind w:left="300"/>
        <w:spacing w:after="0" w:line="243" w:lineRule="auto"/>
        <w:rPr>
          <w:sz w:val="20"/>
          <w:szCs w:val="20"/>
          <w:color w:val="auto"/>
        </w:rPr>
      </w:pPr>
      <w:r>
        <w:rPr>
          <w:rFonts w:ascii="Times New Roman" w:cs="Times New Roman" w:eastAsia="Times New Roman" w:hAnsi="Times New Roman"/>
          <w:sz w:val="18"/>
          <w:szCs w:val="18"/>
          <w:color w:val="auto"/>
        </w:rPr>
        <w:t>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w:t>
      </w:r>
    </w:p>
    <w:p>
      <w:pPr>
        <w:spacing w:after="0" w:line="207"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80" w:firstLine="426"/>
        <w:spacing w:after="0" w:line="281" w:lineRule="auto"/>
        <w:rPr>
          <w:sz w:val="20"/>
          <w:szCs w:val="20"/>
          <w:color w:val="auto"/>
        </w:rPr>
      </w:pPr>
      <w:r>
        <w:rPr>
          <w:rFonts w:ascii="Times New Roman" w:cs="Times New Roman" w:eastAsia="Times New Roman" w:hAnsi="Times New Roman"/>
          <w:sz w:val="17"/>
          <w:szCs w:val="17"/>
          <w:color w:val="auto"/>
        </w:rPr>
        <w:t>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debt securities, warrants, subscription rights, purchase contracts and units in one or more offerings and in any combination for an aggregate offering amount of up to $200,000,000.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left="300" w:right="26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or debt securities. We may offer warrants independently or together with other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will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such as reduced disclosure obligations regarding executive compensation in this prospectus and our periodic reports and proxy statement. To the extent that we take advantage of these reduced burdens, the information that we provide stockholders may be different than you might obtain from other public companies in which you hold equity interests.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and any applicable free writing prospectus or appearing or incorporated by reference in this prospectus. You should also consider the risks, uncertainties and assumptions discussed under “</w:t>
      </w:r>
      <w:r>
        <w:rPr>
          <w:rFonts w:ascii="Times New Roman" w:cs="Times New Roman" w:eastAsia="Times New Roman" w:hAnsi="Times New Roman"/>
          <w:sz w:val="18"/>
          <w:szCs w:val="18"/>
          <w:i w:val="1"/>
          <w:iCs w:val="1"/>
          <w:color w:val="auto"/>
        </w:rPr>
        <w:t>Part I—Item 1A—Risk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 1A—Risk Factors</w:t>
      </w:r>
      <w:r>
        <w:rPr>
          <w:rFonts w:ascii="Times New Roman" w:cs="Times New Roman" w:eastAsia="Times New Roman" w:hAnsi="Times New Roman"/>
          <w:sz w:val="18"/>
          <w:szCs w:val="18"/>
          <w:color w:val="auto"/>
        </w:rPr>
        <w:t>” in our most recent Quarterly Report on 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any free writing prospectus and the information incorporated by reference in this prospectus, each prospectus supplement and any free writing prospectus contain certain statements that constitute “forward-looking statements” within the meaning of Section 27A of the Securities Act and Section 21E of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any free writing prospectus and the documents incorporated herein and therein by reference, particularly in the sections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w:t>
      </w:r>
    </w:p>
    <w:p>
      <w:pPr>
        <w:spacing w:after="0" w:line="15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preferred stock we may issue will be fully paid and nonassessable upon issuance.</w:t>
      </w:r>
    </w:p>
    <w:p>
      <w:pPr>
        <w:spacing w:after="0" w:line="329"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Amended and Restated Certificate of Incorporation and Our Amended and Restated Bylaws</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at least a majority of the voting power of the issued and outstanding capital stock of our company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Amending our Amended and Restated Certificate of Incorporation and Amended and Restated Bylaws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may be amended or altered in any manner provided by the DGCL, except that amendment of certain provisions would require the approval of two-thirds of the voting power of our then outstanding voting securities, voting together as a single class.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at least two-thirds of the total voting power of our then outstanding voting securities, voting together as a single class. Additionally, our amended and restated certificate of incorporation provides that our bylaws may be amended, altered or repealed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“PMVP.”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registrar’s address is 55 Challenger Road, 2nd Floor, Ridgefield Park, NJ 07660. The transfer agent and registrar’s telephone number is (800) 937-5449.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 Unless the context requires otherwise, whenever we refer to an indenture, we are also referring to any supplemental indentures or forms of debt securities that specify the terms of a particular series of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can offer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 which may be sold at a discount below their stated principal amount;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debt securities and whether the debt securities will be issued in the form of certificated debt securities or global debt;</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8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or premium or interest,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below), shall have occurred and be continuing.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provide that, unless otherwise provided by the terms of the applicable series of debt securities, we may be discharged from any and all obligations in respect of the debt securities of any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United States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Certain Covenants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2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40"/>
        <w:spacing w:after="0" w:line="282" w:lineRule="auto"/>
        <w:rPr>
          <w:sz w:val="20"/>
          <w:szCs w:val="20"/>
          <w:color w:val="auto"/>
        </w:rPr>
      </w:pPr>
      <w:r>
        <w:rPr>
          <w:rFonts w:ascii="Times New Roman" w:cs="Times New Roman" w:eastAsia="Times New Roman" w:hAnsi="Times New Roman"/>
          <w:sz w:val="18"/>
          <w:szCs w:val="18"/>
          <w:color w:val="auto"/>
        </w:rPr>
        <w:t>federal income tax on the same amounts and in the same manner and at the same times as would have been the case if the deposit and related covenant defeasance had not occurred.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offer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and any free writing prospectus. If we issue warrants as part of a unit, the applicable prospectus supplement and any free writing prospectus will specify whether those warrants may be separated from the other securities in the unit prior to the expiration date of the warrants. The applicable prospectus supplement and any free writing prospectus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and any free writing prospectus.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and any free writing prospectus may differ from the terms we describe below, you should rely solely on information in the applicable prospectus supplement and any free writing prospectus if that applicable summary is different from the summary in this prospectus.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and any free writing prospectus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of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hereby on behalf of PMV Pharmaceuticals, Inc. will be passed upon for us by Wilson Sonsini Goodrich &amp; Rosati, Professional Corporation, New York, New York.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PMV Pharmaceuticals, Inc. appearing in PMV Pharmaceuticals,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such form that are related to such information), until the offering of the securities under the registration statement of which this prospectus forms a part is terminated or completed:</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29,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56">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with the SEC on May 9, 2024, </w:t>
      </w:r>
      <w:hyperlink r:id="rId57">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with the SEC on August 8, 2024 and </w:t>
      </w:r>
      <w:hyperlink r:id="rId58">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November 7,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January 18,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June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6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our Annual Report on Form 10-K for the year ended December 31, 2023, filed with the SEC on April 24, 2024;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relating thereto, filed on September 21, 2020, as updated by the description of our common stock contained in </w:t>
      </w:r>
      <w:hyperlink r:id="rId6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filed with the SEC on March 3, 2021,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400 Alexander Park Drive, Suite 301</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642-6670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652780</wp:posOffset>
            </wp:positionV>
            <wp:extent cx="3402965" cy="676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3402965" cy="6769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200" w:lineRule="exact"/>
        <w:rPr>
          <w:sz w:val="20"/>
          <w:szCs w:val="20"/>
          <w:color w:val="auto"/>
        </w:rPr>
      </w:pP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$200,000,000</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1687195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20,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97155</wp:posOffset>
            </wp:positionV>
            <wp:extent cx="3402965" cy="685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$113,792,846.40</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6"/>
          <w:szCs w:val="16"/>
          <w:color w:val="auto"/>
        </w:rPr>
        <w:t>We previously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or sales agreement, dated October 4, 2021, with Jefferies LLC, or Jefferies, relating to shares of our common stock offered by this prospectus supplement. In accordance with the terms of the sales agreement, we may offer and sell shares of our common stock having an aggregate offering price of up to $113,792,846.40 from time to time to or through Jefferies as our sales agent. We originally filed with the Securities and Exchange Commission a prospectus supplement, dated October 4, 2021, or the Prior ATM Prospectus Supplement, for the offer and sale of up to $150.0 million of shares of our common stock, from time to time through Jefferies, acting as our sales agent, pursuant to the sales agreement under the automatic shelf registration statement on Form S-3ASR (Registration Statement No. 333-260012), as amended. As of the date of this prospectus, we have issued and sold 5,149,446 shares of our common stock pursuant to the sales agreement at a weighted average exercise price of $6.97 per share, resulting in net proceeds to us of approximately $35.1 million. The common stock remaining available to be sold under the Prior ATM Prospectus Supplement as of the date of this prospectus supplement will no longer be offered and sold under the Prior ATM Prospectus Supplement, but will instead be offered and sold under this prospectus supplement. Accordingly, we may offer and shell shares of our common stock having an aggregate offering price of up to $113,792,846.40.</w:t>
      </w:r>
    </w:p>
    <w:p>
      <w:pPr>
        <w:spacing w:after="0" w:line="97" w:lineRule="exact"/>
        <w:rPr>
          <w:sz w:val="20"/>
          <w:szCs w:val="20"/>
          <w:color w:val="auto"/>
        </w:rPr>
      </w:pPr>
    </w:p>
    <w:p>
      <w:pPr>
        <w:ind w:left="120" w:right="180" w:firstLine="4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“PMVP.” On November 19, 2024, the last reported sale price of our common stock on the Nasdaq Global Select Market was $1.59 per share.</w:t>
      </w:r>
    </w:p>
    <w:p>
      <w:pPr>
        <w:spacing w:after="0" w:line="5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6"/>
          <w:szCs w:val="16"/>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Jefferies is not required to sell any specific number or dollar amount of securities, but will act as a sales agent using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w:t>
      </w:r>
    </w:p>
    <w:p>
      <w:pPr>
        <w:spacing w:after="0" w:line="78"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6"/>
          <w:szCs w:val="16"/>
          <w:color w:val="auto"/>
        </w:rPr>
        <w:t>The compensation to Jefferies for sales of common stock sold pursuant to the sales agreement will be equal to 3.0% of the gross proceeds of any shares of common stock sold under the sales agreement. See “Plan of Distribution” beginning on page S-10 for additional information regarding Jefferies’ compensation.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w:t>
      </w:r>
    </w:p>
    <w:p>
      <w:pPr>
        <w:spacing w:after="0" w:line="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We are a “smaller reporting company” and may rely on exemptions from certain disclosure requirements that are available to smaller reporting companies, including many of the same exemptions from disclosure requirements as those that are available to emerging growth companies, such as reduced disclosure obligations regarding executive compensation in this prospectus and our periodic reports and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0"/>
          <w:szCs w:val="20"/>
          <w:color w:val="auto"/>
        </w:rPr>
      </w:pPr>
    </w:p>
    <w:p>
      <w:pPr>
        <w:ind w:left="120" w:right="300" w:firstLine="44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COMMON STOCK INVOLVES SIGNIFICANT RISKS. YOU SHOULD REVIEW CAREFULLY THE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S-5 OF THIS PROSPECTUS SUPPLEMENT AND IN THE ACCOMPANYING PROSPECTUS AND IN THE DOCUMENTS INCORPORATED BY REFERENCE IN THIS PROSPECTUS SUPPLEMENT THAT WE HAVE FILED AND WILL FILE WITH THE SECURITIES AND EXCHANGE COMMISSION BEFORE INVESTING IN OUR COMMON STOCK.</w:t>
      </w:r>
    </w:p>
    <w:p>
      <w:pPr>
        <w:spacing w:after="0" w:line="83" w:lineRule="exact"/>
        <w:rPr>
          <w:sz w:val="20"/>
          <w:szCs w:val="20"/>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128270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Jefferies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2024</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8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391"/>
        </w:trPr>
        <w:tc>
          <w:tcPr>
            <w:tcW w:w="24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720" w:type="dxa"/>
            <w:vAlign w:val="bottom"/>
            <w:gridSpan w:val="3"/>
            <w:vMerge w:val="restart"/>
          </w:tcPr>
          <w:p>
            <w:pPr>
              <w:spacing w:after="0"/>
              <w:rPr>
                <w:sz w:val="24"/>
                <w:szCs w:val="24"/>
                <w:color w:val="auto"/>
              </w:rPr>
            </w:pPr>
          </w:p>
        </w:tc>
        <w:tc>
          <w:tcPr>
            <w:tcW w:w="636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480" w:type="dxa"/>
            <w:vAlign w:val="bottom"/>
            <w:tcBorders>
              <w:bottom w:val="single" w:sz="8" w:color="0000EE"/>
            </w:tcBorders>
            <w:gridSpan w:val="9"/>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636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1480" w:type="dxa"/>
            <w:vAlign w:val="bottom"/>
            <w:tcBorders>
              <w:top w:val="single" w:sz="8" w:color="0000EE"/>
            </w:tcBorders>
            <w:gridSpan w:val="5"/>
          </w:tcPr>
          <w:p>
            <w:pPr>
              <w:spacing w:after="0"/>
              <w:rPr>
                <w:sz w:val="17"/>
                <w:szCs w:val="17"/>
                <w:color w:val="auto"/>
              </w:rPr>
            </w:pPr>
          </w:p>
        </w:tc>
        <w:tc>
          <w:tcPr>
            <w:tcW w:w="1780" w:type="dxa"/>
            <w:vAlign w:val="bottom"/>
            <w:gridSpan w:val="4"/>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6"/>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8"/>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1340" w:type="dxa"/>
            <w:vAlign w:val="bottom"/>
            <w:gridSpan w:val="2"/>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relates to the offering of our common stock. Before buying any of the common stock that we are offering, we urge you to carefully read this prospectus supplement, the accompanying prospectus, any free writing prospectus that we have authorized for use in connection with this offering, and the information incorporated by reference as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in this prospectus supplement. These documents contain important information that you should consider when making your investment decision. Generally, when we refer to this “prospectus,” we are referring to the prospectus supplement and the accompanying prospectus combined.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have not, and Jefferies has not, authorized anyone to provide you with information different than or inconsistent with the information contained in or incorporated by reference into this prospectus supplement or in any free writing prospectus that we have authorized for use in connection with this offering. We and Jefferies take no responsibility for, and can provide no assurance as to the reliability of, any other information that others may give you. We are not, and Jefferies is not, making an offer to sell these securities in any jurisdiction where the offer or sale is not permitted. You should assume that the information appearing in this prospectus supplement and the documents incorporated by reference into this prospectus supplement,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documents incorporated by reference into this prospectus supplement, and any free writing prospectus that we have authorized for use in connection with this offering, in their entirety before making an investment decision.</w:t>
      </w:r>
    </w:p>
    <w:p>
      <w:pPr>
        <w:spacing w:after="0" w:line="173"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We are offering to sell, and seeking offers to buy, shares of our common stock only in jurisdictions where offers and sales are permitted. The distribution of this prospectus supplement and the accompanying prospectus and the and the offering of the shares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accompanying prospectus by any person in any jurisdiction in which it is unlawful for such person to make such an offer or solicitation.</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under the headings “Where You Can Find More Information” and “Incorporation by Reference” herein and therein. In particular, you should carefully consider the risks and uncertainties described under the heading “Risk Factors” in this prospectus supplement and in the accompanying prospectus, as well as those contained in the other documents incorporated by reference and any related free writing prospectus. As used in this prospectus supplement, unless the context otherwise requires, references to “we,” “us,” “our,” “our company,” and “PMV” refer to PMV Pharmaceuticals, Inc., a Delaware corporation, and its subsidiaries taken as a whole.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189" w:lineRule="exact"/>
        <w:rPr>
          <w:sz w:val="20"/>
          <w:szCs w:val="20"/>
          <w:color w:val="auto"/>
        </w:rPr>
      </w:pPr>
    </w:p>
    <w:p>
      <w:pPr>
        <w:ind w:left="300" w:right="300" w:firstLine="426"/>
        <w:spacing w:after="0" w:line="276" w:lineRule="auto"/>
        <w:rPr>
          <w:sz w:val="20"/>
          <w:szCs w:val="20"/>
          <w:color w:val="auto"/>
        </w:rPr>
      </w:pPr>
      <w:r>
        <w:rPr>
          <w:rFonts w:ascii="Times New Roman" w:cs="Times New Roman" w:eastAsia="Times New Roman" w:hAnsi="Times New Roman"/>
          <w:sz w:val="17"/>
          <w:szCs w:val="17"/>
          <w:color w:val="auto"/>
        </w:rPr>
        <w:t>Our lead product candidate, PC14586 (rezatapopt), is an orally available small molecule designed to potently and selectively correct p53 misfolding caused by a specific p53 mutation, Y220C, while sparing wild-type p53. The p53 Y220C mutation is associated with approximately</w:t>
      </w:r>
    </w:p>
    <w:p>
      <w:pPr>
        <w:spacing w:after="0" w:line="1" w:lineRule="exact"/>
        <w:rPr>
          <w:sz w:val="20"/>
          <w:szCs w:val="20"/>
          <w:color w:val="auto"/>
        </w:rPr>
      </w:pPr>
    </w:p>
    <w:p>
      <w:pPr>
        <w:ind w:left="300"/>
        <w:spacing w:after="0" w:line="243" w:lineRule="auto"/>
        <w:rPr>
          <w:sz w:val="20"/>
          <w:szCs w:val="20"/>
          <w:color w:val="auto"/>
        </w:rPr>
      </w:pPr>
      <w:r>
        <w:rPr>
          <w:rFonts w:ascii="Times New Roman" w:cs="Times New Roman" w:eastAsia="Times New Roman" w:hAnsi="Times New Roman"/>
          <w:sz w:val="18"/>
          <w:szCs w:val="18"/>
          <w:color w:val="auto"/>
        </w:rPr>
        <w:t>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w:t>
      </w: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24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prospectus supplement and the inclusion of our website address in this prospectus supplement is an inactive textual reference only.</w:t>
      </w:r>
    </w:p>
    <w:p>
      <w:pPr>
        <w:spacing w:after="0" w:line="183" w:lineRule="exact"/>
        <w:rPr>
          <w:sz w:val="20"/>
          <w:szCs w:val="20"/>
          <w:color w:val="auto"/>
        </w:rPr>
      </w:pPr>
    </w:p>
    <w:p>
      <w:pPr>
        <w:ind w:left="300" w:right="180" w:firstLine="426"/>
        <w:spacing w:after="0" w:line="236" w:lineRule="auto"/>
        <w:rPr>
          <w:sz w:val="20"/>
          <w:szCs w:val="20"/>
          <w:color w:val="auto"/>
        </w:rPr>
      </w:pPr>
      <w:r>
        <w:rPr>
          <w:rFonts w:ascii="Times New Roman" w:cs="Times New Roman" w:eastAsia="Times New Roman" w:hAnsi="Times New Roman"/>
          <w:sz w:val="18"/>
          <w:szCs w:val="18"/>
          <w:color w:val="auto"/>
        </w:rPr>
        <w:t xml:space="preserve">We use the PMV Pharmaceuticals logo and other marks as trademarks in the United States and other countries. This prospectus and the documents incorporated herein may contain references to our trademarks and service marks and to those belonging to other entities. Solely for convenience, trademarks and trade names referred to in such documents,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Exchange Act. We will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such as reduced disclosure obligations regarding executive compensation in this prospectus and our periodic reports and proxy statement. To the extent that we take advantage of these reduced burdens, the information that we provide stockholders may be different than you might obtain from other public companies in which you hold equity interests.</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67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$113,792,846.40.</w:t>
      </w:r>
    </w:p>
    <w:p>
      <w:pPr>
        <w:spacing w:after="0" w:line="129" w:lineRule="exact"/>
        <w:rPr>
          <w:sz w:val="20"/>
          <w:szCs w:val="20"/>
          <w:color w:val="auto"/>
        </w:rPr>
      </w:pPr>
    </w:p>
    <w:p>
      <w:pPr>
        <w:sectPr>
          <w:pgSz w:w="11900" w:h="16838" w:orient="portrait"/>
          <w:cols w:equalWidth="0" w:num="2">
            <w:col w:w="3320" w:space="720"/>
            <w:col w:w="6860"/>
          </w:cols>
          <w:pgMar w:left="320" w:top="455" w:right="679" w:bottom="1440" w:gutter="0" w:footer="0" w:header="0"/>
          <w:type w:val="continuous"/>
        </w:sectPr>
      </w:pPr>
    </w:p>
    <w:p>
      <w:pPr>
        <w:jc w:val="center"/>
        <w:ind w:left="300"/>
        <w:spacing w:after="0"/>
        <w:rPr>
          <w:sz w:val="20"/>
          <w:szCs w:val="20"/>
          <w:color w:val="auto"/>
        </w:rPr>
      </w:pPr>
      <w:r>
        <w:rPr>
          <w:rFonts w:ascii="Times New Roman" w:cs="Times New Roman" w:eastAsia="Times New Roman" w:hAnsi="Times New Roman"/>
          <w:sz w:val="17"/>
          <w:szCs w:val="17"/>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Up to 123,317,331 shares, assuming the sale of 71,567,827 shares of our common stock in this offering at an offering price of $1.59 per share, which was the closing price of our common stock on the Nasdaq Global Select Market on November 19, 2024. The actual number of shares issued will vary depending on the sales price under this offering.</w:t>
      </w:r>
    </w:p>
    <w:p>
      <w:pPr>
        <w:spacing w:after="0" w:line="72" w:lineRule="exact"/>
        <w:rPr>
          <w:sz w:val="20"/>
          <w:szCs w:val="20"/>
          <w:color w:val="auto"/>
        </w:rPr>
      </w:pPr>
    </w:p>
    <w:p>
      <w:pPr>
        <w:sectPr>
          <w:pgSz w:w="11900" w:h="16838" w:orient="portrait"/>
          <w:cols w:equalWidth="0" w:num="2">
            <w:col w:w="3740" w:space="300"/>
            <w:col w:w="68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 the market offering” that may be made from time to time through our sales agent, Jefferies.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“Plan of Distribution” on page S-10.</w:t>
      </w:r>
    </w:p>
    <w:p>
      <w:pPr>
        <w:spacing w:after="0" w:line="99" w:lineRule="exact"/>
        <w:rPr>
          <w:sz w:val="20"/>
          <w:szCs w:val="20"/>
          <w:color w:val="auto"/>
        </w:rPr>
      </w:pPr>
    </w:p>
    <w:p>
      <w:pPr>
        <w:sectPr>
          <w:pgSz w:w="11900" w:h="16838" w:orient="portrait"/>
          <w:cols w:equalWidth="0" w:num="2">
            <w:col w:w="3320" w:space="720"/>
            <w:col w:w="68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We currently anticipate that we will use any net proceeds from this offering, together with our existing cash, cash equivalents and short-term marketable securities, for general corporate purposes, which may include clinical trial and other research and development expenses, commercialization expenses, capital expenditures, working capital and general and administrative expenses, and potential acquisitions or investments in businesses, products and technologies that complement our business. See “Use of Proceeds” on page S-9.</w:t>
      </w:r>
    </w:p>
    <w:p>
      <w:pPr>
        <w:spacing w:after="0" w:line="79" w:lineRule="exact"/>
        <w:rPr>
          <w:sz w:val="20"/>
          <w:szCs w:val="20"/>
          <w:color w:val="auto"/>
        </w:rPr>
      </w:pPr>
    </w:p>
    <w:p>
      <w:pPr>
        <w:sectPr>
          <w:pgSz w:w="11900" w:h="16838" w:orient="portrait"/>
          <w:cols w:equalWidth="0" w:num="2">
            <w:col w:w="3320" w:space="720"/>
            <w:col w:w="68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You should read the “Risk Factors” section of this prospectus supplement and in the documents incorporated by reference in this prospectus supplement and accompanying prospectus for a discussion of factors to consider before deciding to purchase shares of our common stock.</w:t>
      </w:r>
    </w:p>
    <w:p>
      <w:pPr>
        <w:spacing w:after="0" w:line="72" w:lineRule="exact"/>
        <w:rPr>
          <w:sz w:val="20"/>
          <w:szCs w:val="20"/>
          <w:color w:val="auto"/>
        </w:rPr>
      </w:pPr>
    </w:p>
    <w:p>
      <w:pPr>
        <w:sectPr>
          <w:pgSz w:w="11900" w:h="16838" w:orient="portrait"/>
          <w:cols w:equalWidth="0" w:num="2">
            <w:col w:w="3320" w:space="720"/>
            <w:col w:w="68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“PMVP”</w:t>
      </w:r>
    </w:p>
    <w:p>
      <w:pPr>
        <w:spacing w:after="0" w:line="211" w:lineRule="exact"/>
        <w:rPr>
          <w:sz w:val="20"/>
          <w:szCs w:val="20"/>
          <w:color w:val="auto"/>
        </w:rPr>
      </w:pPr>
    </w:p>
    <w:p>
      <w:pPr>
        <w:sectPr>
          <w:pgSz w:w="11900" w:h="16838" w:orient="portrait"/>
          <w:cols w:equalWidth="0" w:num="2">
            <w:col w:w="3320" w:space="720"/>
            <w:col w:w="6860"/>
          </w:cols>
          <w:pgMar w:left="320" w:top="455" w:right="679" w:bottom="1440" w:gutter="0" w:footer="0" w:header="0"/>
          <w:type w:val="continuous"/>
        </w:sectPr>
      </w:pPr>
    </w:p>
    <w:p>
      <w:pPr>
        <w:spacing w:after="0" w:line="25"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The number of our shares of common stock to be outstanding after this offering is based on 51,749,504 shares of our common stock outstanding as of September 30, 2024, and excludes:</w:t>
      </w:r>
    </w:p>
    <w:p>
      <w:pPr>
        <w:spacing w:after="0" w:line="67" w:lineRule="exact"/>
        <w:rPr>
          <w:sz w:val="20"/>
          <w:szCs w:val="20"/>
          <w:color w:val="auto"/>
        </w:rPr>
      </w:pPr>
    </w:p>
    <w:p>
      <w:pPr>
        <w:ind w:left="1240" w:right="12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8,687,507 shares of our common stock issuable upon the exercise of options outstanding as of September 30, 2024, with a weighted-average exercise price of $2.87 per share;</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shares of common stock issuable upon the exercise of options that we granted after September 30, 2024 and through the date of this prospectus supplement, with a weighted-average exercise price of $1.50 per share;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4,430,682 shares of common stock reserved for future issuance under our 2020 Equity Incentive Plan as of September 30, 2024, as well as any automatic increases in the number of shares of our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1,136,410 shares of common stock reserved for future issuance under our 2020 Employee Stock Purchase Plan as of September 30, 2024, as well as any automatic increases in the number of our common stock reserved for future issuance under this plan.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after September 30,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2024.</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55" w:right="6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making a decision to invest in our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Annual Report on Form 10-K for the fiscal year ended December 31, 2023 and in our subsequent quarterly reports on Form 10-Q and annual reports on Form 10-K, as updated by our subsequent filings under the Securities and Exchange Act of 1934, as amended,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any net proceeds from this offering and may not use them effectively.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any net proceeds from this offering, including for any of the purposes described in the section 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 ultimately increase or maintain the value of your investment. If we do not invest or apply any net proceeds from this offering in ways that enhance stockholder value, we may fail to achieve expected financial results, which could cause our stock price to decline.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incur immediate and substantial dilution in the net tangible book value of your shares.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The exercise of outstanding stock options would result in further dilution of your investment.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expect to in the future offer additional shares of common stock or other securities convertible into or exchangeable for our shares of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other securities convertible into or exchangeable for our shares of common stock in future transactions may be higher or lower than the price per share in this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in this offering, at any one time or in total, is uncertain.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Jefferies at any time throughout the term of the offering under this prospectus supplement. The number of shares that are sold by Jefferies after delivering a placement notice will fluctuate based on the market price of the shares of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w:t>
      </w:r>
    </w:p>
    <w:p>
      <w:pPr>
        <w:spacing w:after="0" w:line="2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 and you may not be able to resell our securities at or above the price you paid.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common stock and could result in your being unable to resell the common stock that you purchase at a price equal to or above the price you paid.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 prospectus, including the documents incorporated or deemed to be incorporated by reference into this prospectus supplement and the accompanying prospectus, contain forward-looking statements. All statements other than statements of historical facts contained in this prospectus supplement,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supplement include, but are not limited to, statements about:</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the proceeds from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and other regulatory submissions;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9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rely on third parties to conduct and support preclinical and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assumptions, projections and expectations regarding future costs savings and expenses associated with the announced restructuring plan and reduction in force;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the ongoing conflict between Israel and Hamas and the ongoing conflict in the Middle East, the impact of other disruptions resulting from public health epidemics, macroeconomic events such as global supply chain challenges, elevated inflation and interest rates and monetary policy changes, instability in the global banking system, or other related disruptions on our business and the execution of our clinical trials.</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$113,792,846.40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currently intend to use any net proceeds from this offering for general corporate purposes, which may include clinical trial and other research and development expenses, commercialization expenses, capital expenditures, working capital and general and administrative expenses, and potential acquisitions of or investments in businesses, products and technologies that complement our business. While we have no current agreements, commitments or understandings for any specific acquisitions of or investments in businesses, products and technologies as of the date of this prospectus supplement, we may use a portion of the net proceeds for these purposes. The amounts and timing of our actual expenditures will depend on numerous factors, including our development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 of the U.S. government.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previously entered into a sales agreement with Jefferies, under which we may offer and sell up to $113,792,846.40 of our shares of common stock from time to time through Jefferies acting as agent. The sales agreement has been incorporated by reference as an exhibit to our registration statement on Form S-3 of which this prospectus supplement forms a part. Sales of our shares of common stock, if any, under this prospectus supplement and the accompanying prospectus will be made by any method that is deemed to be an “at the market offering” as defined in Rule 415(a)(4) under the Securities Act.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$450,000. The remaining sale proceeds, after deducting any other transaction fees, will equal our net proceeds from the sale of such shares.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20"/>
          </w:cols>
          <w:pgMar w:left="320" w:top="455"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issuance of our common stock offered by this prospectus supplement will be passed upon for us by Wilson Sonsini Goodrich &amp; Rosati, Professional Corporation, New York, New York. Certain members of, and investment partnerships comprised of members of, and persons associated with, Wilson Sonsini Goodrich &amp; Rosati, Professional Corporation, owns less than one percent of our common stock. Jefferies LLC is being represented in connection with this offering by Latham &amp; Watkins LLP, Menlo Park, California.</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PMV Pharmaceuticals, Inc. appearing in PMV Pharmaceuticals,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supplement and the inclusion of our website address in this prospectus supplement is an inactive textual reference only.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 prospectus are part of a registration statement that we filed with the SEC and do not contain all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in the registration statement. The full registration statement may be obtained from the SEC or us, as provided in the section 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Whenever a reference is made in this prospectus supplement or the accompanying prospectus to any of our contracts,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or other documents, the reference may not be complete and you should refer to the exhibits that are a part of the registration statement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exhibits to the reports or other documents incorporated by reference into this prospectus supplement and the accompanying prospectus for a copy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contract, agreement or other document.</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Form 8-K and, except as may be noted in any such Form 8-K, exhibits filed on such form that are related to such information), until the offering of the securities under this prospectus supplement is terminated or completed:</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29,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56">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with the SEC on May 9, 2024, </w:t>
      </w:r>
      <w:hyperlink r:id="rId57">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with the SEC on August 8, 2024 and </w:t>
      </w:r>
      <w:hyperlink r:id="rId58">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November 7,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January 18,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June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6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our Annual Report on Form 10-K for the year ended December 31, 2023, filed with the SEC on April 24, 2024;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relating thereto, filed on September 21, 2020, as updated by the description of our common stock contained in </w:t>
      </w:r>
      <w:hyperlink r:id="rId6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filed with the SEC on March 3, 2021,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400 Alexander Park Drive, Suite 301</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460" w:right="4860" w:hanging="398"/>
        <w:spacing w:after="0" w:line="472" w:lineRule="auto"/>
        <w:tabs>
          <w:tab w:leader="none" w:pos="550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642-6670 S-13</w:t>
      </w:r>
    </w:p>
    <w:p>
      <w:pPr>
        <w:sectPr>
          <w:pgSz w:w="11900" w:h="16838" w:orient="portrait"/>
          <w:cols w:equalWidth="0" w:num="1">
            <w:col w:w="11040"/>
          </w:cols>
          <w:pgMar w:left="320" w:top="455"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652780</wp:posOffset>
            </wp:positionV>
            <wp:extent cx="3402965" cy="677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3402965" cy="6775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Up to $113,792,846.40</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1687195</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$ 30,620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30,500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20" w:hanging="424"/>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7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 the corporation or its stockholders, (ii) for acts or omissions not in good faith or which involve intentional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misconduct or a knowing violation of law, (iii) for payments of unlawful dividends or unlawful stock repurchases or redemptions or (iv)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7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6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herein.</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4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00" w:type="dxa"/>
            <w:vAlign w:val="bottom"/>
            <w:vMerge w:val="continue"/>
          </w:tcPr>
          <w:p>
            <w:pPr>
              <w:spacing w:after="0"/>
              <w:rPr>
                <w:sz w:val="10"/>
                <w:szCs w:val="10"/>
                <w:color w:val="auto"/>
              </w:rPr>
            </w:pPr>
          </w:p>
        </w:tc>
        <w:tc>
          <w:tcPr>
            <w:tcW w:w="4360" w:type="dxa"/>
            <w:vAlign w:val="bottom"/>
            <w:gridSpan w:val="3"/>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vMerge w:val="restart"/>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vMerge w:val="restart"/>
          </w:tcPr>
          <w:p>
            <w:pPr>
              <w:spacing w:after="0"/>
              <w:rPr>
                <w:sz w:val="10"/>
                <w:szCs w:val="10"/>
                <w:color w:val="auto"/>
              </w:rPr>
            </w:pPr>
          </w:p>
        </w:tc>
        <w:tc>
          <w:tcPr>
            <w:tcW w:w="1140" w:type="dxa"/>
            <w:vAlign w:val="bottom"/>
            <w:gridSpan w:val="3"/>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54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20" w:type="dxa"/>
            <w:vAlign w:val="bottom"/>
            <w:vMerge w:val="restart"/>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360" w:type="dxa"/>
            <w:vAlign w:val="bottom"/>
            <w:tcBorders>
              <w:bottom w:val="single" w:sz="8" w:color="auto"/>
            </w:tcBorders>
            <w:gridSpan w:val="3"/>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4560" w:type="dxa"/>
            <w:vAlign w:val="bottom"/>
            <w:gridSpan w:val="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Open Market Sale Agreement, dated as of October 4, 2021,</w:t>
              </w:r>
            </w:hyperlink>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0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between the Registrant and Jefferies LLC</w:t>
              </w:r>
            </w:hyperlink>
          </w:p>
        </w:tc>
        <w:tc>
          <w:tcPr>
            <w:tcW w:w="128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9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S-3ASR</w:t>
            </w:r>
          </w:p>
        </w:tc>
        <w:tc>
          <w:tcPr>
            <w:tcW w:w="11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333-260012</w:t>
            </w:r>
          </w:p>
        </w:tc>
        <w:tc>
          <w:tcPr>
            <w:tcW w:w="7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7"/>
                <w:szCs w:val="17"/>
                <w:color w:val="auto"/>
              </w:rPr>
            </w:pPr>
          </w:p>
        </w:tc>
        <w:tc>
          <w:tcPr>
            <w:tcW w:w="1760" w:type="dxa"/>
            <w:vAlign w:val="bottom"/>
            <w:gridSpan w:val="2"/>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rPr>
              <w:t>October 4, 2021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2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  4.1</w:t>
      </w:r>
      <w:hyperlink r:id="rId107">
        <w:r>
          <w:rPr>
            <w:rFonts w:ascii="Times New Roman" w:cs="Times New Roman" w:eastAsia="Times New Roman" w:hAnsi="Times New Roman"/>
            <w:sz w:val="18"/>
            <w:szCs w:val="18"/>
            <w:u w:val="single" w:color="auto"/>
            <w:color w:val="0000EE"/>
          </w:rPr>
          <w:t>Amended and Restated Certificate of Incorporation of the</w:t>
        </w:r>
      </w:hyperlink>
    </w:p>
    <w:tbl>
      <w:tblPr>
        <w:tblLayout w:type="fixed"/>
        <w:tblInd w:w="12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4040" w:type="dxa"/>
            <w:vAlign w:val="bottom"/>
            <w:gridSpan w:val="4"/>
          </w:tcPr>
          <w:p>
            <w:pPr>
              <w:spacing w:after="0" w:line="203"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Registrant</w:t>
              </w:r>
            </w:hyperlink>
          </w:p>
        </w:tc>
        <w:tc>
          <w:tcPr>
            <w:tcW w:w="1320" w:type="dxa"/>
            <w:vAlign w:val="bottom"/>
          </w:tcPr>
          <w:p>
            <w:pPr>
              <w:jc w:val="center"/>
              <w:ind w:left="39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001-39539</w:t>
            </w:r>
          </w:p>
        </w:tc>
        <w:tc>
          <w:tcPr>
            <w:tcW w:w="7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jc w:val="center"/>
              <w:ind w:left="150"/>
              <w:spacing w:after="0" w:line="203" w:lineRule="exact"/>
              <w:rPr>
                <w:sz w:val="20"/>
                <w:szCs w:val="20"/>
                <w:color w:val="auto"/>
              </w:rPr>
            </w:pPr>
            <w:r>
              <w:rPr>
                <w:rFonts w:ascii="Times New Roman" w:cs="Times New Roman" w:eastAsia="Times New Roman" w:hAnsi="Times New Roman"/>
                <w:sz w:val="18"/>
                <w:szCs w:val="18"/>
                <w:color w:val="auto"/>
              </w:rPr>
              <w:t>September 29, 2020</w:t>
            </w:r>
          </w:p>
        </w:tc>
      </w:tr>
      <w:tr>
        <w:trPr>
          <w:trHeight w:val="20"/>
        </w:trPr>
        <w:tc>
          <w:tcPr>
            <w:tcW w:w="8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4040" w:type="dxa"/>
            <w:vAlign w:val="bottom"/>
            <w:gridSpan w:val="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Bylaws of the Registrant</w:t>
              </w:r>
            </w:hyperlink>
          </w:p>
        </w:tc>
        <w:tc>
          <w:tcPr>
            <w:tcW w:w="13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001-39539</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May 10, 2023</w:t>
            </w: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35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Specimen Common Stock Certificate</w:t>
              </w:r>
            </w:hyperlink>
          </w:p>
        </w:tc>
        <w:tc>
          <w:tcPr>
            <w:tcW w:w="540" w:type="dxa"/>
            <w:vAlign w:val="bottom"/>
          </w:tcPr>
          <w:p>
            <w:pPr>
              <w:spacing w:after="0"/>
              <w:rPr>
                <w:sz w:val="24"/>
                <w:szCs w:val="24"/>
                <w:color w:val="auto"/>
              </w:rPr>
            </w:pPr>
          </w:p>
        </w:tc>
        <w:tc>
          <w:tcPr>
            <w:tcW w:w="13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333-248627</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September 21, 2020</w:t>
            </w:r>
          </w:p>
        </w:tc>
      </w:tr>
      <w:tr>
        <w:trPr>
          <w:trHeight w:val="20"/>
        </w:trPr>
        <w:tc>
          <w:tcPr>
            <w:tcW w:w="80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4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Specimen Preferred Stock Certificate</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II-2</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29"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8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840" w:type="dxa"/>
            <w:vAlign w:val="bottom"/>
            <w:vMerge w:val="continue"/>
          </w:tcPr>
          <w:p>
            <w:pPr>
              <w:spacing w:after="0"/>
              <w:rPr>
                <w:sz w:val="10"/>
                <w:szCs w:val="10"/>
                <w:color w:val="auto"/>
              </w:rPr>
            </w:pPr>
          </w:p>
        </w:tc>
        <w:tc>
          <w:tcPr>
            <w:tcW w:w="4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300" w:type="dxa"/>
            <w:vAlign w:val="bottom"/>
            <w:vMerge w:val="restart"/>
          </w:tcPr>
          <w:p>
            <w:pPr>
              <w:spacing w:after="0"/>
              <w:rPr>
                <w:sz w:val="10"/>
                <w:szCs w:val="10"/>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vMerge w:val="restart"/>
          </w:tcPr>
          <w:p>
            <w:pPr>
              <w:spacing w:after="0"/>
              <w:rPr>
                <w:sz w:val="10"/>
                <w:szCs w:val="10"/>
                <w:color w:val="auto"/>
              </w:rPr>
            </w:pPr>
          </w:p>
        </w:tc>
        <w:tc>
          <w:tcPr>
            <w:tcW w:w="2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360" w:type="dxa"/>
            <w:vAlign w:val="bottom"/>
          </w:tcPr>
          <w:p>
            <w:pPr>
              <w:spacing w:after="0"/>
              <w:rPr>
                <w:sz w:val="10"/>
                <w:szCs w:val="10"/>
                <w:color w:val="auto"/>
              </w:rPr>
            </w:pPr>
          </w:p>
        </w:tc>
        <w:tc>
          <w:tcPr>
            <w:tcW w:w="1400" w:type="dxa"/>
            <w:vAlign w:val="bottom"/>
            <w:gridSpan w:val="3"/>
          </w:tcPr>
          <w:p>
            <w:pPr>
              <w:jc w:val="center"/>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4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60" w:type="dxa"/>
            <w:vAlign w:val="bottom"/>
          </w:tcPr>
          <w:p>
            <w:pPr>
              <w:spacing w:after="0"/>
              <w:rPr>
                <w:sz w:val="15"/>
                <w:szCs w:val="15"/>
                <w:color w:val="auto"/>
              </w:rPr>
            </w:pPr>
          </w:p>
        </w:tc>
        <w:tc>
          <w:tcPr>
            <w:tcW w:w="14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4.5</w:t>
      </w:r>
      <w:r>
        <w:rPr>
          <w:rFonts w:ascii="Times New Roman" w:cs="Times New Roman" w:eastAsia="Times New Roman" w:hAnsi="Times New Roman"/>
          <w:sz w:val="17"/>
          <w:szCs w:val="17"/>
          <w:u w:val="single" w:color="auto"/>
          <w:color w:val="0000EE"/>
        </w:rPr>
        <w:t>Form of Indenture</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4.6*</w:t>
      </w:r>
      <w:r>
        <w:rPr>
          <w:rFonts w:ascii="Times New Roman" w:cs="Times New Roman" w:eastAsia="Times New Roman" w:hAnsi="Times New Roman"/>
          <w:sz w:val="18"/>
          <w:szCs w:val="18"/>
          <w:color w:val="auto"/>
        </w:rPr>
        <w:t>Form of Debt Security</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4.7*</w:t>
      </w:r>
      <w:r>
        <w:rPr>
          <w:rFonts w:ascii="Times New Roman" w:cs="Times New Roman" w:eastAsia="Times New Roman" w:hAnsi="Times New Roman"/>
          <w:sz w:val="17"/>
          <w:szCs w:val="17"/>
          <w:color w:val="auto"/>
        </w:rPr>
        <w:t>Form of Warrant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4.8*</w:t>
      </w:r>
      <w:r>
        <w:rPr>
          <w:rFonts w:ascii="Times New Roman" w:cs="Times New Roman" w:eastAsia="Times New Roman" w:hAnsi="Times New Roman"/>
          <w:sz w:val="17"/>
          <w:szCs w:val="17"/>
          <w:color w:val="auto"/>
        </w:rPr>
        <w:t>Form of Warrant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4.9*</w:t>
      </w:r>
      <w:r>
        <w:rPr>
          <w:rFonts w:ascii="Times New Roman" w:cs="Times New Roman" w:eastAsia="Times New Roman" w:hAnsi="Times New Roman"/>
          <w:sz w:val="18"/>
          <w:szCs w:val="18"/>
          <w:color w:val="auto"/>
        </w:rPr>
        <w:t>Form of Subscription Agreement</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4.10*   Form of Purchase Contract Agreement</w:t>
      </w:r>
    </w:p>
    <w:p>
      <w:pPr>
        <w:spacing w:after="0" w:line="140"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4.11*    Form of Unit Agreement</w:t>
      </w:r>
    </w:p>
    <w:p>
      <w:pPr>
        <w:spacing w:after="0" w:line="140"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4.12*   Form of Unit</w:t>
      </w:r>
    </w:p>
    <w:p>
      <w:pPr>
        <w:spacing w:after="0" w:line="140" w:lineRule="exact"/>
        <w:rPr>
          <w:rFonts w:ascii="Times New Roman" w:cs="Times New Roman" w:eastAsia="Times New Roman" w:hAnsi="Times New Roman"/>
          <w:sz w:val="16"/>
          <w:szCs w:val="16"/>
          <w:color w:val="auto"/>
        </w:rPr>
      </w:pPr>
    </w:p>
    <w:p>
      <w:pPr>
        <w:ind w:left="1000" w:right="4860" w:hanging="884"/>
        <w:spacing w:after="0" w:line="282" w:lineRule="auto"/>
        <w:tabs>
          <w:tab w:leader="none" w:pos="1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5.1</w:t>
      </w:r>
      <w:r>
        <w:rPr>
          <w:rFonts w:ascii="Times New Roman" w:cs="Times New Roman" w:eastAsia="Times New Roman" w:hAnsi="Times New Roman"/>
          <w:sz w:val="18"/>
          <w:szCs w:val="18"/>
          <w:u w:val="single" w:color="auto"/>
          <w:color w:val="0000EE"/>
        </w:rPr>
        <w:t>Opinion of Wilson Sonsini Goodrich &amp; Rosati, Professional Corporation</w:t>
      </w:r>
    </w:p>
    <w:p>
      <w:pPr>
        <w:spacing w:after="0" w:line="53"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Independent Registered Public Accounting Firm</w:t>
      </w:r>
    </w:p>
    <w:p>
      <w:pPr>
        <w:spacing w:after="0" w:line="128" w:lineRule="exact"/>
        <w:rPr>
          <w:rFonts w:ascii="Times New Roman" w:cs="Times New Roman" w:eastAsia="Times New Roman" w:hAnsi="Times New Roman"/>
          <w:sz w:val="16"/>
          <w:szCs w:val="16"/>
          <w:color w:val="auto"/>
        </w:rPr>
      </w:pPr>
    </w:p>
    <w:p>
      <w:pPr>
        <w:ind w:left="1000" w:right="4860" w:hanging="884"/>
        <w:spacing w:after="0" w:line="266" w:lineRule="auto"/>
        <w:tabs>
          <w:tab w:leader="none" w:pos="1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18"/>
          <w:szCs w:val="18"/>
          <w:u w:val="single" w:color="auto"/>
          <w:color w:val="0000EE"/>
        </w:rPr>
        <w:t>Consent of Wilson Sonsini Goodrich &amp; Rosati, Professional Corporation (included in the opinion filed as Exhibit 5.1 to this Registration Statement)</w:t>
      </w:r>
    </w:p>
    <w:p>
      <w:pPr>
        <w:spacing w:after="0" w:line="67"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(included on signature page hereto)</w:t>
      </w:r>
    </w:p>
    <w:p>
      <w:pPr>
        <w:spacing w:after="0" w:line="117" w:lineRule="exact"/>
        <w:rPr>
          <w:rFonts w:ascii="Times New Roman" w:cs="Times New Roman" w:eastAsia="Times New Roman" w:hAnsi="Times New Roman"/>
          <w:sz w:val="16"/>
          <w:szCs w:val="16"/>
          <w:color w:val="auto"/>
        </w:rPr>
      </w:pPr>
    </w:p>
    <w:p>
      <w:pPr>
        <w:ind w:left="1000" w:right="5000" w:hanging="884"/>
        <w:spacing w:after="0" w:line="347" w:lineRule="auto"/>
        <w:tabs>
          <w:tab w:leader="none" w:pos="19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25.1** Form T-1 Statement of Eligibility of Trustee for Indenture under the Trust Indenture Act of 1939, as amended</w:t>
      </w:r>
    </w:p>
    <w:p>
      <w:pPr>
        <w:spacing w:after="0" w:line="8" w:lineRule="exact"/>
        <w:rPr>
          <w:sz w:val="20"/>
          <w:szCs w:val="20"/>
          <w:color w:val="auto"/>
        </w:rPr>
      </w:pPr>
    </w:p>
    <w:p>
      <w:pPr>
        <w:ind w:left="1000" w:hanging="884"/>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Tables</w:t>
      </w:r>
    </w:p>
    <w:p>
      <w:pPr>
        <w:spacing w:after="0" w:line="252" w:lineRule="exact"/>
        <w:rPr>
          <w:sz w:val="20"/>
          <w:szCs w:val="20"/>
          <w:color w:val="auto"/>
        </w:rPr>
      </w:pPr>
    </w:p>
    <w:p>
      <w:pPr>
        <w:ind w:left="120" w:right="1120" w:hanging="4"/>
        <w:spacing w:after="0" w:line="312" w:lineRule="auto"/>
        <w:tabs>
          <w:tab w:leader="none" w:pos="55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if applicable, by amendment or incorporated by reference in connection with the offering of the securities. ** To be filed pursuant to Section 305(b)(2) of the Trust Indenture Act of 1939, as amended, or the Trust Indenture Act.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603" w:lineRule="exact"/>
        <w:rPr>
          <w:sz w:val="20"/>
          <w:szCs w:val="20"/>
          <w:color w:val="auto"/>
        </w:rPr>
      </w:pPr>
    </w:p>
    <w:p>
      <w:pPr>
        <w:sectPr>
          <w:pgSz w:w="11900" w:h="16838" w:orient="portrait"/>
          <w:cols w:equalWidth="0" w:num="2">
            <w:col w:w="10180" w:space="320"/>
            <w:col w:w="580"/>
          </w:cols>
          <w:pgMar w:left="320" w:top="455" w:right="499" w:bottom="1440" w:gutter="0" w:footer="0" w:header="0"/>
          <w:type w:val="continuous"/>
        </w:sectPr>
      </w:pPr>
    </w:p>
    <w:p>
      <w:pPr>
        <w:spacing w:after="0" w:line="25" w:lineRule="exact"/>
        <w:rPr>
          <w:sz w:val="20"/>
          <w:szCs w:val="20"/>
          <w:color w:val="auto"/>
        </w:rPr>
      </w:pPr>
    </w:p>
    <w:p>
      <w:pPr>
        <w:jc w:val="both"/>
        <w:ind w:left="120" w:right="220" w:firstLine="436"/>
        <w:spacing w:after="0" w:line="289" w:lineRule="auto"/>
        <w:tabs>
          <w:tab w:leader="none" w:pos="82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5" w:right="4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6" w:lineRule="exact"/>
        <w:rPr>
          <w:sz w:val="20"/>
          <w:szCs w:val="20"/>
          <w:color w:val="auto"/>
        </w:rPr>
      </w:pPr>
    </w:p>
    <w:p>
      <w:pPr>
        <w:ind w:left="120" w:right="580" w:firstLine="436"/>
        <w:spacing w:after="0" w:line="282" w:lineRule="auto"/>
        <w:tabs>
          <w:tab w:leader="none" w:pos="8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(ii) and (iii)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160" w:firstLine="436"/>
        <w:spacing w:after="0" w:line="266"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20" w:right="700" w:firstLine="43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ind w:left="120" w:right="40" w:firstLine="436"/>
        <w:spacing w:after="0" w:line="282" w:lineRule="auto"/>
        <w:tabs>
          <w:tab w:leader="none" w:pos="7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firstLine="436"/>
        <w:spacing w:after="0" w:line="253" w:lineRule="auto"/>
        <w:tabs>
          <w:tab w:leader="none" w:pos="8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left="120" w:right="100" w:firstLine="436"/>
        <w:spacing w:after="0" w:line="258"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780" w:hanging="224"/>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36"/>
        <w:spacing w:after="0" w:line="282" w:lineRule="auto"/>
        <w:tabs>
          <w:tab w:leader="none" w:pos="8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 w:firstLine="436"/>
        <w:spacing w:after="0" w:line="258"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left="120" w:right="40" w:firstLine="436"/>
        <w:spacing w:after="0" w:line="254"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120" w:right="60" w:firstLine="436"/>
        <w:spacing w:after="0" w:line="266" w:lineRule="auto"/>
        <w:tabs>
          <w:tab w:leader="none" w:pos="7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40"/>
          </w:cols>
          <w:pgMar w:left="320" w:top="455"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Princeton, State of New Jersey, on November 20,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David H. Mack, Ph.D., Michael Carulli and Robert Ticktin,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0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H. Mack</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H. Mack, Ph.D.</w:t>
            </w:r>
          </w:p>
        </w:tc>
        <w:tc>
          <w:tcPr>
            <w:tcW w:w="120" w:type="dxa"/>
            <w:vAlign w:val="bottom"/>
          </w:tcPr>
          <w:p>
            <w:pPr>
              <w:spacing w:after="0"/>
              <w:rPr>
                <w:sz w:val="19"/>
                <w:szCs w:val="19"/>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Carulli</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Heyman, Ph.D.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M. Baum</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M. Baum M.D., Ph.D.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Arnold Levine</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Arnold Levine, Ph.D.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Laurie Stelzer</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Laurie Stelzer</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Kirsten Flowers</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Kirsten Flowers</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Carol Gallagher</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 Gallagher, Pharm.D.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840"/>
        <w:spacing w:after="0"/>
        <w:tabs>
          <w:tab w:leader="none" w:pos="4880" w:val="left"/>
        </w:tabs>
        <w:rPr>
          <w:sz w:val="20"/>
          <w:szCs w:val="20"/>
          <w:color w:val="auto"/>
        </w:rPr>
      </w:pPr>
      <w:r>
        <w:rPr>
          <w:rFonts w:ascii="Times New Roman" w:cs="Times New Roman" w:eastAsia="Times New Roman" w:hAnsi="Times New Roman"/>
          <w:sz w:val="18"/>
          <w:szCs w:val="18"/>
          <w:color w:val="auto"/>
        </w:rPr>
        <w:t>Dated as of </w:t>
      </w:r>
      <w:r>
        <w:rPr>
          <w:sz w:val="20"/>
          <w:szCs w:val="20"/>
          <w:color w:val="auto"/>
        </w:rPr>
        <w:tab/>
      </w:r>
      <w:r>
        <w:rPr>
          <w:rFonts w:ascii="Times New Roman" w:cs="Times New Roman" w:eastAsia="Times New Roman" w:hAnsi="Times New Roman"/>
          <w:sz w:val="17"/>
          <w:szCs w:val="17"/>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[__________]</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Issuable in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Securityholder Lists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Temporary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Defaulted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 Reports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Suits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 by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Past Defaults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Undertaking for Costs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Trustee’s Disclaimer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Defaults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to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Protected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Holidays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10.15</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10.16</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58" w:name="page59"/>
    <w:bookmarkEnd w:id="58"/>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PMV PHARMACEUTICALS, INC.</w:t>
      </w:r>
    </w:p>
    <w:p>
      <w:pPr>
        <w:spacing w:after="0" w:line="229"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 Indenture, dated as of   , 20</w:t>
      </w:r>
    </w:p>
    <w:p>
      <w:pPr>
        <w:spacing w:after="0" w:line="252"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98"/>
              </w:rPr>
              <w:t>§ 310(a)(1)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(a)(3)</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(a)(4)</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(a)(5)</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311(a)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312(a)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313(a)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(d)</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314(a)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(c)(3)</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(d)</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(e)</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(f)</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315(a)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(c)</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(d)</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(e)</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316(a)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(a)(1)(A)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(a)(1)(B)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98"/>
              </w:rPr>
              <w:t>§ 317(a)(1)</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(a)(2)</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(b)</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 318(a)</w:t>
            </w:r>
          </w:p>
        </w:tc>
        <w:tc>
          <w:tcPr>
            <w:tcW w:w="31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sectPr>
      </w:pPr>
    </w:p>
    <w:bookmarkStart w:id="59" w:name="page60"/>
    <w:bookmarkEnd w:id="59"/>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20  between PMV Pharmaceuticals, Inc., a company incorporated under the laws of Delaware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[__________], a national banking association organized under the laws of the United States,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right="16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Class A common stock, par value $0.00001 per share, of the Company.</w:t>
      </w:r>
    </w:p>
    <w:p>
      <w:pPr>
        <w:sectPr>
          <w:pgSz w:w="11900" w:h="16838" w:orient="portrait"/>
          <w:cols w:equalWidth="0" w:num="1">
            <w:col w:w="11000"/>
          </w:cols>
          <w:pgMar w:left="440" w:top="268" w:right="45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ind w:right="2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61" w:name="page62"/>
    <w:bookmarkEnd w:id="61"/>
    <w:p>
      <w:pPr>
        <w:ind w:right="3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 on the books of the Registrar.</w:t>
      </w:r>
    </w:p>
    <w:p>
      <w:pPr>
        <w:spacing w:after="0" w:line="225"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Section 10.5.</w:t>
      </w:r>
    </w:p>
    <w:p>
      <w:pPr>
        <w:spacing w:after="0" w:line="225"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58"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62" w:name="page63"/>
    <w:bookmarkEnd w:id="62"/>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6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2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color w:val="auto"/>
              </w:rPr>
              <w:t>TERM</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189"/>
        </w:trPr>
        <w:tc>
          <w:tcPr>
            <w:tcW w:w="3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50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50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50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50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50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5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23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50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7"/>
              </w:rPr>
              <w:t>5.1</w:t>
            </w:r>
          </w:p>
        </w:tc>
      </w:tr>
      <w:tr>
        <w:trPr>
          <w:trHeight w:val="365"/>
        </w:trPr>
        <w:tc>
          <w:tcPr>
            <w:tcW w:w="32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3960" w:type="dxa"/>
            <w:vAlign w:val="bottom"/>
          </w:tcPr>
          <w:p>
            <w:pPr>
              <w:spacing w:after="0"/>
              <w:rPr>
                <w:sz w:val="24"/>
                <w:szCs w:val="24"/>
                <w:color w:val="auto"/>
              </w:rPr>
            </w:pPr>
          </w:p>
        </w:tc>
      </w:tr>
    </w:tbl>
    <w:p>
      <w:pPr>
        <w:sectPr>
          <w:pgSz w:w="11900" w:h="16838" w:orient="portrait"/>
          <w:cols w:equalWidth="0" w:num="1">
            <w:col w:w="10980"/>
          </w:cols>
          <w:pgMar w:left="440" w:top="268"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Whenever this Indenture refers to a provision of the TIA, the provision is incorporated by reference in and made a part of this Indenture.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xml:space="preserve"> means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680" w:hanging="252"/>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440" w:top="270" w:right="6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spacing w:after="0" w:line="7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11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2.2.6. the right, if any, to defer payment of interest and the maximum length of any such deferral period;</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6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2.2.8. if applicable, the period or periods within which, the price or prices at which and the terms and conditions upon which the Securities of the Series may be redeemed, in whole or in part, at the option of the Company;</w:t>
      </w:r>
    </w:p>
    <w:p>
      <w:pPr>
        <w:spacing w:after="0" w:line="54"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8"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54"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2.2.12. the forms of the Securities of the Series and whether the Securities will be issuable as certificated Securities or Global Securities;</w:t>
      </w:r>
    </w:p>
    <w:p>
      <w:pPr>
        <w:spacing w:after="0" w:line="11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2.2.13. if other than the principal amount thereof, the portion of the principal amount of the Securities of the Series that shall be payable upon declaration of acceleration of the maturity thereof pursuant to Section 6.2;</w:t>
      </w:r>
    </w:p>
    <w:p>
      <w:pPr>
        <w:spacing w:after="0" w:line="54"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spacing w:after="0" w:line="68"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66" w:name="page67"/>
    <w:bookmarkEnd w:id="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2.2.16. the provisions, if any, relating to any security provided for the Securities of the Series;</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spacing w:after="0" w:line="68"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2.2.18. any Depositaries, interest rate calculation agents, exchange rate calculation agents, conversion agents or other agents with respect to Securities of such Series if other than those appointed herein;</w:t>
      </w:r>
    </w:p>
    <w:p>
      <w:pPr>
        <w:spacing w:after="0" w:line="5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2.2.19 if there is more than one Trustee or a different Trustee, the identity of the Trustee and, if not the Trustee, the identity of each Agent with respect to such Securities; 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7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2.2.21.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or facsimile signature.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10.4, (c) an Opinion of Counsel complying with Section 10.4 and (d) an Opinion of Counsel (which may be the same Opinion of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the preceding clause (c)) that such Securities, when they have been duly executed, issued, and authenticated in accordance with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Indenture and delivered against payment therefor in the circumstances described in such Opinion of Counsel, will be legally valid and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the Company, enforceable against the Company in accordance with their terms.</w:t>
      </w:r>
    </w:p>
    <w:p>
      <w:pPr>
        <w:spacing w:after="0" w:line="207"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8" w:name="page69"/>
    <w:bookmarkEnd w:id="68"/>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serve as Registrar or Paying Agent.</w:t>
      </w:r>
    </w:p>
    <w:p>
      <w:pPr>
        <w:spacing w:after="0" w:line="189"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9" w:name="page70"/>
    <w:bookmarkEnd w:id="69"/>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68"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Trustee nor any Agent shall have any responsibility for any actions taken or not taken by the Depositary.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7"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In addition, so long as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is the Depositary, each Global Note registered in the name of DTC or its nominee shall bear a legend in substantially the following form:</w:t>
      </w:r>
    </w:p>
    <w:p>
      <w:pPr>
        <w:spacing w:after="0" w:line="160"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81"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54" w:lineRule="exact"/>
        <w:rPr>
          <w:sz w:val="20"/>
          <w:szCs w:val="20"/>
          <w:color w:val="auto"/>
        </w:rPr>
      </w:pPr>
    </w:p>
    <w:p>
      <w:pPr>
        <w:ind w:right="140" w:firstLine="1428"/>
        <w:spacing w:after="0" w:line="255" w:lineRule="auto"/>
        <w:tabs>
          <w:tab w:leader="none" w:pos="16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3" w:name="page74"/>
    <w:bookmarkEnd w:id="73"/>
    <w:p>
      <w:pPr>
        <w:ind w:firstLine="1428"/>
        <w:spacing w:after="0" w:line="256" w:lineRule="auto"/>
        <w:tabs>
          <w:tab w:leader="none" w:pos="1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Global Securities or any Securities issued in certificated form shall be proved by the Registrar.</w:t>
      </w:r>
    </w:p>
    <w:p>
      <w:pPr>
        <w:spacing w:after="0" w:line="117"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71" w:lineRule="exact"/>
        <w:rPr>
          <w:rFonts w:ascii="Times New Roman" w:cs="Times New Roman" w:eastAsia="Times New Roman" w:hAnsi="Times New Roman"/>
          <w:sz w:val="18"/>
          <w:szCs w:val="18"/>
          <w:color w:val="auto"/>
        </w:rPr>
      </w:pPr>
    </w:p>
    <w:p>
      <w:pPr>
        <w:ind w:right="40" w:firstLine="1428"/>
        <w:spacing w:after="0" w:line="254" w:lineRule="auto"/>
        <w:tabs>
          <w:tab w:leader="none" w:pos="16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5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4" w:name="page75"/>
    <w:bookmarkEnd w:id="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117" w:lineRule="exact"/>
        <w:rPr>
          <w:sz w:val="20"/>
          <w:szCs w:val="20"/>
          <w:color w:val="auto"/>
        </w:rPr>
      </w:pPr>
    </w:p>
    <w:p>
      <w:pPr>
        <w:ind w:left="1680" w:hanging="252"/>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manner of calculation if not then known);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right="60" w:firstLine="1428"/>
        <w:spacing w:after="0" w:line="266" w:lineRule="auto"/>
        <w:tabs>
          <w:tab w:leader="none" w:pos="16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right="620" w:firstLine="1428"/>
        <w:spacing w:after="0" w:line="282" w:lineRule="auto"/>
        <w:tabs>
          <w:tab w:leader="none" w:pos="16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54" w:lineRule="exact"/>
        <w:rPr>
          <w:sz w:val="20"/>
          <w:szCs w:val="20"/>
          <w:color w:val="auto"/>
        </w:rPr>
      </w:pPr>
    </w:p>
    <w:p>
      <w:pPr>
        <w:jc w:val="both"/>
        <w:ind w:right="320" w:firstLine="1428"/>
        <w:spacing w:after="0" w:line="26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67" w:lineRule="exact"/>
        <w:rPr>
          <w:sz w:val="20"/>
          <w:szCs w:val="20"/>
          <w:color w:val="auto"/>
        </w:rPr>
      </w:pPr>
    </w:p>
    <w:p>
      <w:pPr>
        <w:ind w:right="20" w:firstLine="1428"/>
        <w:spacing w:after="0" w:line="261"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such period); or</w:t>
      </w:r>
    </w:p>
    <w:p>
      <w:pPr>
        <w:ind w:left="1680" w:hanging="252"/>
        <w:spacing w:after="0"/>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97"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70" w:right="539" w:bottom="1440" w:gutter="0" w:footer="0" w:header="0"/>
        </w:sectPr>
      </w:pPr>
    </w:p>
    <w:bookmarkStart w:id="79" w:name="page80"/>
    <w:bookmarkEnd w:id="79"/>
    <w:p>
      <w:pPr>
        <w:ind w:left="2280" w:hanging="301"/>
        <w:spacing w:after="0"/>
        <w:tabs>
          <w:tab w:leader="none" w:pos="2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117" w:lineRule="exact"/>
        <w:rPr>
          <w:sz w:val="20"/>
          <w:szCs w:val="20"/>
          <w:color w:val="auto"/>
        </w:rPr>
      </w:pPr>
    </w:p>
    <w:p>
      <w:pPr>
        <w:ind w:right="580" w:firstLine="1428"/>
        <w:spacing w:after="0" w:line="282" w:lineRule="auto"/>
        <w:tabs>
          <w:tab w:leader="none" w:pos="16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600" w:firstLine="991"/>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U.S.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become and be immediately due and payable without any declaration or other act on the part of the Trustee or any Holder.</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60"/>
          </w:cols>
          <w:pgMar w:left="440" w:top="270" w:right="599" w:bottom="1440" w:gutter="0" w:footer="0" w:header="0"/>
        </w:sectPr>
      </w:pPr>
    </w:p>
    <w:bookmarkStart w:id="80" w:name="page81"/>
    <w:bookmarkEnd w:id="80"/>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right="360" w:firstLine="1428"/>
        <w:spacing w:after="0" w:line="282"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5" w:lineRule="exact"/>
        <w:rPr>
          <w:sz w:val="20"/>
          <w:szCs w:val="20"/>
          <w:color w:val="auto"/>
        </w:rPr>
      </w:pPr>
    </w:p>
    <w:p>
      <w:pPr>
        <w:jc w:val="both"/>
        <w:ind w:right="160" w:firstLine="1428"/>
        <w:spacing w:after="0" w:line="289" w:lineRule="auto"/>
        <w:tabs>
          <w:tab w:leader="none" w:pos="167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49" w:lineRule="exact"/>
        <w:rPr>
          <w:rFonts w:ascii="Times New Roman" w:cs="Times New Roman" w:eastAsia="Times New Roman" w:hAnsi="Times New Roman"/>
          <w:sz w:val="17"/>
          <w:szCs w:val="17"/>
          <w:color w:val="auto"/>
        </w:rPr>
      </w:pPr>
    </w:p>
    <w:p>
      <w:pPr>
        <w:ind w:firstLine="1428"/>
        <w:spacing w:after="0" w:line="258"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82" w:name="page83"/>
    <w:bookmarkEnd w:id="8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To the payment of all amounts due the Trustee under Section 7.7; and</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Series;</w:t>
      </w:r>
    </w:p>
    <w:p>
      <w:pPr>
        <w:spacing w:after="0" w:line="99" w:lineRule="exact"/>
        <w:rPr>
          <w:sz w:val="20"/>
          <w:szCs w:val="20"/>
          <w:color w:val="auto"/>
        </w:rPr>
      </w:pPr>
    </w:p>
    <w:p>
      <w:pPr>
        <w:ind w:right="100" w:firstLine="1428"/>
        <w:spacing w:after="0" w:line="282"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right="200" w:firstLine="1428"/>
        <w:spacing w:after="0" w:line="282" w:lineRule="auto"/>
        <w:tabs>
          <w:tab w:leader="none" w:pos="16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680" w:hanging="252"/>
        <w:spacing w:after="0"/>
        <w:tabs>
          <w:tab w:leader="none" w:pos="1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117" w:lineRule="exact"/>
        <w:rPr>
          <w:rFonts w:ascii="Times New Roman" w:cs="Times New Roman" w:eastAsia="Times New Roman" w:hAnsi="Times New Roman"/>
          <w:sz w:val="18"/>
          <w:szCs w:val="18"/>
          <w:color w:val="auto"/>
        </w:rPr>
      </w:pPr>
    </w:p>
    <w:p>
      <w:pPr>
        <w:jc w:val="both"/>
        <w:ind w:right="160" w:firstLine="1428"/>
        <w:spacing w:after="0" w:line="312" w:lineRule="auto"/>
        <w:tabs>
          <w:tab w:leader="none" w:pos="167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84" w:name="page85"/>
    <w:bookmarkEnd w:id="84"/>
    <w:p>
      <w:pPr>
        <w:ind w:right="180" w:firstLine="1428"/>
        <w:spacing w:after="0" w:line="282" w:lineRule="auto"/>
        <w:tabs>
          <w:tab w:leader="none" w:pos="16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428"/>
        <w:spacing w:after="0" w:line="266" w:lineRule="auto"/>
        <w:tabs>
          <w:tab w:leader="none" w:pos="16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85" w:name="page86"/>
    <w:bookmarkEnd w:id="85"/>
    <w:p>
      <w:pPr>
        <w:ind w:left="-100" w:right="100" w:firstLine="1979"/>
        <w:spacing w:after="0" w:line="282" w:lineRule="auto"/>
        <w:tabs>
          <w:tab w:leader="none" w:pos="209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need perform only those duties that are specifically set forth in this Indenture and no others, and no implied covenants or obligations shall be read into this Indenture against the Trustee.</w:t>
      </w:r>
    </w:p>
    <w:p>
      <w:pPr>
        <w:spacing w:after="0" w:line="53" w:lineRule="exact"/>
        <w:rPr>
          <w:rFonts w:ascii="Times New Roman" w:cs="Times New Roman" w:eastAsia="Times New Roman" w:hAnsi="Times New Roman"/>
          <w:sz w:val="18"/>
          <w:szCs w:val="18"/>
          <w:color w:val="auto"/>
        </w:rPr>
      </w:pPr>
    </w:p>
    <w:p>
      <w:pPr>
        <w:ind w:left="-100" w:right="20" w:firstLine="1979"/>
        <w:spacing w:after="0" w:line="256" w:lineRule="auto"/>
        <w:tabs>
          <w:tab w:leader="none" w:pos="21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79" w:lineRule="exact"/>
        <w:rPr>
          <w:rFonts w:ascii="Times New Roman" w:cs="Times New Roman" w:eastAsia="Times New Roman" w:hAnsi="Times New Roman"/>
          <w:sz w:val="18"/>
          <w:szCs w:val="18"/>
          <w:color w:val="auto"/>
        </w:rPr>
      </w:pPr>
    </w:p>
    <w:p>
      <w:pPr>
        <w:ind w:left="-100" w:right="320" w:firstLine="1428"/>
        <w:spacing w:after="0" w:line="282" w:lineRule="auto"/>
        <w:tabs>
          <w:tab w:leader="none" w:pos="15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2100" w:hanging="221"/>
        <w:spacing w:after="0"/>
        <w:tabs>
          <w:tab w:leader="none" w:pos="2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117" w:lineRule="exact"/>
        <w:rPr>
          <w:rFonts w:ascii="Times New Roman" w:cs="Times New Roman" w:eastAsia="Times New Roman" w:hAnsi="Times New Roman"/>
          <w:sz w:val="18"/>
          <w:szCs w:val="18"/>
          <w:color w:val="auto"/>
        </w:rPr>
      </w:pPr>
    </w:p>
    <w:p>
      <w:pPr>
        <w:ind w:left="-100" w:firstLine="1979"/>
        <w:spacing w:after="0" w:line="282" w:lineRule="auto"/>
        <w:tabs>
          <w:tab w:leader="none" w:pos="214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100" w:right="120" w:firstLine="1979"/>
        <w:spacing w:after="0" w:line="261" w:lineRule="auto"/>
        <w:tabs>
          <w:tab w:leader="none" w:pos="219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71"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117"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20"/>
          </w:cols>
          <w:pgMar w:left="540" w:top="270" w:right="539" w:bottom="1440" w:gutter="0" w:footer="0" w:header="0"/>
        </w:sectPr>
      </w:pPr>
    </w:p>
    <w:bookmarkStart w:id="86" w:name="page87"/>
    <w:bookmarkEnd w:id="86"/>
    <w:p>
      <w:pPr>
        <w:ind w:left="-20" w:right="120" w:firstLine="1428"/>
        <w:spacing w:after="0" w:line="282" w:lineRule="auto"/>
        <w:tabs>
          <w:tab w:leader="none" w:pos="16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Paying Agent, the Registrar and any authenticating agent shall be entitled to the protections and immunities as are set forth in paragraphs (e), (f) and (g) of this Section and in Section 7.2, each with respect to the Trustee.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 w:right="140" w:firstLine="1428"/>
        <w:spacing w:after="0" w:line="266" w:lineRule="auto"/>
        <w:tabs>
          <w:tab w:leader="none" w:pos="16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67" w:lineRule="exact"/>
        <w:rPr>
          <w:rFonts w:ascii="Times New Roman" w:cs="Times New Roman" w:eastAsia="Times New Roman" w:hAnsi="Times New Roman"/>
          <w:sz w:val="18"/>
          <w:szCs w:val="18"/>
          <w:color w:val="auto"/>
        </w:rPr>
      </w:pPr>
    </w:p>
    <w:p>
      <w:pPr>
        <w:ind w:left="-20" w:right="360" w:firstLine="1428"/>
        <w:spacing w:after="0" w:line="282" w:lineRule="auto"/>
        <w:tabs>
          <w:tab w:leader="none" w:pos="16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53" w:lineRule="exact"/>
        <w:rPr>
          <w:rFonts w:ascii="Times New Roman" w:cs="Times New Roman" w:eastAsia="Times New Roman" w:hAnsi="Times New Roman"/>
          <w:sz w:val="18"/>
          <w:szCs w:val="18"/>
          <w:color w:val="auto"/>
        </w:rPr>
      </w:pPr>
    </w:p>
    <w:p>
      <w:pPr>
        <w:ind w:left="-20" w:right="60" w:firstLine="1428"/>
        <w:spacing w:after="0" w:line="266" w:lineRule="auto"/>
        <w:tabs>
          <w:tab w:leader="none" w:pos="16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67" w:lineRule="exact"/>
        <w:rPr>
          <w:rFonts w:ascii="Times New Roman" w:cs="Times New Roman" w:eastAsia="Times New Roman" w:hAnsi="Times New Roman"/>
          <w:sz w:val="18"/>
          <w:szCs w:val="18"/>
          <w:color w:val="auto"/>
        </w:rPr>
      </w:pPr>
    </w:p>
    <w:p>
      <w:pPr>
        <w:ind w:left="-20" w:firstLine="1428"/>
        <w:spacing w:after="0" w:line="282" w:lineRule="auto"/>
        <w:tabs>
          <w:tab w:leader="none" w:pos="16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53" w:lineRule="exact"/>
        <w:rPr>
          <w:rFonts w:ascii="Times New Roman" w:cs="Times New Roman" w:eastAsia="Times New Roman" w:hAnsi="Times New Roman"/>
          <w:sz w:val="18"/>
          <w:szCs w:val="18"/>
          <w:color w:val="auto"/>
        </w:rPr>
      </w:pPr>
    </w:p>
    <w:p>
      <w:pPr>
        <w:ind w:left="-20" w:right="40" w:firstLine="1428"/>
        <w:spacing w:after="0" w:line="266" w:lineRule="auto"/>
        <w:tabs>
          <w:tab w:leader="none" w:pos="16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67" w:lineRule="exact"/>
        <w:rPr>
          <w:rFonts w:ascii="Times New Roman" w:cs="Times New Roman" w:eastAsia="Times New Roman" w:hAnsi="Times New Roman"/>
          <w:sz w:val="18"/>
          <w:szCs w:val="18"/>
          <w:color w:val="auto"/>
        </w:rPr>
      </w:pPr>
    </w:p>
    <w:p>
      <w:pPr>
        <w:jc w:val="both"/>
        <w:ind w:left="-20" w:right="300" w:firstLine="1428"/>
        <w:spacing w:after="0" w:line="289" w:lineRule="auto"/>
        <w:tabs>
          <w:tab w:leader="none" w:pos="163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49" w:lineRule="exact"/>
        <w:rPr>
          <w:rFonts w:ascii="Times New Roman" w:cs="Times New Roman" w:eastAsia="Times New Roman" w:hAnsi="Times New Roman"/>
          <w:sz w:val="17"/>
          <w:szCs w:val="17"/>
          <w:color w:val="auto"/>
        </w:rPr>
      </w:pPr>
    </w:p>
    <w:p>
      <w:pPr>
        <w:jc w:val="both"/>
        <w:ind w:left="-20" w:right="80" w:firstLine="1428"/>
        <w:spacing w:after="0" w:line="266" w:lineRule="auto"/>
        <w:tabs>
          <w:tab w:leader="none" w:pos="16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67" w:lineRule="exact"/>
        <w:rPr>
          <w:rFonts w:ascii="Times New Roman" w:cs="Times New Roman" w:eastAsia="Times New Roman" w:hAnsi="Times New Roman"/>
          <w:sz w:val="18"/>
          <w:szCs w:val="18"/>
          <w:color w:val="auto"/>
        </w:rPr>
      </w:pPr>
    </w:p>
    <w:p>
      <w:pPr>
        <w:ind w:left="-20" w:right="20" w:firstLine="1428"/>
        <w:spacing w:after="0" w:line="261" w:lineRule="auto"/>
        <w:tabs>
          <w:tab w:leader="none" w:pos="16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70" w:right="479" w:bottom="1440" w:gutter="0" w:footer="0" w:header="0"/>
        </w:sectPr>
      </w:pPr>
    </w:p>
    <w:bookmarkStart w:id="87" w:name="page88"/>
    <w:bookmarkEnd w:id="87"/>
    <w:p>
      <w:pPr>
        <w:ind w:right="120" w:firstLine="1428"/>
        <w:spacing w:after="0" w:line="266" w:lineRule="auto"/>
        <w:tabs>
          <w:tab w:leader="none" w:pos="16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so.</w:t>
      </w:r>
    </w:p>
    <w:p>
      <w:pPr>
        <w:spacing w:after="0" w:line="9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bond or surety shall be required with respect to performance of Trustee’s duties and powers.</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Trustee be liable in its individual capacity for the obligations evidenced by the Securities.</w:t>
      </w:r>
    </w:p>
    <w:p>
      <w:pPr>
        <w:spacing w:after="0" w:line="117" w:lineRule="exact"/>
        <w:rPr>
          <w:rFonts w:ascii="Times New Roman" w:cs="Times New Roman" w:eastAsia="Times New Roman" w:hAnsi="Times New Roman"/>
          <w:sz w:val="18"/>
          <w:szCs w:val="18"/>
          <w:color w:val="auto"/>
        </w:rPr>
      </w:pPr>
    </w:p>
    <w:p>
      <w:pPr>
        <w:ind w:right="600" w:firstLine="1428"/>
        <w:spacing w:after="0" w:line="282" w:lineRule="auto"/>
        <w:tabs>
          <w:tab w:leader="none" w:pos="17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53"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53"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76"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89" w:name="page90"/>
    <w:bookmarkEnd w:id="89"/>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40" w:lineRule="exact"/>
        <w:rPr>
          <w:sz w:val="20"/>
          <w:szCs w:val="20"/>
          <w:color w:val="auto"/>
        </w:rPr>
      </w:pPr>
    </w:p>
    <w:p>
      <w:pPr>
        <w:ind w:right="440" w:firstLine="991"/>
        <w:spacing w:after="0" w:line="312"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72" w:lineRule="exact"/>
        <w:rPr>
          <w:sz w:val="20"/>
          <w:szCs w:val="20"/>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w:t>
      </w:r>
    </w:p>
    <w:p>
      <w:pPr>
        <w:spacing w:after="0" w:line="99" w:lineRule="exact"/>
        <w:rPr>
          <w:sz w:val="20"/>
          <w:szCs w:val="20"/>
          <w:color w:val="auto"/>
        </w:rPr>
      </w:pPr>
    </w:p>
    <w:p>
      <w:pPr>
        <w:ind w:left="1680" w:hanging="252"/>
        <w:spacing w:after="0"/>
        <w:tabs>
          <w:tab w:leader="none" w:pos="1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successor Trustee shall deliver a written acceptance of its appointment to the retiring Trustee and to the Company. Promptly after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retiring Trustee shall transfer all property held by it as Trustee to the successor Trustee subject to the lien provided for in Section 7.7, the resignation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removal of the retiring Trustee shall become effective, and the successor Trustee shall have all the rights, powers and duties of the Trustee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each Series of Securities for which it is acting as Trustee under this Indenture. A successor Trustee shall send a notice of its succession to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 of each such Series. Notwithstanding replacement of the Trustee pursuant to this Section 7.8, the Company’s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7.7 hereof shall continue for the benefit of the retiring Trustee with respect to expenses and liabilities incurred by it for actions taken or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taken in accordance with its rights, powers and duties under this Indenture prior to such replacement.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68" w:lineRule="exact"/>
        <w:rPr>
          <w:sz w:val="20"/>
          <w:szCs w:val="20"/>
          <w:color w:val="auto"/>
        </w:rPr>
      </w:pPr>
    </w:p>
    <w:p>
      <w:pPr>
        <w:ind w:left="1680" w:hanging="252"/>
        <w:spacing w:after="0"/>
        <w:tabs>
          <w:tab w:leader="none" w:pos="1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firstLine="1979"/>
        <w:spacing w:after="0" w:line="282" w:lineRule="auto"/>
        <w:tabs>
          <w:tab w:leader="none" w:pos="219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91" w:name="page92"/>
    <w:bookmarkEnd w:id="91"/>
    <w:p>
      <w:pPr>
        <w:ind w:left="2240" w:hanging="261"/>
        <w:spacing w:after="0"/>
        <w:tabs>
          <w:tab w:leader="none" w:pos="2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such Securities of such Series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 or</w:t>
      </w:r>
    </w:p>
    <w:p>
      <w:pPr>
        <w:spacing w:after="0" w:line="117"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right="40" w:firstLine="2419"/>
        <w:spacing w:after="0" w:line="282" w:lineRule="auto"/>
        <w:tabs>
          <w:tab w:leader="none" w:pos="26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53"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2" w:lineRule="exact"/>
        <w:rPr>
          <w:sz w:val="20"/>
          <w:szCs w:val="20"/>
          <w:color w:val="auto"/>
        </w:rPr>
      </w:pPr>
    </w:p>
    <w:p>
      <w:pPr>
        <w:ind w:left="1680" w:hanging="252"/>
        <w:spacing w:after="0"/>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right="680" w:firstLine="1428"/>
        <w:spacing w:after="0" w:line="282" w:lineRule="auto"/>
        <w:tabs>
          <w:tab w:leader="none" w:pos="16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5" w:lineRule="auto"/>
        <w:tabs>
          <w:tab w:leader="none" w:pos="16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92" w:name="page93"/>
    <w:bookmarkEnd w:id="92"/>
    <w:p>
      <w:pPr>
        <w:ind w:right="80" w:firstLine="1428"/>
        <w:spacing w:after="0" w:line="266" w:lineRule="auto"/>
        <w:tabs>
          <w:tab w:leader="none" w:pos="168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ind w:right="20" w:firstLine="1428"/>
        <w:spacing w:after="0" w:line="256" w:lineRule="auto"/>
        <w:tabs>
          <w:tab w:leader="none" w:pos="16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75" w:lineRule="exact"/>
        <w:rPr>
          <w:sz w:val="20"/>
          <w:szCs w:val="20"/>
          <w:color w:val="auto"/>
        </w:rPr>
      </w:pPr>
    </w:p>
    <w:p>
      <w:pPr>
        <w:jc w:val="both"/>
        <w:ind w:right="40" w:firstLine="1428"/>
        <w:spacing w:after="0" w:line="261"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117" w:lineRule="exact"/>
        <w:rPr>
          <w:sz w:val="20"/>
          <w:szCs w:val="20"/>
          <w:color w:val="auto"/>
        </w:rPr>
      </w:pPr>
    </w:p>
    <w:p>
      <w:pPr>
        <w:ind w:right="40" w:firstLine="1428"/>
        <w:spacing w:after="0" w:line="258" w:lineRule="auto"/>
        <w:tabs>
          <w:tab w:leader="none" w:pos="16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93" w:name="page94"/>
    <w:bookmarkEnd w:id="93"/>
    <w:p>
      <w:pPr>
        <w:ind w:right="2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56" w:lineRule="exact"/>
        <w:rPr>
          <w:sz w:val="20"/>
          <w:szCs w:val="20"/>
          <w:color w:val="auto"/>
        </w:rPr>
      </w:pPr>
    </w:p>
    <w:p>
      <w:pPr>
        <w:ind w:right="420" w:firstLine="1428"/>
        <w:spacing w:after="0" w:line="282" w:lineRule="auto"/>
        <w:tabs>
          <w:tab w:leader="none" w:pos="16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right="180" w:firstLine="1428"/>
        <w:spacing w:after="0" w:line="282" w:lineRule="auto"/>
        <w:tabs>
          <w:tab w:leader="none" w:pos="16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53" w:lineRule="exact"/>
        <w:rPr>
          <w:rFonts w:ascii="Times New Roman" w:cs="Times New Roman" w:eastAsia="Times New Roman" w:hAnsi="Times New Roman"/>
          <w:sz w:val="18"/>
          <w:szCs w:val="18"/>
          <w:color w:val="auto"/>
        </w:rPr>
      </w:pPr>
    </w:p>
    <w:p>
      <w:pPr>
        <w:ind w:right="60" w:firstLine="1428"/>
        <w:spacing w:after="0" w:line="256" w:lineRule="auto"/>
        <w:tabs>
          <w:tab w:leader="none" w:pos="16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79"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right="720" w:firstLine="1428"/>
        <w:spacing w:after="0" w:line="282" w:lineRule="auto"/>
        <w:tabs>
          <w:tab w:leader="none" w:pos="16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94" w:name="page95"/>
    <w:bookmarkEnd w:id="94"/>
    <w:p>
      <w:pPr>
        <w:ind w:right="40" w:firstLine="1428"/>
        <w:spacing w:after="0" w:line="253" w:lineRule="auto"/>
        <w:tabs>
          <w:tab w:leader="none" w:pos="16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86"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w:t>
      </w:r>
    </w:p>
    <w:p>
      <w:pPr>
        <w:spacing w:after="0" w:line="98"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79" w:lineRule="exact"/>
        <w:rPr>
          <w:rFonts w:ascii="Times New Roman" w:cs="Times New Roman" w:eastAsia="Times New Roman" w:hAnsi="Times New Roman"/>
          <w:sz w:val="18"/>
          <w:szCs w:val="18"/>
          <w:color w:val="auto"/>
        </w:rPr>
      </w:pPr>
    </w:p>
    <w:p>
      <w:pPr>
        <w:ind w:right="80" w:firstLine="1428"/>
        <w:spacing w:after="0" w:line="282" w:lineRule="auto"/>
        <w:tabs>
          <w:tab w:leader="none" w:pos="16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right="620" w:firstLine="1428"/>
        <w:spacing w:after="0" w:line="282" w:lineRule="auto"/>
        <w:tabs>
          <w:tab w:leader="none" w:pos="16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w:t>
      </w:r>
    </w:p>
    <w:p>
      <w:pPr>
        <w:spacing w:after="0" w:line="99" w:lineRule="exact"/>
        <w:rPr>
          <w:sz w:val="20"/>
          <w:szCs w:val="20"/>
          <w:color w:val="auto"/>
        </w:rPr>
      </w:pPr>
    </w:p>
    <w:p>
      <w:pPr>
        <w:ind w:left="1680" w:hanging="252"/>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as evidenced by an Officer Certificate;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117" w:lineRule="exact"/>
        <w:rPr>
          <w:rFonts w:ascii="Times New Roman" w:cs="Times New Roman" w:eastAsia="Times New Roman" w:hAnsi="Times New Roman"/>
          <w:sz w:val="18"/>
          <w:szCs w:val="18"/>
          <w:color w:val="auto"/>
        </w:rPr>
      </w:pPr>
    </w:p>
    <w:p>
      <w:pPr>
        <w:ind w:right="120" w:firstLine="1428"/>
        <w:spacing w:after="0" w:line="266" w:lineRule="auto"/>
        <w:tabs>
          <w:tab w:leader="none" w:pos="165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 (and if such covenants or events of default are to be for the benefit of less than all Series of Securities, stating that such covenants or events of default, as applicable, are expressly being included solely for the benefit of such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96" w:name="page97"/>
    <w:bookmarkEnd w:id="96"/>
    <w:p>
      <w:pPr>
        <w:ind w:left="1680" w:hanging="252"/>
        <w:spacing w:after="0"/>
        <w:tabs>
          <w:tab w:leader="none" w:pos="1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9" w:lineRule="exact"/>
        <w:rPr>
          <w:sz w:val="20"/>
          <w:szCs w:val="20"/>
          <w:color w:val="auto"/>
        </w:rPr>
      </w:pPr>
    </w:p>
    <w:p>
      <w:pPr>
        <w:ind w:right="80" w:firstLine="1428"/>
        <w:spacing w:after="0" w:line="266" w:lineRule="auto"/>
        <w:tabs>
          <w:tab w:leader="none" w:pos="164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117"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67" w:lineRule="exact"/>
        <w:rPr>
          <w:rFonts w:ascii="Times New Roman" w:cs="Times New Roman" w:eastAsia="Times New Roman" w:hAnsi="Times New Roman"/>
          <w:sz w:val="18"/>
          <w:szCs w:val="18"/>
          <w:color w:val="auto"/>
        </w:rPr>
      </w:pPr>
    </w:p>
    <w:p>
      <w:pPr>
        <w:ind w:right="260" w:firstLine="436"/>
        <w:spacing w:after="0" w:line="282" w:lineRule="auto"/>
        <w:tabs>
          <w:tab w:leader="none" w:pos="7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73" w:lineRule="auto"/>
        <w:rPr>
          <w:sz w:val="20"/>
          <w:szCs w:val="20"/>
          <w:color w:val="auto"/>
        </w:rPr>
      </w:pPr>
      <w:r>
        <w:rPr>
          <w:rFonts w:ascii="Times New Roman" w:cs="Times New Roman" w:eastAsia="Times New Roman" w:hAnsi="Times New Roman"/>
          <w:sz w:val="17"/>
          <w:szCs w:val="17"/>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1"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each Securityholder affected, an amendment or waiver may not:</w:t>
      </w:r>
    </w:p>
    <w:p>
      <w:pPr>
        <w:spacing w:after="0" w:line="117" w:lineRule="exact"/>
        <w:rPr>
          <w:sz w:val="20"/>
          <w:szCs w:val="20"/>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117"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117" w:lineRule="exact"/>
        <w:rPr>
          <w:rFonts w:ascii="Times New Roman" w:cs="Times New Roman" w:eastAsia="Times New Roman" w:hAnsi="Times New Roman"/>
          <w:sz w:val="18"/>
          <w:szCs w:val="18"/>
          <w:color w:val="auto"/>
        </w:rPr>
      </w:pPr>
    </w:p>
    <w:p>
      <w:pPr>
        <w:ind w:right="80" w:firstLine="1428"/>
        <w:spacing w:after="0" w:line="266" w:lineRule="auto"/>
        <w:tabs>
          <w:tab w:leader="none" w:pos="16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40" w:top="270" w:right="539" w:bottom="1440" w:gutter="0" w:footer="0" w:header="0"/>
        </w:sectPr>
      </w:pPr>
    </w:p>
    <w:bookmarkStart w:id="98" w:name="page99"/>
    <w:bookmarkEnd w:id="98"/>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400 Alexander Park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40th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Megan J. Baier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207" w:lineRule="exact"/>
        <w:rPr>
          <w:sz w:val="20"/>
          <w:szCs w:val="20"/>
          <w:color w:val="auto"/>
        </w:rPr>
      </w:pPr>
    </w:p>
    <w:p>
      <w:pPr>
        <w:ind w:right="1120" w:firstLine="991"/>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right="120" w:firstLine="1428"/>
        <w:spacing w:after="0" w:line="282" w:lineRule="auto"/>
        <w:tabs>
          <w:tab w:leader="none" w:pos="167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4" w:lineRule="exact"/>
        <w:rPr>
          <w:sz w:val="20"/>
          <w:szCs w:val="20"/>
          <w:color w:val="auto"/>
        </w:rPr>
      </w:pPr>
    </w:p>
    <w:p>
      <w:pPr>
        <w:ind w:left="1680" w:hanging="252"/>
        <w:spacing w:after="0"/>
        <w:tabs>
          <w:tab w:leader="none" w:pos="1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right="140" w:firstLine="1428"/>
        <w:spacing w:after="0" w:line="282" w:lineRule="auto"/>
        <w:tabs>
          <w:tab w:leader="none" w:pos="16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0"/>
          </w:cols>
          <w:pgMar w:left="440" w:top="270" w:right="5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0" w:firstLine="991"/>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2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91"/>
        <w:spacing w:after="0" w:line="312"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103" w:name="page104"/>
    <w:bookmarkEnd w:id="103"/>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76"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as provided in Section 11.2. Each sinking fund payment shall be applied to the redemption of Securities of any Series as provided for by the terms of the Securities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66" w:right="47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9680"/>
          </w:cols>
          <w:pgMar w:left="1420" w:top="270" w:right="7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003A5D"/>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337310" cy="557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1337310" cy="55753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003A5D"/>
        </w:rPr>
        <w:t>Professional Corporation</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003A5D"/>
        </w:rPr>
        <w:t>1301 Avenue of the Americas, 40th Floor</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003A5D"/>
        </w:rPr>
        <w:t>New York, NY 10019-6022</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003A5D"/>
        </w:rPr>
        <w:t>O: 212.999.5800</w:t>
      </w:r>
    </w:p>
    <w:p>
      <w:pPr>
        <w:spacing w:after="0" w:line="1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003A5D"/>
        </w:rPr>
        <w:t>F: 212.999.5899</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Alexander Park Drive, Suite 301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S-3 (the “Registration Statement”), filed by PMV Pharmaceuticals, Inc., a Delaware corporation (the “Company”), with the Securities and Exchange Commission (the “Commission”) in connection with the registration pursuant to the Securities Act of 1933, as amended (the “Act”), of the Securities (as defined below).</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$200,000,000, or the equivalent thereof, of (a) shares of the Company’s common stock, $0.00001 par value per share (the “Common Stock”); (b) shares of the Company’s preferred stock, $0.00001 par value per share (the “Preferred Stock”); (c) the Company’s debt securities (the “Debt Securities”); (d) warrants to purchase Common Stock, Preferred Stock or Debt Securities (the “Warrants”); (e) subscription rights to purchase Common Stock, Preferred Stock, Debt Securities, Warrants or units consisting of some or all of these securities (the “Subscription Rights”); (f) purchase contracts of the Company with respect to the securities of the Company (the “Purchase Contracts”); and (g) units consisting of two or more securities described above in any combination (the “Units”) (the Common Stock, the Preferred Stock, the Debt Securities, the Warrants, the Subscription Rights, the Purchase Contracts and the Units are collectively referred to herein as the “Securities”).</w:t>
      </w:r>
    </w:p>
    <w:p>
      <w:pPr>
        <w:spacing w:after="0" w:line="194"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have also acted as counsel to the Company in connection with an offering of up to $113,792,846.40 of shares of Common Stock (the “Sales Agreement Shares”) that may be issued and sold under the common stock sales agreement (the “Sales Agreement”), dated as of October 4, 2021, by and between the Company and Jefferies LLC (the “Sales Agent”). The prospectus supplement for the offer and sale of the Sales Agreement Shares is included in the Registration Statement (as may be amended or supplemented, the “Sales Agreement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4"/>
          <w:szCs w:val="14"/>
          <w:color w:val="003A5D"/>
        </w:rPr>
        <w:t>AUSTIN      BEIJING      BOSTON      BOULDER      BRUSSELS      HONG KONG      LONDON      LOS ANGELES      NEW YORK      PALO ALTO SALT LAKE CITY      SAN DIEGO      SAN FRANCISCO      SEATTLE      SHANGHAI      WASHINGTON, DC      WILMINGTON, DE</w:t>
      </w:r>
    </w:p>
    <w:p>
      <w:pPr>
        <w:sectPr>
          <w:pgSz w:w="11900" w:h="16838" w:orient="portrait"/>
          <w:cols w:equalWidth="0" w:num="1">
            <w:col w:w="11020"/>
          </w:cols>
          <w:pgMar w:left="440" w:top="117" w:right="439" w:bottom="1440" w:gutter="0" w:footer="0" w:header="0"/>
        </w:sectPr>
      </w:pPr>
    </w:p>
    <w:bookmarkStart w:id="108" w:name="page109"/>
    <w:bookmarkEnd w:id="10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51510"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51510" cy="274320"/>
                    </a:xfrm>
                    <a:prstGeom prst="rect">
                      <a:avLst/>
                    </a:prstGeom>
                    <a:noFill/>
                  </pic:spPr>
                </pic:pic>
              </a:graphicData>
            </a:graphic>
          </wp:anchor>
        </w:drawing>
        <w:t>PMV Pharmaceuticals,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117" w:lineRule="exact"/>
        <w:rPr>
          <w:sz w:val="20"/>
          <w:szCs w:val="20"/>
          <w:color w:val="auto"/>
        </w:rPr>
      </w:pPr>
    </w:p>
    <w:p>
      <w:pPr>
        <w:ind w:left="4" w:firstLine="436"/>
        <w:spacing w:after="0" w:line="255" w:lineRule="auto"/>
        <w:tabs>
          <w:tab w:leader="none" w:pos="6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w:t>
      </w:r>
    </w:p>
    <w:p>
      <w:pPr>
        <w:spacing w:after="0" w:line="2" w:lineRule="exact"/>
        <w:rPr>
          <w:rFonts w:ascii="Times New Roman" w:cs="Times New Roman" w:eastAsia="Times New Roman" w:hAnsi="Times New Roman"/>
          <w:sz w:val="18"/>
          <w:szCs w:val="18"/>
          <w:color w:val="auto"/>
        </w:rPr>
      </w:pPr>
    </w:p>
    <w:p>
      <w:pPr>
        <w:ind w:left="4" w:right="20" w:hanging="4"/>
        <w:spacing w:after="0" w:line="255"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77" w:lineRule="exact"/>
        <w:rPr>
          <w:rFonts w:ascii="Times New Roman" w:cs="Times New Roman" w:eastAsia="Times New Roman" w:hAnsi="Times New Roman"/>
          <w:sz w:val="18"/>
          <w:szCs w:val="18"/>
          <w:color w:val="auto"/>
        </w:rPr>
      </w:pPr>
    </w:p>
    <w:p>
      <w:pPr>
        <w:ind w:left="4" w:right="240" w:firstLine="436"/>
        <w:spacing w:after="0" w:line="270" w:lineRule="auto"/>
        <w:tabs>
          <w:tab w:leader="none" w:pos="624"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2" w:lineRule="exact"/>
        <w:rPr>
          <w:rFonts w:ascii="Times New Roman" w:cs="Times New Roman" w:eastAsia="Times New Roman" w:hAnsi="Times New Roman"/>
          <w:sz w:val="17"/>
          <w:szCs w:val="17"/>
          <w:color w:val="auto"/>
        </w:rPr>
      </w:pPr>
    </w:p>
    <w:p>
      <w:pPr>
        <w:ind w:left="4" w:right="100" w:hanging="4"/>
        <w:spacing w:after="0" w:line="250" w:lineRule="auto"/>
        <w:tabs>
          <w:tab w:leader="none" w:pos="2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 w:right="20" w:hanging="4"/>
        <w:spacing w:after="0" w:line="255" w:lineRule="auto"/>
        <w:tabs>
          <w:tab w:leader="none" w:pos="2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ectPr>
          <w:pgSz w:w="11900" w:h="16838" w:orient="portrait"/>
          <w:cols w:equalWidth="0" w:num="1">
            <w:col w:w="11004"/>
          </w:cols>
          <w:pgMar w:left="436" w:top="810"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5151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51510" cy="274320"/>
                    </a:xfrm>
                    <a:prstGeom prst="rect">
                      <a:avLst/>
                    </a:prstGeom>
                    <a:noFill/>
                  </pic:spPr>
                </pic:pic>
              </a:graphicData>
            </a:graphic>
          </wp:anchor>
        </w:drawing>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20" w:firstLine="436"/>
        <w:spacing w:after="0" w:line="254"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80"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75"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75"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71"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79" w:lineRule="exact"/>
        <w:rPr>
          <w:rFonts w:ascii="Times New Roman" w:cs="Times New Roman" w:eastAsia="Times New Roman" w:hAnsi="Times New Roman"/>
          <w:sz w:val="18"/>
          <w:szCs w:val="18"/>
          <w:color w:val="auto"/>
        </w:rPr>
      </w:pPr>
    </w:p>
    <w:p>
      <w:pPr>
        <w:ind w:right="80" w:firstLine="436"/>
        <w:spacing w:after="0" w:line="266"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offering of the Sales Agreement Shares pursuant to the Sales Agreement Prospectus Supplement, the Sales Agreement Shares are duly authorized, and when issued against receipt of the consideration therefor in accordance with the provisions of the Sales Agreement, will be validly issued, fully paid and nonassessable.</w:t>
      </w:r>
    </w:p>
    <w:p>
      <w:pPr>
        <w:sectPr>
          <w:pgSz w:w="11900" w:h="16838" w:orient="portrait"/>
          <w:cols w:equalWidth="0" w:num="1">
            <w:col w:w="11000"/>
          </w:cols>
          <w:pgMar w:left="440" w:top="810"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5151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51510" cy="274320"/>
                    </a:xfrm>
                    <a:prstGeom prst="rect">
                      <a:avLst/>
                    </a:prstGeom>
                    <a:noFill/>
                  </pic:spPr>
                </pic:pic>
              </a:graphicData>
            </a:graphic>
          </wp:anchor>
        </w:drawing>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117" w:lineRule="exact"/>
        <w:rPr>
          <w:sz w:val="20"/>
          <w:szCs w:val="20"/>
          <w:color w:val="auto"/>
        </w:rPr>
      </w:pPr>
    </w:p>
    <w:p>
      <w:pPr>
        <w:ind w:right="360" w:firstLine="987"/>
        <w:spacing w:after="0" w:line="282"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117"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express no opinion as to the laws of any other jurisdiction, other than the federal laws of the United States of America, the laws of the State of New York as to the enforceability of the Debt Securities, the Warrants, the Subscription Rights, the Purchase Contracts and the Units, and the DGCL.</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40"/>
          </w:cols>
          <w:pgMar w:left="440" w:top="810"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51510"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51510" cy="274320"/>
                    </a:xfrm>
                    <a:prstGeom prst="rect">
                      <a:avLst/>
                    </a:prstGeom>
                    <a:noFill/>
                  </pic:spPr>
                </pic:pic>
              </a:graphicData>
            </a:graphic>
          </wp:anchor>
        </w:drawing>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ectPr>
          <w:pgSz w:w="11900" w:h="16838" w:orient="portrait"/>
          <w:cols w:equalWidth="0" w:num="1">
            <w:col w:w="11000"/>
          </w:cols>
          <w:pgMar w:left="440" w:top="810" w:right="4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consent to the reference of our firm under the caption “Experts” in the Registration Statement (Form S-3) and related Prospectus of PMV Pharmaceuticals, Inc. for the registration of common stock, preferred stock, debt securities, warrants, subscription rights, purchase contracts and other units and to the incorporation by reference therein of our report dated February 29, 2024, with respect to the consolidated financial statements of PMV Pharmaceuticals, Inc.,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ectPr>
          <w:pgSz w:w="11900" w:h="16838" w:orient="portrait"/>
          <w:cols w:equalWidth="0" w:num="1">
            <w:col w:w="11020"/>
          </w:cols>
          <w:pgMar w:left="440" w:top="117"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Paid in</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or Carry</w:t>
            </w:r>
          </w:p>
        </w:tc>
        <w:tc>
          <w:tcPr>
            <w:tcW w:w="7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Aggregate</w:t>
            </w:r>
          </w:p>
        </w:tc>
        <w:tc>
          <w:tcPr>
            <w:tcW w:w="10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Amount of</w:t>
            </w:r>
          </w:p>
        </w:tc>
        <w:tc>
          <w:tcPr>
            <w:tcW w:w="5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5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Forward</w:t>
            </w:r>
          </w:p>
        </w:tc>
        <w:tc>
          <w:tcPr>
            <w:tcW w:w="5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per 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$0.00001 per</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Stock,</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$0.00001 per</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Subscription</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Units(4)</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1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7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$200,000,000(3)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$30,620</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$200,000,000</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$30,620</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 Previously Paid </w:t>
            </w:r>
          </w:p>
        </w:tc>
        <w:tc>
          <w:tcPr>
            <w:tcW w:w="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$30,620</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500" w:top="117" w:right="4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2: Fee Offset Claims and Sources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24"/>
        </w:trPr>
        <w:tc>
          <w:tcPr>
            <w:tcW w:w="940" w:type="dxa"/>
            <w:vAlign w:val="bottom"/>
            <w:tcBorders>
              <w:top w:val="single" w:sz="8" w:color="auto"/>
              <w:left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840" w:type="dxa"/>
            <w:vAlign w:val="bottom"/>
            <w:tcBorders>
              <w:top w:val="single" w:sz="8" w:color="auto"/>
              <w:right w:val="single" w:sz="8" w:color="auto"/>
            </w:tcBorders>
          </w:tcPr>
          <w:p>
            <w:pPr>
              <w:spacing w:after="0"/>
              <w:rPr>
                <w:sz w:val="10"/>
                <w:szCs w:val="10"/>
                <w:color w:val="auto"/>
              </w:rPr>
            </w:pPr>
          </w:p>
        </w:tc>
        <w:tc>
          <w:tcPr>
            <w:tcW w:w="840" w:type="dxa"/>
            <w:vAlign w:val="bottom"/>
            <w:tcBorders>
              <w:top w:val="single" w:sz="8" w:color="auto"/>
              <w:right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spacing w:after="0"/>
              <w:rPr>
                <w:sz w:val="10"/>
                <w:szCs w:val="10"/>
                <w:color w:val="auto"/>
              </w:rPr>
            </w:pPr>
          </w:p>
        </w:tc>
        <w:tc>
          <w:tcPr>
            <w:tcW w:w="940" w:type="dxa"/>
            <w:vAlign w:val="bottom"/>
            <w:tcBorders>
              <w:top w:val="single" w:sz="8" w:color="auto"/>
              <w:right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color w:val="auto"/>
                <w:w w:val="95"/>
              </w:rPr>
              <w:t>Unsold</w:t>
            </w:r>
          </w:p>
        </w:tc>
        <w:tc>
          <w:tcPr>
            <w:tcW w:w="700" w:type="dxa"/>
            <w:vAlign w:val="bottom"/>
            <w:tcBorders>
              <w:top w:val="single" w:sz="8" w:color="auto"/>
              <w:right w:val="single" w:sz="8" w:color="auto"/>
            </w:tcBorders>
          </w:tcPr>
          <w:p>
            <w:pPr>
              <w:spacing w:after="0"/>
              <w:rPr>
                <w:sz w:val="10"/>
                <w:szCs w:val="10"/>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700" w:type="dxa"/>
            <w:vAlign w:val="bottom"/>
            <w:tcBorders>
              <w:right w:val="single" w:sz="8" w:color="auto"/>
            </w:tcBorders>
          </w:tcPr>
          <w:p>
            <w:pPr>
              <w:spacing w:after="0"/>
              <w:rPr>
                <w:sz w:val="11"/>
                <w:szCs w:val="11"/>
                <w:color w:val="auto"/>
              </w:rPr>
            </w:pPr>
          </w:p>
        </w:tc>
      </w:tr>
      <w:tr>
        <w:trPr>
          <w:trHeight w:val="140"/>
        </w:trPr>
        <w:tc>
          <w:tcPr>
            <w:tcW w:w="94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7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Unsold</w:t>
            </w:r>
          </w:p>
        </w:tc>
        <w:tc>
          <w:tcPr>
            <w:tcW w:w="13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Offering</w:t>
            </w:r>
          </w:p>
        </w:tc>
        <w:tc>
          <w:tcPr>
            <w:tcW w:w="7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9"/>
              </w:rPr>
              <w:t>Type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Title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Paid</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or Filer</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r>
      <w:tr>
        <w:trPr>
          <w:trHeight w:val="174"/>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Source</w:t>
            </w:r>
          </w:p>
        </w:tc>
      </w:tr>
      <w:tr>
        <w:trPr>
          <w:trHeight w:val="233"/>
        </w:trPr>
        <w:tc>
          <w:tcPr>
            <w:tcW w:w="940" w:type="dxa"/>
            <w:vAlign w:val="bottom"/>
            <w:tcBorders>
              <w:left w:val="single" w:sz="8" w:color="auto"/>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Rule 457(p)</w:t>
            </w:r>
          </w:p>
        </w:tc>
        <w:tc>
          <w:tcPr>
            <w:tcW w:w="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9"/>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w:t>
            </w:r>
          </w:p>
        </w:tc>
        <w:tc>
          <w:tcPr>
            <w:tcW w:w="1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Claims</w:t>
            </w:r>
          </w:p>
        </w:tc>
        <w:tc>
          <w:tcPr>
            <w:tcW w:w="1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PMV</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Pharmaceuticals,</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4,</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$8,580(5)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$113,792,846.40 </w:t>
            </w:r>
          </w:p>
        </w:tc>
        <w:tc>
          <w:tcPr>
            <w:tcW w:w="700" w:type="dxa"/>
            <w:vAlign w:val="bottom"/>
            <w:tcBorders>
              <w:bottom w:val="single" w:sz="8" w:color="auto"/>
              <w:right w:val="single" w:sz="8" w:color="auto"/>
            </w:tcBorders>
          </w:tcPr>
          <w:p>
            <w:pPr>
              <w:spacing w:after="0"/>
              <w:rPr>
                <w:sz w:val="20"/>
                <w:szCs w:val="20"/>
                <w:color w:val="auto"/>
              </w:rPr>
            </w:pPr>
          </w:p>
        </w:tc>
      </w:tr>
      <w:tr>
        <w:trPr>
          <w:trHeight w:val="211"/>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PMV</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Sources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Pharmaceuticals,</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4,</w:t>
            </w: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$13,905</w:t>
            </w:r>
          </w:p>
        </w:tc>
      </w:tr>
      <w:tr>
        <w:trPr>
          <w:trHeight w:val="211"/>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PMV</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Claims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Pharmaceuticals,</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March 1,</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POSASR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7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tcBorders>
              <w:bottom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$200,000,000</w:t>
            </w:r>
          </w:p>
        </w:tc>
        <w:tc>
          <w:tcPr>
            <w:tcW w:w="700" w:type="dxa"/>
            <w:vAlign w:val="bottom"/>
            <w:tcBorders>
              <w:bottom w:val="single" w:sz="8" w:color="auto"/>
              <w:right w:val="single" w:sz="8" w:color="auto"/>
            </w:tcBorders>
          </w:tcPr>
          <w:p>
            <w:pPr>
              <w:spacing w:after="0"/>
              <w:rPr>
                <w:sz w:val="22"/>
                <w:szCs w:val="22"/>
                <w:color w:val="auto"/>
              </w:rPr>
            </w:pPr>
          </w:p>
        </w:tc>
      </w:tr>
      <w:tr>
        <w:trPr>
          <w:trHeight w:val="211"/>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PMV</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Sources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Pharmaceuticals,</w:t>
            </w: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March 1,</w:t>
            </w:r>
          </w:p>
        </w:tc>
        <w:tc>
          <w:tcPr>
            <w:tcW w:w="8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POSASR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$22,040</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ind w:left="900" w:right="740" w:hanging="532"/>
        <w:spacing w:after="0" w:line="250"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consists of up to $200,000,000 of an indeterminate number of (a) shares of common stock, (b) shares of preferred stock, (c) debt securities, (d) warrants to purchase common stock, preferred stock or debt securities of the registrant,</w:t>
      </w:r>
    </w:p>
    <w:p>
      <w:pPr>
        <w:ind w:left="900" w:righ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subscription rights to purchase common stock, preferred stock, debt securities, warrants or units consisting of some or all of these securities of the registrant, (f) purchase contracts, and (g)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215" w:lineRule="exact"/>
        <w:rPr>
          <w:rFonts w:ascii="Times New Roman" w:cs="Times New Roman" w:eastAsia="Times New Roman" w:hAnsi="Times New Roman"/>
          <w:sz w:val="18"/>
          <w:szCs w:val="18"/>
          <w:color w:val="auto"/>
        </w:rPr>
      </w:pPr>
    </w:p>
    <w:p>
      <w:pPr>
        <w:ind w:left="900" w:right="500" w:hanging="532"/>
        <w:spacing w:after="0" w:line="266"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202" w:lineRule="exact"/>
        <w:rPr>
          <w:rFonts w:ascii="Times New Roman" w:cs="Times New Roman" w:eastAsia="Times New Roman" w:hAnsi="Times New Roman"/>
          <w:sz w:val="18"/>
          <w:szCs w:val="18"/>
          <w:color w:val="auto"/>
        </w:rPr>
      </w:pPr>
    </w:p>
    <w:p>
      <w:pPr>
        <w:ind w:left="900" w:right="440" w:hanging="532"/>
        <w:spacing w:after="0" w:line="261"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206" w:lineRule="exact"/>
        <w:rPr>
          <w:rFonts w:ascii="Times New Roman" w:cs="Times New Roman" w:eastAsia="Times New Roman" w:hAnsi="Times New Roman"/>
          <w:sz w:val="18"/>
          <w:szCs w:val="18"/>
          <w:color w:val="auto"/>
        </w:rPr>
      </w:pPr>
    </w:p>
    <w:p>
      <w:pPr>
        <w:ind w:left="900" w:right="420" w:hanging="532"/>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some or all of the securities listed above, in any combination, including common stock, preferred stock, debt securities, warrants, purchase contracts and subscription rights.</w:t>
      </w:r>
    </w:p>
    <w:p>
      <w:pPr>
        <w:spacing w:after="0" w:line="188" w:lineRule="exact"/>
        <w:rPr>
          <w:rFonts w:ascii="Times New Roman" w:cs="Times New Roman" w:eastAsia="Times New Roman" w:hAnsi="Times New Roman"/>
          <w:sz w:val="18"/>
          <w:szCs w:val="18"/>
          <w:color w:val="auto"/>
        </w:rPr>
      </w:pPr>
    </w:p>
    <w:p>
      <w:pPr>
        <w:ind w:left="900" w:right="500" w:hanging="532"/>
        <w:spacing w:after="0" w:line="254"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2021, the registrant filed a Registration Statement on Form S-3ASR (File No. 333-260012) (the “Prior Registration Statement”), including a sales agreement prospectus supplement (the “Prior ATM Prospectus Supplement”) covering the offering, issuance and sale by the registrant of up to a maximum aggregate offering price of $150,000,000 of the registrant’s common stock. $36,207,153.60 of securities were sold pursuant to the Prior ATM Prospectus Supplement. The Prior Registration Statement expired on October 4, 2024, and therefore all offerings thereunder have been completed or terminated. As a result, the registrant has $113,792,846.40 of unsold securities and $10,548 in unused filing fees associated with the Prior ATM Prospectus Supplement. In accordance with Rule 457(p) under the Securities Act, the Registrant is using a portion of the unused filing fees associated with the Prior ATM Prospectus Supplement to offset the filing fee payable in connection with this filing.</w:t>
      </w:r>
    </w:p>
    <w:p>
      <w:pPr>
        <w:sectPr>
          <w:pgSz w:w="11900" w:h="16838" w:orient="portrait"/>
          <w:cols w:equalWidth="0" w:num="1">
            <w:col w:w="10920"/>
          </w:cols>
          <w:pgMar w:left="500" w:top="266" w:right="479" w:bottom="1440" w:gutter="0" w:footer="0" w:header="0"/>
        </w:sectPr>
      </w:pPr>
    </w:p>
    <w:bookmarkStart w:id="115" w:name="page116"/>
    <w:bookmarkEnd w:id="115"/>
    <w:p>
      <w:pPr>
        <w:ind w:left="532" w:hanging="532"/>
        <w:spacing w:after="0" w:line="254" w:lineRule="auto"/>
        <w:tabs>
          <w:tab w:leader="none" w:pos="53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March 1, 2023, the registrant filed a Post-Effective Amendment No. 1 to the Prior Registration Statement (the “Prior Post-Effective Amendment”) for the purpose of including disclosure required for a registrant other than a well-known seasoned issuer, identifying the securities being registered, registering up to $200,000,000 of the registrant’s common stock, preferred stock, debt securities, warrants, subscription rights, purchase contracts and units and paying the associated filing fee. Of the $200,000,000 of securities registered with the Prior Post-Effective Amendment, none have been sold. The Prior Registration Statement expired on October 4, 2024, and therefore all offerings thereunder have been completed or terminated. As a result, the registrant has $200,000,000 of unsold securities and $22,040 in unused filing fees associated with the Prior Post-Effective Amendment. In accordance with Rule 457(p) under the Securities Act, the Registrant is using the unused filing fees associated with the Prior Post-Effective Amendment to offset the filing fee payable in connection with this filing.</w:t>
      </w:r>
    </w:p>
    <w:sectPr>
      <w:pgSz w:w="11900" w:h="16838" w:orient="portrait"/>
      <w:cols w:equalWidth="0" w:num="1">
        <w:col w:w="9912"/>
      </w:cols>
      <w:pgMar w:left="868" w:top="27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decimal"/>
      <w:start w:val="609"/>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609"/>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 "/>
      <w:numFmt w:val="bullet"/>
      <w:start w:val="1"/>
    </w:lvl>
  </w:abstractNum>
  <w:abstractNum w:abstractNumId="27">
    <w:nsid w:val="1CF10FD8"/>
    <w:multiLevelType w:val="hybridMultilevel"/>
    <w:lvl w:ilvl="0">
      <w:lvlJc w:val="left"/>
      <w:lvlText w:val=" "/>
      <w:numFmt w:val="bullet"/>
      <w:start w:val="1"/>
    </w:lvl>
  </w:abstractNum>
  <w:abstractNum w:abstractNumId="28">
    <w:nsid w:val="180115BE"/>
    <w:multiLevelType w:val="hybridMultilevel"/>
    <w:lvl w:ilvl="0">
      <w:lvlJc w:val="left"/>
      <w:lvlText w:val="%1"/>
      <w:numFmt w:val="decimal"/>
      <w:start w:val="107"/>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lowerRoman"/>
      <w:start w:val="2"/>
    </w:lvl>
  </w:abstractNum>
  <w:abstractNum w:abstractNumId="32">
    <w:nsid w:val="15B5AF5C"/>
    <w:multiLevelType w:val="hybridMultilevel"/>
    <w:lvl w:ilvl="0">
      <w:lvlJc w:val="left"/>
      <w:lvlText w:val="(%1)"/>
      <w:numFmt w:val="lowerRoman"/>
      <w:start w:val="3"/>
    </w:lvl>
  </w:abstractNum>
  <w:abstractNum w:abstractNumId="33">
    <w:nsid w:val="741226BB"/>
    <w:multiLevelType w:val="hybridMultilevel"/>
    <w:lvl w:ilvl="0">
      <w:lvlJc w:val="left"/>
      <w:lvlText w:val="(%1)"/>
      <w:numFmt w:val="decimal"/>
      <w:start w:val="2"/>
    </w:lvl>
  </w:abstractNum>
  <w:abstractNum w:abstractNumId="34">
    <w:nsid w:val="D34B6A8"/>
    <w:multiLevelType w:val="hybridMultilevel"/>
    <w:lvl w:ilvl="0">
      <w:lvlJc w:val="left"/>
      <w:lvlText w:val="(%1)"/>
      <w:numFmt w:val="lowerRoman"/>
      <w:start w:val="1"/>
    </w:lvl>
  </w:abstractNum>
  <w:abstractNum w:abstractNumId="35">
    <w:nsid w:val="10233C99"/>
    <w:multiLevelType w:val="hybridMultilevel"/>
    <w:lvl w:ilvl="0">
      <w:lvlJc w:val="left"/>
      <w:lvlText w:val="(%1)"/>
      <w:numFmt w:val="decimal"/>
      <w:start w:val="5"/>
    </w:lvl>
  </w:abstractNum>
  <w:abstractNum w:abstractNumId="36">
    <w:nsid w:val="3F6AB60F"/>
    <w:multiLevelType w:val="hybridMultilevel"/>
    <w:lvl w:ilvl="0">
      <w:lvlJc w:val="left"/>
      <w:lvlText w:val="(%1)"/>
      <w:numFmt w:val="lowerRoman"/>
      <w:start w:val="1"/>
    </w:lvl>
  </w:abstractNum>
  <w:abstractNum w:abstractNumId="37">
    <w:nsid w:val="61574095"/>
    <w:multiLevelType w:val="hybridMultilevel"/>
    <w:lvl w:ilvl="0">
      <w:lvlJc w:val="left"/>
      <w:lvlText w:val="(%1)"/>
      <w:numFmt w:val="lowerRoman"/>
      <w:start w:val="2"/>
    </w:lvl>
  </w:abstractNum>
  <w:abstractNum w:abstractNumId="38">
    <w:nsid w:val="7E0C57B1"/>
    <w:multiLevelType w:val="hybridMultilevel"/>
    <w:lvl w:ilvl="0">
      <w:lvlJc w:val="left"/>
      <w:lvlText w:val="(%1)"/>
      <w:numFmt w:val="lowerLetter"/>
      <w:start w:val="2"/>
    </w:lvl>
  </w:abstractNum>
  <w:abstractNum w:abstractNumId="39">
    <w:nsid w:val="77AE35EB"/>
    <w:multiLevelType w:val="hybridMultilevel"/>
    <w:lvl w:ilvl="0">
      <w:lvlJc w:val="left"/>
      <w:lvlText w:val="(%1)"/>
      <w:numFmt w:val="lowerLetter"/>
      <w:start w:val="8"/>
    </w:lvl>
  </w:abstractNum>
  <w:abstractNum w:abstractNumId="40">
    <w:nsid w:val="579BE4F1"/>
    <w:multiLevelType w:val="hybridMultilevel"/>
    <w:lvl w:ilvl="0">
      <w:lvlJc w:val="left"/>
      <w:lvlText w:val="(%1)"/>
      <w:numFmt w:val="lowerLetter"/>
      <w:start w:val="10"/>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lowerLetter"/>
      <w:start w:val="1"/>
    </w:lvl>
  </w:abstractNum>
  <w:abstractNum w:abstractNumId="43">
    <w:nsid w:val="2F305DEF"/>
    <w:multiLevelType w:val="hybridMultilevel"/>
    <w:lvl w:ilvl="0">
      <w:lvlJc w:val="left"/>
      <w:lvlText w:val="(%1)"/>
      <w:numFmt w:val="lowerLetter"/>
      <w:start w:val="2"/>
    </w:lvl>
  </w:abstractNum>
  <w:abstractNum w:abstractNumId="44">
    <w:nsid w:val="25A70BF7"/>
    <w:multiLevelType w:val="hybridMultilevel"/>
    <w:lvl w:ilvl="0">
      <w:lvlJc w:val="left"/>
      <w:lvlText w:val="(%1)"/>
      <w:numFmt w:val="lowerLetter"/>
      <w:start w:val="1"/>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lowerLetter"/>
      <w:start w:val="1"/>
    </w:lvl>
    <w:lvl w:ilvl="1">
      <w:lvlJc w:val="left"/>
      <w:lvlText w:val="(%2)"/>
      <w:numFmt w:val="lowerRoman"/>
      <w:start w:val="1"/>
    </w:lvl>
  </w:abstractNum>
  <w:abstractNum w:abstractNumId="47">
    <w:nsid w:val="1F48EAA1"/>
    <w:multiLevelType w:val="hybridMultilevel"/>
    <w:lvl w:ilvl="0">
      <w:lvlJc w:val="left"/>
      <w:lvlText w:val="%1"/>
      <w:numFmt w:val="lowerLetter"/>
      <w:start w:val="1"/>
    </w:lvl>
    <w:lvl w:ilvl="1">
      <w:lvlJc w:val="left"/>
      <w:lvlText w:val="(%2)"/>
      <w:numFmt w:val="lowerRoman"/>
      <w:start w:val="4"/>
    </w:lvl>
  </w:abstractNum>
  <w:abstractNum w:abstractNumId="48">
    <w:nsid w:val="1381823A"/>
    <w:multiLevelType w:val="hybridMultilevel"/>
    <w:lvl w:ilvl="0">
      <w:lvlJc w:val="left"/>
      <w:lvlText w:val="(%1)"/>
      <w:numFmt w:val="lowerLetter"/>
      <w:start w:val="5"/>
    </w:lvl>
    <w:lvl w:ilvl="1">
      <w:lvlJc w:val="left"/>
      <w:lvlText w:val="(%2)"/>
      <w:numFmt w:val="lowerRoman"/>
      <w:start w:val="1"/>
    </w:lvl>
  </w:abstractNum>
  <w:abstractNum w:abstractNumId="49">
    <w:nsid w:val="5DB70AE5"/>
    <w:multiLevelType w:val="hybridMultilevel"/>
    <w:lvl w:ilvl="0">
      <w:lvlJc w:val="left"/>
      <w:lvlText w:val="(%1)"/>
      <w:numFmt w:val="lowerLetter"/>
      <w:start w:val="6"/>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lowerLetter"/>
      <w:start w:val="2"/>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4"/>
    </w:lvl>
  </w:abstractNum>
  <w:abstractNum w:abstractNumId="55">
    <w:nsid w:val="799D0247"/>
    <w:multiLevelType w:val="hybridMultilevel"/>
    <w:lvl w:ilvl="0">
      <w:lvlJc w:val="left"/>
      <w:lvlText w:val="(%1)"/>
      <w:numFmt w:val="lowerLetter"/>
      <w:start w:val="1"/>
    </w:lvl>
  </w:abstractNum>
  <w:abstractNum w:abstractNumId="56">
    <w:nsid w:val="6B94764"/>
    <w:multiLevelType w:val="hybridMultilevel"/>
    <w:lvl w:ilvl="0">
      <w:lvlJc w:val="left"/>
      <w:lvlText w:val="%1"/>
      <w:numFmt w:val="lowerLetter"/>
      <w:start w:val="1"/>
    </w:lvl>
    <w:lvl w:ilvl="1">
      <w:lvlJc w:val="left"/>
      <w:lvlText w:val="(%2)"/>
      <w:numFmt w:val="lowerRoman"/>
      <w:start w:val="1"/>
    </w:lvl>
  </w:abstractNum>
  <w:abstractNum w:abstractNumId="57">
    <w:nsid w:val="42C296BD"/>
    <w:multiLevelType w:val="hybridMultilevel"/>
    <w:lvl w:ilvl="0">
      <w:lvlJc w:val="left"/>
      <w:lvlText w:val="(%1)"/>
      <w:numFmt w:val="lowerLetter"/>
      <w:start w:val="3"/>
    </w:lvl>
    <w:lvl w:ilvl="1">
      <w:lvlJc w:val="left"/>
      <w:lvlText w:val="(%2)"/>
      <w:numFmt w:val="lowerRoman"/>
      <w:start w:val="1"/>
    </w:lvl>
  </w:abstractNum>
  <w:abstractNum w:abstractNumId="58">
    <w:nsid w:val="168E121F"/>
    <w:multiLevelType w:val="hybridMultilevel"/>
    <w:lvl w:ilvl="0">
      <w:lvlJc w:val="left"/>
      <w:lvlText w:val="(%1)"/>
      <w:numFmt w:val="lowerLetter"/>
      <w:start w:val="8"/>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9"/>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3"/>
    </w:lvl>
  </w:abstractNum>
  <w:abstractNum w:abstractNumId="63">
    <w:nsid w:val="7BD3EE7B"/>
    <w:multiLevelType w:val="hybridMultilevel"/>
    <w:lvl w:ilvl="0">
      <w:lvlJc w:val="left"/>
      <w:lvlText w:val="(%1)"/>
      <w:numFmt w:val="lowerLetter"/>
      <w:start w:val="1"/>
    </w:lvl>
    <w:lvl w:ilvl="1">
      <w:lvlJc w:val="left"/>
      <w:lvlText w:val="(%2)"/>
      <w:numFmt w:val="lowerLetter"/>
      <w:start w:val="9"/>
    </w:lvl>
  </w:abstractNum>
  <w:abstractNum w:abstractNumId="64">
    <w:nsid w:val="51D9C564"/>
    <w:multiLevelType w:val="hybridMultilevel"/>
    <w:lvl w:ilvl="0">
      <w:lvlJc w:val="left"/>
      <w:lvlText w:val="(%1)"/>
      <w:numFmt w:val="lowerRoman"/>
      <w:start w:val="2"/>
    </w:lvl>
    <w:lvl w:ilvl="1">
      <w:lvlJc w:val="left"/>
      <w:lvlText w:val="(%2)"/>
      <w:numFmt w:val="decimal"/>
      <w:start w:val="1"/>
    </w:lvl>
  </w:abstractNum>
  <w:abstractNum w:abstractNumId="65">
    <w:nsid w:val="613EFDC5"/>
    <w:multiLevelType w:val="hybridMultilevel"/>
    <w:lvl w:ilvl="0">
      <w:lvlJc w:val="left"/>
      <w:lvlText w:val="(%1)"/>
      <w:numFmt w:val="lowerLetter"/>
      <w:start w:val="2"/>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2"/>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4"/>
    </w:lvl>
  </w:abstractNum>
  <w:abstractNum w:abstractNumId="70">
    <w:nsid w:val="8F2B15E"/>
    <w:multiLevelType w:val="hybridMultilevel"/>
    <w:lvl w:ilvl="0">
      <w:lvlJc w:val="left"/>
      <w:lvlText w:val="(%1)"/>
      <w:numFmt w:val="lowerLetter"/>
      <w:start w:val="5"/>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7"/>
    </w:lvl>
  </w:abstractNum>
  <w:abstractNum w:abstractNumId="74">
    <w:nsid w:val="4962813B"/>
    <w:multiLevelType w:val="hybridMultilevel"/>
    <w:lvl w:ilvl="0">
      <w:lvlJc w:val="left"/>
      <w:lvlText w:val="%1"/>
      <w:numFmt w:val="lowerLetter"/>
      <w:start w:val="1"/>
    </w:lvl>
    <w:lvl w:ilvl="1">
      <w:lvlJc w:val="left"/>
      <w:lvlText w:val="(%2)"/>
      <w:numFmt w:val="lowerLetter"/>
      <w:start w:val="10"/>
    </w:lvl>
  </w:abstractNum>
  <w:abstractNum w:abstractNumId="75">
    <w:nsid w:val="60B6DF70"/>
    <w:multiLevelType w:val="hybridMultilevel"/>
    <w:lvl w:ilvl="0">
      <w:lvlJc w:val="left"/>
      <w:lvlText w:val="(%1)"/>
      <w:numFmt w:val="lowerLetter"/>
      <w:start w:val="12"/>
    </w:lvl>
    <w:lvl w:ilvl="1">
      <w:lvlJc w:val="left"/>
      <w:lvlText w:val="%2"/>
      <w:numFmt w:val="lowerLetter"/>
      <w:start w:val="1"/>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Roman"/>
      <w:start w:val="1"/>
    </w:lvl>
    <w:lvl w:ilvl="1">
      <w:lvlJc w:val="left"/>
      <w:lvlText w:val="%2."/>
      <w:numFmt w:val="decimal"/>
      <w:start w:val="1"/>
    </w:lvl>
  </w:abstractNum>
  <w:abstractNum w:abstractNumId="80">
    <w:nsid w:val="71EA1109"/>
    <w:multiLevelType w:val="hybridMultilevel"/>
    <w:lvl w:ilvl="0">
      <w:lvlJc w:val="left"/>
      <w:lvlText w:val="(%1)"/>
      <w:numFmt w:val="lowerRoman"/>
      <w:start w:val="2"/>
    </w:lvl>
    <w:lvl w:ilvl="1">
      <w:lvlJc w:val="left"/>
      <w:lvlText w:val="%2."/>
      <w:numFmt w:val="decimal"/>
      <w:start w:val="2"/>
    </w:lvl>
  </w:abstractNum>
  <w:abstractNum w:abstractNumId="81">
    <w:nsid w:val="100F59DC"/>
    <w:multiLevelType w:val="hybridMultilevel"/>
    <w:lvl w:ilvl="0">
      <w:lvlJc w:val="left"/>
      <w:lvlText w:val="(%1)"/>
      <w:numFmt w:val="lowerRoman"/>
      <w:start w:val="1"/>
    </w:lvl>
    <w:lvl w:ilvl="1">
      <w:lvlJc w:val="left"/>
      <w:lvlText w:val="%2"/>
      <w:numFmt w:val="decimal"/>
      <w:start w:val="1"/>
    </w:lvl>
  </w:abstractNum>
  <w:abstractNum w:abstractNumId="82">
    <w:nsid w:val="7FB7E0AA"/>
    <w:multiLevelType w:val="hybridMultilevel"/>
    <w:lvl w:ilvl="0">
      <w:lvlJc w:val="left"/>
      <w:lvlText w:val="%1."/>
      <w:numFmt w:val="decimal"/>
      <w:start w:val="3"/>
    </w:lvl>
  </w:abstractNum>
  <w:abstractNum w:abstractNumId="83">
    <w:nsid w:val="6EB5BD4"/>
    <w:multiLevelType w:val="hybridMultilevel"/>
    <w:lvl w:ilvl="0">
      <w:lvlJc w:val="left"/>
      <w:lvlText w:val="(%1)"/>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jpe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jpe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jpe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jpeg"/><Relationship Id="rId175" Type="http://schemas.openxmlformats.org/officeDocument/2006/relationships/image" Target="media/image153.png"/><Relationship Id="rId176" Type="http://schemas.openxmlformats.org/officeDocument/2006/relationships/image" Target="media/image154.jpeg"/><Relationship Id="rId177" Type="http://schemas.openxmlformats.org/officeDocument/2006/relationships/image" Target="media/image155.png"/><Relationship Id="rId178" Type="http://schemas.openxmlformats.org/officeDocument/2006/relationships/image" Target="media/image156.jpeg"/><Relationship Id="rId179" Type="http://schemas.openxmlformats.org/officeDocument/2006/relationships/image" Target="media/image157.png"/><Relationship Id="rId180" Type="http://schemas.openxmlformats.org/officeDocument/2006/relationships/image" Target="media/image158.jpeg"/><Relationship Id="rId181" Type="http://schemas.openxmlformats.org/officeDocument/2006/relationships/image" Target="media/image159.png"/><Relationship Id="rId182" Type="http://schemas.openxmlformats.org/officeDocument/2006/relationships/image" Target="media/image160.jpeg"/><Relationship Id="rId183" Type="http://schemas.openxmlformats.org/officeDocument/2006/relationships/image" Target="media/image161.png"/><Relationship Id="rId184" Type="http://schemas.openxmlformats.org/officeDocument/2006/relationships/image" Target="media/image162.png"/><Relationship Id="rId55" Type="http://schemas.openxmlformats.org/officeDocument/2006/relationships/hyperlink" Target="http://www.sec.gov/ix?doc=/Archives/edgar/data/1699382/000095017024023062/pmvp-20231231.htm" TargetMode="External"/><Relationship Id="rId56" Type="http://schemas.openxmlformats.org/officeDocument/2006/relationships/hyperlink" Target="http://www.sec.gov/ix?doc=/Archives/edgar/data/1699382/000095017024056295/pmvp-20240331.htm" TargetMode="External"/><Relationship Id="rId57" Type="http://schemas.openxmlformats.org/officeDocument/2006/relationships/hyperlink" Target="http://www.sec.gov/ix?doc=/Archives/edgar/data/1699382/000095017024093343/pmvp-20240630.htm" TargetMode="External"/><Relationship Id="rId58" Type="http://schemas.openxmlformats.org/officeDocument/2006/relationships/hyperlink" Target="http://www.sec.gov/ix?doc=/Archives/edgar/data/1699382/000095017024122817/pmvp-20240930.htm" TargetMode="External"/><Relationship Id="rId59" Type="http://schemas.openxmlformats.org/officeDocument/2006/relationships/hyperlink" Target="http://www.sec.gov/ix?doc=/Archives/edgar/data/1699382/000119312524003348/d104934d8k.htm" TargetMode="External"/><Relationship Id="rId60" Type="http://schemas.openxmlformats.org/officeDocument/2006/relationships/hyperlink" Target="http://www.sec.gov/ix?doc=/Archives/edgar/data/1699382/000119312524010177/d695291d8k.htm" TargetMode="External"/><Relationship Id="rId61" Type="http://schemas.openxmlformats.org/officeDocument/2006/relationships/hyperlink" Target="http://www.sec.gov/ix?doc=/Archives/edgar/data/1699382/000119312524156745/d850099d8k.htm" TargetMode="External"/><Relationship Id="rId62" Type="http://schemas.openxmlformats.org/officeDocument/2006/relationships/hyperlink" Target="http://www.sec.gov/ix?doc=/Archives/edgar/data/1699382/000095017024093345/pmvp-20240805.htm" TargetMode="External"/><Relationship Id="rId63" Type="http://schemas.openxmlformats.org/officeDocument/2006/relationships/hyperlink" Target="http://www.sec.gov/Archives/edgar/data/1699382/000114036124021596/ny20019030x1_def14a.htm" TargetMode="External"/><Relationship Id="rId64" Type="http://schemas.openxmlformats.org/officeDocument/2006/relationships/hyperlink" Target="http://www.sec.gov/Archives/edgar/data/1699382/000119312520250157/d14856d8a12b.htm" TargetMode="External"/><Relationship Id="rId65" Type="http://schemas.openxmlformats.org/officeDocument/2006/relationships/hyperlink" Target="http://www.sec.gov/Archives/edgar/data/1699382/000156459021010578/pmvp-ex41_260.htm" TargetMode="External"/><Relationship Id="rId106" Type="http://schemas.openxmlformats.org/officeDocument/2006/relationships/hyperlink" Target="http://www.sec.gov/Archives/edgar/data/1699382/000119312521290972/d231282dex12.htm" TargetMode="External"/><Relationship Id="rId107" Type="http://schemas.openxmlformats.org/officeDocument/2006/relationships/hyperlink" Target="http://www.sec.gov/Archives/edgar/data/1699382/000119312520257820/d95525dex31.htm" TargetMode="External"/><Relationship Id="rId108" Type="http://schemas.openxmlformats.org/officeDocument/2006/relationships/hyperlink" Target="http://www.sec.gov/Archives/edgar/data/1699382/000095017023020100/pmvp-ex3_3.htm" TargetMode="External"/><Relationship Id="rId109" Type="http://schemas.openxmlformats.org/officeDocument/2006/relationships/hyperlink" Target="http://www.sec.gov/Archives/edgar/data/1699382/000119312520249570/d92247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2024-11-20T07:06:49Z</dcterms:created>
  <dcterms:modified xsi:type="dcterms:W3CDTF">2024-11-20T07:06:49Z</dcterms:modified>
</cp:coreProperties>
</file>