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376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Alland Leila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3.9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353,950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reported in this Form 4 was effected pursuant to a Rule 10b5-1 trading plan adopted by the reporting person on December 30, 2020.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One-fourth of the shares subject to the option vested on December 3, 2020, and one forty-eighth of the shares subject to the option shall vest each month thereafter.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Winston Kung,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3233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511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5216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2021-09-08T15:26:45Z</dcterms:created>
  <dcterms:modified xsi:type="dcterms:W3CDTF">2021-09-08T15:26:45Z</dcterms:modified>
</cp:coreProperties>
</file>