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Heyman Richard A.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2, 2022 or (ii) the day prior to the date of the Issuer's next annual meeting of stockholders.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475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2021-06-09T16:32:13Z</dcterms:created>
  <dcterms:modified xsi:type="dcterms:W3CDTF">2021-06-09T16:32:13Z</dcterms:modified>
</cp:coreProperties>
</file>