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873114ds8.htm"/>
      <w:bookmarkStart w:id="1" w:name="ksd873114ds8"/>
      <w:bookmarkEnd w:id="0"/>
      <w:bookmarkEnd w:id="1"/>
      <w:r>
        <w:rPr>
          <w:rFonts w:ascii="Times New Roman" w:hAnsi="Times New Roman"/>
          <w:b/>
          <w:sz w:val="20"/>
        </w:rPr>
        <w:t xml:space="preserve">As filed with the Securities and Exchange Commission on January 28, 2025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PMV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46-3218129</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400 Alexander Park Drive, Suite 301 </w:t>
      </w:r>
    </w:p>
    <w:p>
      <w:pPr>
        <w:pStyle w:val="TextBody"/>
        <w:bidi w:val="0"/>
        <w:spacing w:before="0" w:after="0"/>
        <w:jc w:val="center"/>
        <w:rPr>
          <w:rFonts w:ascii="Times New Roman" w:hAnsi="Times New Roman"/>
          <w:b/>
          <w:sz w:val="20"/>
        </w:rPr>
      </w:pPr>
      <w:r>
        <w:rPr>
          <w:rFonts w:ascii="Times New Roman" w:hAnsi="Times New Roman"/>
          <w:b/>
          <w:sz w:val="20"/>
        </w:rPr>
        <w:t xml:space="preserve">Princeton, NJ 08540 </w:t>
      </w:r>
    </w:p>
    <w:p>
      <w:pPr>
        <w:pStyle w:val="TextBody"/>
        <w:bidi w:val="0"/>
        <w:spacing w:before="0" w:after="0"/>
        <w:jc w:val="center"/>
        <w:rPr>
          <w:rFonts w:ascii="Times New Roman" w:hAnsi="Times New Roman"/>
          <w:b/>
          <w:sz w:val="20"/>
        </w:rPr>
      </w:pPr>
      <w:r>
        <w:rPr>
          <w:rFonts w:ascii="Times New Roman" w:hAnsi="Times New Roman"/>
          <w:b/>
          <w:sz w:val="20"/>
        </w:rPr>
        <w:t xml:space="preserve">(609) 642-6670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2020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David H. Mack,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400 Alexander Park Drive, Suite 301 </w:t>
      </w:r>
    </w:p>
    <w:p>
      <w:pPr>
        <w:pStyle w:val="TextBody"/>
        <w:bidi w:val="0"/>
        <w:spacing w:before="0" w:after="0"/>
        <w:jc w:val="center"/>
        <w:rPr>
          <w:rFonts w:ascii="Times New Roman" w:hAnsi="Times New Roman"/>
          <w:b/>
          <w:sz w:val="20"/>
        </w:rPr>
      </w:pPr>
      <w:r>
        <w:rPr>
          <w:rFonts w:ascii="Times New Roman" w:hAnsi="Times New Roman"/>
          <w:b/>
          <w:sz w:val="20"/>
        </w:rPr>
        <w:t xml:space="preserve">Princeton, NJ 08540 </w:t>
      </w:r>
    </w:p>
    <w:p>
      <w:pPr>
        <w:pStyle w:val="TextBody"/>
        <w:bidi w:val="0"/>
        <w:spacing w:before="0" w:after="0"/>
        <w:jc w:val="center"/>
        <w:rPr>
          <w:rFonts w:ascii="Times New Roman" w:hAnsi="Times New Roman"/>
          <w:b/>
          <w:sz w:val="20"/>
        </w:rPr>
      </w:pPr>
      <w:r>
        <w:rPr>
          <w:rFonts w:ascii="Times New Roman" w:hAnsi="Times New Roman"/>
          <w:b/>
          <w:sz w:val="20"/>
        </w:rPr>
        <w:t xml:space="preserve">(609) 642-6670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0"/>
        <w:gridCol w:w="4883"/>
      </w:tblGrid>
      <w:tr>
        <w:trPr/>
        <w:tc>
          <w:tcPr>
            <w:tcW w:w="52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0"/>
              <w:jc w:val="center"/>
              <w:rPr>
                <w:rFonts w:ascii="Times New Roman" w:hAnsi="Times New Roman"/>
                <w:b/>
                <w:sz w:val="20"/>
              </w:rPr>
            </w:pPr>
            <w:r>
              <w:rPr>
                <w:rFonts w:ascii="Times New Roman" w:hAnsi="Times New Roman"/>
                <w:b/>
                <w:sz w:val="20"/>
              </w:rPr>
              <w:t>Kenneth A. Clark</w:t>
            </w:r>
          </w:p>
          <w:p>
            <w:pPr>
              <w:pStyle w:val="TableContents"/>
              <w:bidi w:val="0"/>
              <w:spacing w:before="0" w:after="0"/>
              <w:jc w:val="center"/>
              <w:rPr>
                <w:rFonts w:ascii="Times New Roman" w:hAnsi="Times New Roman"/>
                <w:b/>
                <w:sz w:val="20"/>
              </w:rPr>
            </w:pPr>
            <w:r>
              <w:rPr>
                <w:rFonts w:ascii="Times New Roman" w:hAnsi="Times New Roman"/>
                <w:b/>
                <w:sz w:val="20"/>
              </w:rPr>
              <w:t>Tony Jeffries</w:t>
              <w:br/>
              <w:t>Megan J. Baier</w:t>
              <w:b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1301 Avenue of the Americas</w:t>
            </w:r>
          </w:p>
          <w:p>
            <w:pPr>
              <w:pStyle w:val="TableContents"/>
              <w:bidi w:val="0"/>
              <w:spacing w:before="0" w:after="20"/>
              <w:jc w:val="center"/>
              <w:rPr>
                <w:rFonts w:ascii="Times New Roman" w:hAnsi="Times New Roman"/>
                <w:b/>
                <w:sz w:val="20"/>
              </w:rPr>
            </w:pPr>
            <w:r>
              <w:rPr>
                <w:rFonts w:ascii="Times New Roman" w:hAnsi="Times New Roman"/>
                <w:b/>
                <w:sz w:val="20"/>
              </w:rPr>
              <w:t>New York, NY 10019</w:t>
              <w:br/>
              <w:t>(212) 999.5800</w:t>
            </w:r>
          </w:p>
        </w:tc>
        <w:tc>
          <w:tcPr>
            <w:tcW w:w="120"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0"/>
              <w:jc w:val="center"/>
              <w:rPr>
                <w:rFonts w:ascii="Times New Roman" w:hAnsi="Times New Roman"/>
                <w:b/>
                <w:sz w:val="20"/>
              </w:rPr>
            </w:pPr>
            <w:r>
              <w:rPr>
                <w:rFonts w:ascii="Times New Roman" w:hAnsi="Times New Roman"/>
                <w:b/>
                <w:sz w:val="20"/>
              </w:rPr>
              <w:t>Michael Carulli</w:t>
              <w:br/>
              <w:t>Chief Financial Officer</w:t>
              <w:br/>
              <w:t>PMV Pharmaceuticals, Inc.</w:t>
              <w:br/>
              <w:t>400 Alexander Park Drive, Suite 301</w:t>
            </w:r>
          </w:p>
          <w:p>
            <w:pPr>
              <w:pStyle w:val="TableContents"/>
              <w:bidi w:val="0"/>
              <w:spacing w:before="0" w:after="0"/>
              <w:jc w:val="center"/>
              <w:rPr>
                <w:rFonts w:ascii="Times New Roman" w:hAnsi="Times New Roman"/>
                <w:b/>
                <w:sz w:val="20"/>
              </w:rPr>
            </w:pPr>
            <w:r>
              <w:rPr>
                <w:rFonts w:ascii="Times New Roman" w:hAnsi="Times New Roman"/>
                <w:b/>
                <w:sz w:val="20"/>
              </w:rPr>
              <w:t>Princeton, NJ 08540</w:t>
            </w:r>
          </w:p>
          <w:p>
            <w:pPr>
              <w:pStyle w:val="TableContents"/>
              <w:bidi w:val="0"/>
              <w:spacing w:before="0" w:after="20"/>
              <w:jc w:val="center"/>
              <w:rPr>
                <w:rFonts w:ascii="Times New Roman" w:hAnsi="Times New Roman"/>
                <w:b/>
                <w:sz w:val="20"/>
              </w:rPr>
            </w:pPr>
            <w:r>
              <w:rPr>
                <w:rFonts w:ascii="Times New Roman" w:hAnsi="Times New Roman"/>
                <w:b/>
                <w:sz w:val="20"/>
              </w:rPr>
              <w:t>(609) 642-6670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REGISTRATION OF ADDITIONAL SHARES PURSUANT TO GENERAL INSTRUCTION 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is being filed with the Securities and Exchange Commission (the Commission) for the purpose of registering additional securities of the same class as other securities for which a registration statement of PMV Pharmaceuticals, Inc. (the Registrant) on Form S-8 relating to the same employee benefit plans is effective. The number of the Registrants common stock available for grant and issuance under the 2020 Equity Incentive Plan (2020 Plan) is subject to annual increase on the first day of each fiscal year beginning with fiscal year 2021, in an amount equal to the least of (i) 4,406,374 shares, (ii) five percent (5%) of the outstanding shares of the Registrants common stock on the last day of the immediately preceding fiscal year or (iii) such number of shares determined by the 2020 Plan administrator. On January 1, 2025, the number of shares of the Registrants common stock available for grant and issuance under the 2020 Plan increased by 2,596,638 shares. This Registration Statement registers such additional shares of the Registrants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previously registered shares of common stock for issuance under the 2020 Plan and the 2020 Employee Stock Purchase Plan (2020 ESPP) pursuant to (i) a registration statement on Form S-8 (File No. 333-249094) filed with the Commission on September 28, 2020, (ii) a registration statement on Form S-8 (File No. 333-256346) filed with the Commission on May 21, 2021, (iii) a registration statement on Form S-8 (File No. 333-262308) filed with the Commission on January 24, 2022, (iv) a registration statement on Form S-8 (File No. 333-269394) filed with the Commission on January 25, 2023 and (v) a registration statement on Form S-8 (File No. 333-276667) filed with the Commission on January 24, 2024 ((i), (ii), (iii), (iv) and (v), collectively, the Prior Registration Statements). In accordance with General Instruction E to Form S-8, the contents of the Prior Registration Statements are hereby incorporated by reference. In accordance with the instructional note to Part I of Form S-8 promulgated by the Commission, the information specified by Part I of Form S-8 has been omitted from this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hereby incorporates by reference into this Registration Statement the following documents previously filed with the Commission: </w:t>
      </w:r>
    </w:p>
    <w:p>
      <w:pPr>
        <w:pStyle w:val="TextBody"/>
        <w:bidi w:val="0"/>
        <w:spacing w:before="240" w:after="0"/>
        <w:jc w:val="left"/>
        <w:rPr/>
      </w:pPr>
      <w:r>
        <w:rPr>
          <w:rFonts w:ascii="Times New Roman" w:hAnsi="Times New Roman"/>
          <w:sz w:val="20"/>
        </w:rPr>
        <w:t xml:space="preserve">(1) The Registrants Registration Statements on Form S-8 previously filed with the Commission on </w:t>
      </w:r>
      <w:hyperlink r:id="rId2">
        <w:r>
          <w:rPr>
            <w:rStyle w:val="InternetLink"/>
            <w:rFonts w:ascii="Times New Roman" w:hAnsi="Times New Roman"/>
            <w:sz w:val="20"/>
          </w:rPr>
          <w:t>September 28, 2020</w:t>
        </w:r>
      </w:hyperlink>
      <w:r>
        <w:rPr>
          <w:rFonts w:ascii="Times New Roman" w:hAnsi="Times New Roman"/>
          <w:sz w:val="20"/>
        </w:rPr>
        <w:t xml:space="preserve"> (File No.  333-249094), </w:t>
      </w:r>
      <w:hyperlink r:id="rId3">
        <w:r>
          <w:rPr>
            <w:rStyle w:val="InternetLink"/>
            <w:rFonts w:ascii="Times New Roman" w:hAnsi="Times New Roman"/>
            <w:sz w:val="20"/>
          </w:rPr>
          <w:t>May 21, 2021</w:t>
        </w:r>
      </w:hyperlink>
      <w:r>
        <w:rPr>
          <w:rFonts w:ascii="Times New Roman" w:hAnsi="Times New Roman"/>
          <w:sz w:val="20"/>
        </w:rPr>
        <w:t xml:space="preserve"> (File No.  333-256346), </w:t>
      </w:r>
      <w:hyperlink r:id="rId4">
        <w:r>
          <w:rPr>
            <w:rStyle w:val="InternetLink"/>
            <w:rFonts w:ascii="Times New Roman" w:hAnsi="Times New Roman"/>
            <w:sz w:val="20"/>
          </w:rPr>
          <w:t>January 24, 2022</w:t>
        </w:r>
      </w:hyperlink>
      <w:r>
        <w:rPr>
          <w:rFonts w:ascii="Times New Roman" w:hAnsi="Times New Roman"/>
          <w:sz w:val="20"/>
        </w:rPr>
        <w:t xml:space="preserve"> (File No.  333-262308), </w:t>
      </w:r>
      <w:hyperlink r:id="rId5">
        <w:r>
          <w:rPr>
            <w:rStyle w:val="InternetLink"/>
            <w:rFonts w:ascii="Times New Roman" w:hAnsi="Times New Roman"/>
            <w:sz w:val="20"/>
          </w:rPr>
          <w:t>January 25, 2023</w:t>
        </w:r>
      </w:hyperlink>
      <w:r>
        <w:rPr>
          <w:rFonts w:ascii="Times New Roman" w:hAnsi="Times New Roman"/>
          <w:sz w:val="20"/>
        </w:rPr>
        <w:t xml:space="preserve"> (File No.  333-269394) and </w:t>
      </w:r>
      <w:hyperlink r:id="rId6">
        <w:r>
          <w:rPr>
            <w:rStyle w:val="InternetLink"/>
            <w:rFonts w:ascii="Times New Roman" w:hAnsi="Times New Roman"/>
            <w:sz w:val="20"/>
          </w:rPr>
          <w:t>January 24, 2024</w:t>
        </w:r>
      </w:hyperlink>
      <w:r>
        <w:rPr>
          <w:rFonts w:ascii="Times New Roman" w:hAnsi="Times New Roman"/>
          <w:sz w:val="20"/>
        </w:rPr>
        <w:t xml:space="preserve"> (File No. 333-276667); </w:t>
      </w:r>
    </w:p>
    <w:p>
      <w:pPr>
        <w:pStyle w:val="TextBody"/>
        <w:bidi w:val="0"/>
        <w:spacing w:before="240" w:after="0"/>
        <w:jc w:val="left"/>
        <w:rPr/>
      </w:pPr>
      <w:r>
        <w:rPr>
          <w:rFonts w:ascii="Times New Roman" w:hAnsi="Times New Roman"/>
          <w:sz w:val="20"/>
        </w:rPr>
        <w:t xml:space="preserve">(2) The Registrants 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December 31, 2023 (the 2023 Form 10-K), filed with the Commission on February 29, 2024 (File No. 001-39539); </w:t>
      </w:r>
    </w:p>
    <w:p>
      <w:pPr>
        <w:pStyle w:val="TextBody"/>
        <w:bidi w:val="0"/>
        <w:spacing w:before="240" w:after="0"/>
        <w:jc w:val="left"/>
        <w:rPr/>
      </w:pPr>
      <w:r>
        <w:rPr>
          <w:rFonts w:ascii="Times New Roman" w:hAnsi="Times New Roman"/>
          <w:sz w:val="20"/>
        </w:rPr>
        <w:t xml:space="preserve">(3) The information specifically incorporated by reference into the 2023 Form 10-K from the Registrants definitive proxy statement on </w:t>
      </w:r>
      <w:hyperlink r:id="rId8">
        <w:r>
          <w:rPr>
            <w:rStyle w:val="InternetLink"/>
            <w:rFonts w:ascii="Times New Roman" w:hAnsi="Times New Roman"/>
            <w:sz w:val="20"/>
          </w:rPr>
          <w:t>Schedule 14A</w:t>
        </w:r>
      </w:hyperlink>
      <w:r>
        <w:rPr>
          <w:rFonts w:ascii="Times New Roman" w:hAnsi="Times New Roman"/>
          <w:sz w:val="20"/>
        </w:rPr>
        <w:t xml:space="preserve"> filed with the Commission on April 24, 2024 (File No. 001-39539); </w:t>
      </w:r>
    </w:p>
    <w:p>
      <w:pPr>
        <w:pStyle w:val="TextBody"/>
        <w:bidi w:val="0"/>
        <w:spacing w:before="240" w:after="0"/>
        <w:jc w:val="left"/>
        <w:rPr/>
      </w:pPr>
      <w:r>
        <w:rPr>
          <w:rFonts w:ascii="Times New Roman" w:hAnsi="Times New Roman"/>
          <w:sz w:val="20"/>
        </w:rPr>
        <w:t xml:space="preserve">(4) The Registrants Quarterly Report on Form 10-Q for the quarter ended March  31, 2024, filed with the Commission on </w:t>
      </w:r>
      <w:hyperlink r:id="rId9">
        <w:r>
          <w:rPr>
            <w:rStyle w:val="InternetLink"/>
            <w:rFonts w:ascii="Times New Roman" w:hAnsi="Times New Roman"/>
            <w:sz w:val="20"/>
          </w:rPr>
          <w:t>May 9, 2024</w:t>
        </w:r>
      </w:hyperlink>
      <w:r>
        <w:rPr>
          <w:rFonts w:ascii="Times New Roman" w:hAnsi="Times New Roman"/>
          <w:sz w:val="20"/>
        </w:rPr>
        <w:t xml:space="preserve">, the Registrants Quarterly Report on Form 10-Q for the quarter ended June  30, 2024, filed with the Commission on </w:t>
      </w:r>
      <w:hyperlink r:id="rId10">
        <w:r>
          <w:rPr>
            <w:rStyle w:val="InternetLink"/>
            <w:rFonts w:ascii="Times New Roman" w:hAnsi="Times New Roman"/>
            <w:sz w:val="20"/>
          </w:rPr>
          <w:t>August 8, 2024</w:t>
        </w:r>
      </w:hyperlink>
      <w:r>
        <w:rPr>
          <w:rFonts w:ascii="Times New Roman" w:hAnsi="Times New Roman"/>
          <w:sz w:val="20"/>
        </w:rPr>
        <w:t xml:space="preserve"> and the Registrants Quarterly Report on Form 10-Q for the quarter ended September  30, 2024, filed with the Commission on </w:t>
      </w:r>
      <w:hyperlink r:id="rId11">
        <w:r>
          <w:rPr>
            <w:rStyle w:val="InternetLink"/>
            <w:rFonts w:ascii="Times New Roman" w:hAnsi="Times New Roman"/>
            <w:sz w:val="20"/>
          </w:rPr>
          <w:t>November 7, 2024</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(5) The Registrants Current Reports on Form 8-K filed with the Commission on </w:t>
      </w:r>
      <w:hyperlink r:id="rId12">
        <w:r>
          <w:rPr>
            <w:rStyle w:val="InternetLink"/>
            <w:rFonts w:ascii="Times New Roman" w:hAnsi="Times New Roman"/>
            <w:sz w:val="20"/>
          </w:rPr>
          <w:t>January 5, 2024</w:t>
        </w:r>
      </w:hyperlink>
      <w:r>
        <w:rPr>
          <w:rFonts w:ascii="Times New Roman" w:hAnsi="Times New Roman"/>
          <w:sz w:val="20"/>
        </w:rPr>
        <w:t xml:space="preserve">, </w:t>
      </w:r>
      <w:hyperlink r:id="rId13">
        <w:r>
          <w:rPr>
            <w:rStyle w:val="InternetLink"/>
            <w:rFonts w:ascii="Times New Roman" w:hAnsi="Times New Roman"/>
            <w:sz w:val="20"/>
          </w:rPr>
          <w:t>January  18, 2024</w:t>
        </w:r>
      </w:hyperlink>
      <w:r>
        <w:rPr>
          <w:rFonts w:ascii="Times New Roman" w:hAnsi="Times New Roman"/>
          <w:sz w:val="20"/>
        </w:rPr>
        <w:t xml:space="preserve">, </w:t>
      </w:r>
      <w:hyperlink r:id="rId14">
        <w:r>
          <w:rPr>
            <w:rStyle w:val="InternetLink"/>
            <w:rFonts w:ascii="Times New Roman" w:hAnsi="Times New Roman"/>
            <w:sz w:val="20"/>
          </w:rPr>
          <w:t xml:space="preserve">June  7, 2024 </w:t>
        </w:r>
      </w:hyperlink>
      <w:r>
        <w:rPr>
          <w:rFonts w:ascii="Times New Roman" w:hAnsi="Times New Roman"/>
          <w:sz w:val="20"/>
        </w:rPr>
        <w:t xml:space="preserve">and </w:t>
      </w:r>
      <w:hyperlink r:id="rId15">
        <w:r>
          <w:rPr>
            <w:rStyle w:val="InternetLink"/>
            <w:rFonts w:ascii="Times New Roman" w:hAnsi="Times New Roman"/>
            <w:sz w:val="20"/>
          </w:rPr>
          <w:t>August 8, 2024</w:t>
        </w:r>
      </w:hyperlink>
      <w:r>
        <w:rPr>
          <w:rFonts w:ascii="Times New Roman" w:hAnsi="Times New Roman"/>
          <w:sz w:val="20"/>
        </w:rPr>
        <w:t xml:space="preserve"> (other than information furnished rather than filed); </w:t>
      </w:r>
    </w:p>
    <w:p>
      <w:pPr>
        <w:pStyle w:val="TextBody"/>
        <w:bidi w:val="0"/>
        <w:spacing w:before="240" w:after="0"/>
        <w:jc w:val="left"/>
        <w:rPr/>
      </w:pPr>
      <w:r>
        <w:rPr>
          <w:rFonts w:ascii="Times New Roman" w:hAnsi="Times New Roman"/>
          <w:sz w:val="20"/>
        </w:rPr>
        <w:t xml:space="preserve">(6) The description of the Registrants common stock contained in a registration statement on </w:t>
      </w:r>
      <w:hyperlink r:id="rId16">
        <w:r>
          <w:rPr>
            <w:rStyle w:val="InternetLink"/>
            <w:rFonts w:ascii="Times New Roman" w:hAnsi="Times New Roman"/>
            <w:sz w:val="20"/>
          </w:rPr>
          <w:t>Form 8-A</w:t>
        </w:r>
      </w:hyperlink>
      <w:r>
        <w:rPr>
          <w:rFonts w:ascii="Times New Roman" w:hAnsi="Times New Roman"/>
          <w:sz w:val="20"/>
        </w:rPr>
        <w:t xml:space="preserve"> (File No. 001-39539), filed with the Commission on September 21, 2020, pursuant to Section 12(b) of the Securities Exchange Act of 1934, as amended (the Exchange Act), as updated by the description of the Registrants common stock contained in </w:t>
      </w:r>
      <w:hyperlink r:id="rId17">
        <w:r>
          <w:rPr>
            <w:rStyle w:val="InternetLink"/>
            <w:rFonts w:ascii="Times New Roman" w:hAnsi="Times New Roman"/>
            <w:sz w:val="20"/>
          </w:rPr>
          <w:t>Exhibit 4.1</w:t>
        </w:r>
      </w:hyperlink>
      <w:r>
        <w:rPr>
          <w:rFonts w:ascii="Times New Roman" w:hAnsi="Times New Roman"/>
          <w:sz w:val="20"/>
        </w:rPr>
        <w:t xml:space="preserve"> to the Registrants Annual report on Form 10-K for the fiscal year ended December 31, 2020, filed with the Commission on March 3, 2021, including any amendment or report filed for the purpose of updating such description;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8"/>
        <w:gridCol w:w="207"/>
        <w:gridCol w:w="5338"/>
        <w:gridCol w:w="148"/>
        <w:gridCol w:w="60"/>
        <w:gridCol w:w="573"/>
        <w:gridCol w:w="60"/>
        <w:gridCol w:w="148"/>
        <w:gridCol w:w="60"/>
        <w:gridCol w:w="906"/>
        <w:gridCol w:w="60"/>
        <w:gridCol w:w="148"/>
        <w:gridCol w:w="92"/>
        <w:gridCol w:w="684"/>
        <w:gridCol w:w="59"/>
        <w:gridCol w:w="148"/>
        <w:gridCol w:w="60"/>
        <w:gridCol w:w="760"/>
        <w:gridCol w:w="66"/>
      </w:tblGrid>
      <w:tr>
        <w:trPr/>
        <w:tc>
          <w:tcPr>
            <w:tcW w:w="628"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38"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2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33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81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6" w:type="dxa"/>
            <w:tcBorders/>
            <w:vAlign w:val="bottom"/>
          </w:tcPr>
          <w:p>
            <w:pPr>
              <w:pStyle w:val="TableContents"/>
              <w:bidi w:val="0"/>
              <w:spacing w:before="0" w:after="283"/>
              <w:jc w:val="left"/>
              <w:rPr/>
            </w:pPr>
            <w:r>
              <w:rPr/>
              <w:t> </w:t>
            </w:r>
          </w:p>
        </w:tc>
      </w:tr>
      <w:tr>
        <w:trPr/>
        <w:tc>
          <w:tcPr>
            <w:tcW w:w="6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207" w:type="dxa"/>
            <w:tcBorders/>
            <w:vAlign w:val="bottom"/>
          </w:tcPr>
          <w:p>
            <w:pPr>
              <w:pStyle w:val="TableContents"/>
              <w:bidi w:val="0"/>
              <w:spacing w:before="0" w:after="283"/>
              <w:jc w:val="left"/>
              <w:rPr/>
            </w:pPr>
            <w:r>
              <w:rPr/>
              <w:t>  </w:t>
            </w:r>
          </w:p>
        </w:tc>
        <w:tc>
          <w:tcPr>
            <w:tcW w:w="53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48"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4.1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r>
              <w:rPr/>
              <w:t>Amended and Restated Certificate of Incorporation of the Registrant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001-39539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hyperlink r:id="rId18">
              <w:r>
                <w:rPr>
                  <w:rStyle w:val="InternetLink"/>
                </w:rPr>
                <w:t xml:space="preserve">3.1 </w:t>
              </w:r>
            </w:hyperlink>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9/29/2020</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4.2</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r>
              <w:rPr/>
              <w:t>Amended and Restated Bylaws of the Registrant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001-39539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hyperlink r:id="rId19">
              <w:r>
                <w:rPr>
                  <w:rStyle w:val="InternetLink"/>
                </w:rPr>
                <w:t xml:space="preserve">3.3 </w:t>
              </w:r>
            </w:hyperlink>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5/10/2023</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4.3</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r>
              <w:rPr/>
              <w:t>Specimen common stock certificate of the Registrant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333-248627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hyperlink r:id="rId20">
              <w:r>
                <w:rPr>
                  <w:rStyle w:val="InternetLink"/>
                </w:rPr>
                <w:t xml:space="preserve">4.2 </w:t>
              </w:r>
            </w:hyperlink>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9/21/2020</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5.1*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873114dex51.htm">
              <w:r>
                <w:rPr>
                  <w:rStyle w:val="InternetLink"/>
                </w:rPr>
                <w:t xml:space="preserve">Opinion of Wilson Sonsini Goodrich &amp; Rosati, Professional Corporation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23.1*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873114dex231.htm">
              <w:r>
                <w:rPr>
                  <w:rStyle w:val="InternetLink"/>
                </w:rPr>
                <w:t xml:space="preserve">Consent of Independent Registered Public Accounting Firm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23.2*</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873114dex51.htm">
              <w:r>
                <w:rPr>
                  <w:rStyle w:val="InternetLink"/>
                </w:rPr>
                <w:t xml:space="preserve">Consent of Wilson Sonsini Goodrich &amp; Rosati, Professional Corporation (contained in Exhibit 5.1 hereto)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24.1*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sig">
              <w:r>
                <w:rPr>
                  <w:rStyle w:val="InternetLink"/>
                </w:rPr>
                <w:t xml:space="preserve">Power of Attorney (contained on signature page hereto)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99.1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r>
              <w:rPr/>
              <w:t>2020 Equity Incentive Plan and forms of agreements thereunder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333-248627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hyperlink r:id="rId21">
              <w:r>
                <w:rPr>
                  <w:rStyle w:val="InternetLink"/>
                </w:rPr>
                <w:t>10.3</w:t>
              </w:r>
            </w:hyperlink>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9/21/2020</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99.2</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r>
              <w:rPr/>
              <w:t>2020 Employee Stock Purchase Plan and forms of agreements thereunder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333-248627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hyperlink r:id="rId22">
              <w:r>
                <w:rPr>
                  <w:rStyle w:val="InternetLink"/>
                </w:rPr>
                <w:t>10.4</w:t>
              </w:r>
            </w:hyperlink>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9/21/2020</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107*</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873114dexfilingfees.htm">
              <w:r>
                <w:rPr>
                  <w:rStyle w:val="InternetLink"/>
                </w:rPr>
                <w:t xml:space="preserve">Calculation of Filing Fee Table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Princeton, New Jersey, on January 28,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PMV PHARMACEUTICALS, INC.</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 Mack</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tcPr>
          <w:p>
            <w:pPr>
              <w:pStyle w:val="TableContents"/>
              <w:bidi w:val="0"/>
              <w:spacing w:before="0" w:after="283"/>
              <w:jc w:val="left"/>
              <w:rPr/>
            </w:pPr>
            <w:r>
              <w:rPr/>
              <w:t>David H. Mack, Ph.D.</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tcPr>
          <w:p>
            <w:pPr>
              <w:pStyle w:val="TableContents"/>
              <w:bidi w:val="0"/>
              <w:spacing w:before="0" w:after="283"/>
              <w:jc w:val="left"/>
              <w:rPr>
                <w:i/>
              </w:rPr>
            </w:pPr>
            <w:r>
              <w:rPr>
                <w:i/>
              </w:rPr>
              <w:t>President and 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David H. Mack, Ph.D. and Michael Carulli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1"/>
        <w:gridCol w:w="122"/>
        <w:gridCol w:w="3281"/>
        <w:gridCol w:w="122"/>
        <w:gridCol w:w="3139"/>
      </w:tblGrid>
      <w:tr>
        <w:trPr/>
        <w:tc>
          <w:tcPr>
            <w:tcW w:w="354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32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2" w:type="dxa"/>
            <w:tcBorders/>
            <w:vAlign w:val="bottom"/>
          </w:tcPr>
          <w:p>
            <w:pPr>
              <w:pStyle w:val="TableContents"/>
              <w:bidi w:val="0"/>
              <w:spacing w:before="0" w:after="283"/>
              <w:jc w:val="left"/>
              <w:rPr/>
            </w:pPr>
            <w:r>
              <w:rPr/>
              <w:t>  </w:t>
            </w:r>
          </w:p>
        </w:tc>
        <w:tc>
          <w:tcPr>
            <w:tcW w:w="31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H. Mack</w:t>
            </w:r>
          </w:p>
          <w:p>
            <w:pPr>
              <w:pStyle w:val="TableContents"/>
              <w:bidi w:val="0"/>
              <w:spacing w:before="0" w:after="20"/>
              <w:jc w:val="left"/>
              <w:rPr>
                <w:rFonts w:ascii="Times New Roman" w:hAnsi="Times New Roman"/>
                <w:sz w:val="20"/>
              </w:rPr>
            </w:pPr>
            <w:r>
              <w:rPr>
                <w:rFonts w:ascii="Times New Roman" w:hAnsi="Times New Roman"/>
                <w:sz w:val="20"/>
              </w:rPr>
              <w:t>David H. Mack, Ph.D.</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 xml:space="preserve">President, Chief Executive Officer and Director </w:t>
            </w:r>
            <w:r>
              <w:rPr>
                <w:i/>
              </w:rPr>
              <w:t>(Principal Executive Officer)</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Carulli</w:t>
            </w:r>
          </w:p>
          <w:p>
            <w:pPr>
              <w:pStyle w:val="TableContents"/>
              <w:bidi w:val="0"/>
              <w:spacing w:before="0" w:after="20"/>
              <w:jc w:val="left"/>
              <w:rPr>
                <w:rFonts w:ascii="Times New Roman" w:hAnsi="Times New Roman"/>
                <w:sz w:val="20"/>
              </w:rPr>
            </w:pPr>
            <w:r>
              <w:rPr>
                <w:rFonts w:ascii="Times New Roman" w:hAnsi="Times New Roman"/>
                <w:sz w:val="20"/>
              </w:rPr>
              <w:t>Michael Carulli</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Heyman</w:t>
            </w:r>
          </w:p>
          <w:p>
            <w:pPr>
              <w:pStyle w:val="TableContents"/>
              <w:bidi w:val="0"/>
              <w:spacing w:before="0" w:after="20"/>
              <w:jc w:val="left"/>
              <w:rPr>
                <w:rFonts w:ascii="Times New Roman" w:hAnsi="Times New Roman"/>
                <w:sz w:val="20"/>
              </w:rPr>
            </w:pPr>
            <w:r>
              <w:rPr>
                <w:rFonts w:ascii="Times New Roman" w:hAnsi="Times New Roman"/>
                <w:sz w:val="20"/>
              </w:rPr>
              <w:t>Richard Heyman, Ph.D.</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Chair of the Board</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Charles M. Baum</w:t>
            </w:r>
          </w:p>
          <w:p>
            <w:pPr>
              <w:pStyle w:val="TableContents"/>
              <w:bidi w:val="0"/>
              <w:spacing w:before="0" w:after="20"/>
              <w:jc w:val="left"/>
              <w:rPr>
                <w:rFonts w:ascii="Times New Roman" w:hAnsi="Times New Roman"/>
                <w:sz w:val="20"/>
              </w:rPr>
            </w:pPr>
            <w:r>
              <w:rPr>
                <w:rFonts w:ascii="Times New Roman" w:hAnsi="Times New Roman"/>
                <w:sz w:val="20"/>
              </w:rPr>
              <w:t>Charles M. Baum, M.D., Ph.D.</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Arnold Levine</w:t>
            </w:r>
          </w:p>
          <w:p>
            <w:pPr>
              <w:pStyle w:val="TableContents"/>
              <w:bidi w:val="0"/>
              <w:spacing w:before="0" w:after="20"/>
              <w:jc w:val="left"/>
              <w:rPr>
                <w:rFonts w:ascii="Times New Roman" w:hAnsi="Times New Roman"/>
                <w:sz w:val="20"/>
              </w:rPr>
            </w:pPr>
            <w:r>
              <w:rPr>
                <w:rFonts w:ascii="Times New Roman" w:hAnsi="Times New Roman"/>
                <w:sz w:val="20"/>
              </w:rPr>
              <w:t>Arnold Levine, Ph.D.</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Carol Gallagher</w:t>
            </w:r>
          </w:p>
          <w:p>
            <w:pPr>
              <w:pStyle w:val="TableContents"/>
              <w:bidi w:val="0"/>
              <w:spacing w:before="0" w:after="20"/>
              <w:jc w:val="left"/>
              <w:rPr>
                <w:rFonts w:ascii="Times New Roman" w:hAnsi="Times New Roman"/>
                <w:sz w:val="20"/>
              </w:rPr>
            </w:pPr>
            <w:r>
              <w:rPr>
                <w:rFonts w:ascii="Times New Roman" w:hAnsi="Times New Roman"/>
                <w:sz w:val="20"/>
              </w:rPr>
              <w:t>Carol Gallagher, Pharm.D.</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Laurie Stelzer</w:t>
            </w:r>
          </w:p>
          <w:p>
            <w:pPr>
              <w:pStyle w:val="TableContents"/>
              <w:bidi w:val="0"/>
              <w:spacing w:before="0" w:after="20"/>
              <w:jc w:val="left"/>
              <w:rPr>
                <w:rFonts w:ascii="Times New Roman" w:hAnsi="Times New Roman"/>
                <w:sz w:val="20"/>
              </w:rPr>
            </w:pPr>
            <w:r>
              <w:rPr>
                <w:rFonts w:ascii="Times New Roman" w:hAnsi="Times New Roman"/>
                <w:sz w:val="20"/>
              </w:rPr>
              <w:t>Laurie Stelzer</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r>
        <w:trPr>
          <w:trHeight w:val="120" w:hRule="atLeast"/>
        </w:trPr>
        <w:tc>
          <w:tcPr>
            <w:tcW w:w="3541"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r>
      <w:tr>
        <w:trPr/>
        <w:tc>
          <w:tcPr>
            <w:tcW w:w="354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Kirsten Flowers</w:t>
            </w:r>
          </w:p>
          <w:p>
            <w:pPr>
              <w:pStyle w:val="TableContents"/>
              <w:bidi w:val="0"/>
              <w:spacing w:before="0" w:after="20"/>
              <w:jc w:val="left"/>
              <w:rPr>
                <w:rFonts w:ascii="Times New Roman" w:hAnsi="Times New Roman"/>
                <w:sz w:val="20"/>
              </w:rPr>
            </w:pPr>
            <w:r>
              <w:rPr>
                <w:rFonts w:ascii="Times New Roman" w:hAnsi="Times New Roman"/>
                <w:sz w:val="20"/>
              </w:rPr>
              <w:t>Kirsten Flowers</w:t>
            </w:r>
          </w:p>
        </w:tc>
        <w:tc>
          <w:tcPr>
            <w:tcW w:w="122" w:type="dxa"/>
            <w:tcBorders/>
            <w:vAlign w:val="bottom"/>
          </w:tcPr>
          <w:p>
            <w:pPr>
              <w:pStyle w:val="TableContents"/>
              <w:bidi w:val="0"/>
              <w:spacing w:before="0" w:after="283"/>
              <w:jc w:val="left"/>
              <w:rPr/>
            </w:pPr>
            <w:r>
              <w:rPr/>
              <w:t>  </w:t>
            </w:r>
          </w:p>
        </w:tc>
        <w:tc>
          <w:tcPr>
            <w:tcW w:w="3281" w:type="dxa"/>
            <w:tcBorders/>
          </w:tcPr>
          <w:p>
            <w:pPr>
              <w:pStyle w:val="TableContents"/>
              <w:bidi w:val="0"/>
              <w:spacing w:before="0" w:after="283"/>
              <w:jc w:val="left"/>
              <w:rPr/>
            </w:pPr>
            <w:r>
              <w:rPr/>
              <w:t>Director</w:t>
            </w:r>
          </w:p>
        </w:tc>
        <w:tc>
          <w:tcPr>
            <w:tcW w:w="122" w:type="dxa"/>
            <w:tcBorders/>
            <w:vAlign w:val="bottom"/>
          </w:tcPr>
          <w:p>
            <w:pPr>
              <w:pStyle w:val="TableContents"/>
              <w:bidi w:val="0"/>
              <w:spacing w:before="0" w:after="283"/>
              <w:jc w:val="left"/>
              <w:rPr/>
            </w:pPr>
            <w:r>
              <w:rPr/>
              <w:t>  </w:t>
            </w:r>
          </w:p>
        </w:tc>
        <w:tc>
          <w:tcPr>
            <w:tcW w:w="3139" w:type="dxa"/>
            <w:tcBorders/>
          </w:tcPr>
          <w:p>
            <w:pPr>
              <w:pStyle w:val="TableContents"/>
              <w:bidi w:val="0"/>
              <w:spacing w:before="0" w:after="283"/>
              <w:jc w:val="left"/>
              <w:rPr/>
            </w:pPr>
            <w:r>
              <w:rPr/>
              <w:t>January 28, 2025</w:t>
            </w:r>
          </w:p>
        </w:tc>
      </w:tr>
    </w:tbl>
    <w:p>
      <w:pPr>
        <w:pStyle w:val="TextBody"/>
        <w:bidi w:val="0"/>
        <w:spacing w:before="0" w:after="0"/>
        <w:jc w:val="right"/>
        <w:rPr>
          <w:rFonts w:ascii="Times New Roman" w:hAnsi="Times New Roman"/>
          <w:b/>
          <w:sz w:val="20"/>
        </w:rPr>
      </w:pPr>
      <w:bookmarkStart w:id="3" w:name="d873114dex51.htm"/>
      <w:bookmarkStart w:id="4" w:name="ksd873114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7"/>
        <w:gridCol w:w="101"/>
        <w:gridCol w:w="2857"/>
      </w:tblGrid>
      <w:tr>
        <w:trPr/>
        <w:tc>
          <w:tcPr>
            <w:tcW w:w="72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7247" w:type="dxa"/>
            <w:tcBorders/>
          </w:tcPr>
          <w:p>
            <w:pPr>
              <w:pStyle w:val="TableContents"/>
              <w:bidi w:val="0"/>
              <w:spacing w:before="0" w:after="283"/>
              <w:jc w:val="left"/>
              <w:rPr/>
            </w:pPr>
            <w:r>
              <w:rPr/>
              <w:drawing>
                <wp:inline distT="0" distB="0" distL="0" distR="0">
                  <wp:extent cx="1333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3"/>
                          <a:stretch>
                            <a:fillRect/>
                          </a:stretch>
                        </pic:blipFill>
                        <pic:spPr bwMode="auto">
                          <a:xfrm>
                            <a:off x="0" y="0"/>
                            <a:ext cx="1333500" cy="5715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1301 Avenue of the Americas,</w:t>
            </w:r>
          </w:p>
          <w:p>
            <w:pPr>
              <w:pStyle w:val="TableContents"/>
              <w:bidi w:val="0"/>
              <w:spacing w:before="0" w:after="0"/>
              <w:jc w:val="left"/>
              <w:rPr>
                <w:rFonts w:ascii="Times New Roman" w:hAnsi="Times New Roman"/>
                <w:sz w:val="20"/>
              </w:rPr>
            </w:pPr>
            <w:r>
              <w:rPr>
                <w:rFonts w:ascii="Times New Roman" w:hAnsi="Times New Roman"/>
                <w:sz w:val="20"/>
              </w:rPr>
              <w:t>40th Floor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New York, NY 10019-6022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PHONE: 212.999.5800</w:t>
            </w:r>
          </w:p>
          <w:p>
            <w:pPr>
              <w:pStyle w:val="TableContents"/>
              <w:bidi w:val="0"/>
              <w:spacing w:before="0" w:after="20"/>
              <w:jc w:val="left"/>
              <w:rPr>
                <w:rFonts w:ascii="Times New Roman" w:hAnsi="Times New Roman"/>
                <w:sz w:val="20"/>
              </w:rPr>
            </w:pPr>
            <w:r>
              <w:rPr>
                <w:rFonts w:ascii="Times New Roman" w:hAnsi="Times New Roman"/>
                <w:sz w:val="20"/>
              </w:rPr>
              <w:t>FAX: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January 28, 2025 </w:t>
      </w:r>
    </w:p>
    <w:p>
      <w:pPr>
        <w:pStyle w:val="TextBody"/>
        <w:bidi w:val="0"/>
        <w:spacing w:before="24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0" w:after="0"/>
        <w:jc w:val="left"/>
        <w:rPr>
          <w:rFonts w:ascii="Times New Roman" w:hAnsi="Times New Roman"/>
          <w:sz w:val="20"/>
        </w:rPr>
      </w:pPr>
      <w:r>
        <w:rPr>
          <w:rFonts w:ascii="Times New Roman" w:hAnsi="Times New Roman"/>
          <w:sz w:val="20"/>
        </w:rPr>
        <w:t xml:space="preserve">(609) 642-6670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S-8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2,596,638 shares of your common stock, par value $0.00001 per share (the EIP Shares), reserved for issuance pursuant to the 2020 Equity Incentive Plan (the 2020 Plan).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EIP Shares, when issued and sold in the manner referred to in the 2020 Plan and pursuant to the agreements that accompany the 2020 Plan, will be legally and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and any amendments thereto.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WILSON SONSINI GOODRICH &amp; ROSATI</w:t>
            </w:r>
          </w:p>
        </w:tc>
      </w:tr>
      <w:tr>
        <w:trPr/>
        <w:tc>
          <w:tcPr>
            <w:tcW w:w="4082" w:type="dxa"/>
            <w:tcBorders/>
          </w:tcPr>
          <w:p>
            <w:pPr>
              <w:pStyle w:val="TableContents"/>
              <w:bidi w:val="0"/>
              <w:spacing w:before="0" w:after="283"/>
              <w:jc w:val="left"/>
              <w:rPr/>
            </w:pPr>
            <w:r>
              <w:rPr/>
              <w:t>Professional Corporation</w:t>
            </w:r>
          </w:p>
        </w:tc>
      </w:tr>
    </w:tbl>
    <w:p>
      <w:pPr>
        <w:pStyle w:val="TextBody"/>
        <w:bidi w:val="0"/>
        <w:spacing w:before="240" w:after="0"/>
        <w:jc w:val="center"/>
        <w:rPr>
          <w:rFonts w:ascii="Times New Roman" w:hAnsi="Times New Roman"/>
          <w:sz w:val="16"/>
        </w:rPr>
      </w:pPr>
      <w:r>
        <w:rPr>
          <w:rFonts w:ascii="Times New Roman" w:hAnsi="Times New Roman"/>
          <w:sz w:val="16"/>
        </w:rPr>
        <w:t xml:space="preserve">AUSTIN  BEIJING  BOSTON  BOULDER  BRUSSELS  HONG KONG  LONDON  LOS ANGELES  NEW YORK  PALO ALTO </w:t>
      </w:r>
    </w:p>
    <w:p>
      <w:pPr>
        <w:pStyle w:val="TextBody"/>
        <w:bidi w:val="0"/>
        <w:spacing w:before="12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p>
    <w:p>
      <w:pPr>
        <w:pStyle w:val="TextBody"/>
        <w:bidi w:val="0"/>
        <w:spacing w:before="0" w:after="0"/>
        <w:jc w:val="right"/>
        <w:rPr>
          <w:rFonts w:ascii="Times New Roman" w:hAnsi="Times New Roman"/>
          <w:b/>
          <w:sz w:val="20"/>
        </w:rPr>
      </w:pPr>
      <w:bookmarkStart w:id="5" w:name="d873114dex231.htm"/>
      <w:bookmarkStart w:id="6" w:name="ksd873114dex231"/>
      <w:bookmarkEnd w:id="5"/>
      <w:bookmarkEnd w:id="6"/>
      <w:r>
        <w:rPr>
          <w:rFonts w:ascii="Times New Roman" w:hAnsi="Times New Roman"/>
          <w:b/>
          <w:sz w:val="20"/>
        </w:rPr>
        <w:t xml:space="preserve">Exhibit 23.1 </w:t>
      </w:r>
      <w:r>
        <w:br w:type="page"/>
      </w:r>
    </w:p>
    <w:p>
      <w:pPr>
        <w:pStyle w:val="TextBody"/>
        <w:bidi w:val="0"/>
        <w:spacing w:before="36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2020 Equity Incentive Plan and 2020 Employee Stock Purchase Plan of PMV Pharmaceuticals, Inc. of our report dated February 29, 2024, with respect to the financial statements of PMV Pharmaceuticals, Inc. included in its Annual Report (Form 10-K) for the year ended December 31, 2023, filed with the Securities and Exchange Commission.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January 28, 2025 </w:t>
      </w:r>
    </w:p>
    <w:p>
      <w:pPr>
        <w:pStyle w:val="TextBody"/>
        <w:bidi w:val="0"/>
        <w:spacing w:before="0" w:after="0"/>
        <w:jc w:val="right"/>
        <w:rPr>
          <w:rFonts w:ascii="Times New Roman" w:hAnsi="Times New Roman"/>
          <w:b/>
          <w:sz w:val="20"/>
        </w:rPr>
      </w:pPr>
      <w:bookmarkStart w:id="7" w:name="d873114dexfilingfees.htm"/>
      <w:bookmarkStart w:id="8" w:name="ksd873114dexfilingfees"/>
      <w:bookmarkEnd w:id="7"/>
      <w:bookmarkEnd w:id="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 Newly Registered Securities </w:t>
      </w:r>
    </w:p>
    <w:p>
      <w:pPr>
        <w:pStyle w:val="TextBody"/>
        <w:bidi w:val="0"/>
        <w:spacing w:before="0" w:after="0"/>
        <w:jc w:val="left"/>
        <w:rPr/>
      </w:pPr>
      <w:r>
        <w:rPr/>
        <w:t> </w:t>
      </w:r>
    </w:p>
    <w:tbl>
      <w:tblPr>
        <w:tblW w:w="9700" w:type="dxa"/>
        <w:jc w:val="center"/>
        <w:tblInd w:w="0" w:type="dxa"/>
        <w:tblLayout w:type="fixed"/>
        <w:tblCellMar>
          <w:top w:w="0" w:type="dxa"/>
          <w:left w:w="0" w:type="dxa"/>
          <w:bottom w:w="0" w:type="dxa"/>
          <w:right w:w="0" w:type="dxa"/>
        </w:tblCellMar>
      </w:tblPr>
      <w:tblGrid>
        <w:gridCol w:w="800"/>
        <w:gridCol w:w="60"/>
        <w:gridCol w:w="1565"/>
        <w:gridCol w:w="60"/>
        <w:gridCol w:w="1100"/>
        <w:gridCol w:w="60"/>
        <w:gridCol w:w="1100"/>
        <w:gridCol w:w="60"/>
        <w:gridCol w:w="995"/>
        <w:gridCol w:w="60"/>
        <w:gridCol w:w="1400"/>
        <w:gridCol w:w="60"/>
        <w:gridCol w:w="1160"/>
        <w:gridCol w:w="60"/>
        <w:gridCol w:w="11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vAlign w:val="bottom"/>
          </w:tcPr>
          <w:p>
            <w:pPr>
              <w:pStyle w:val="TableContents"/>
              <w:bidi w:val="0"/>
              <w:spacing w:before="0" w:after="283"/>
              <w:jc w:val="center"/>
              <w:rPr/>
            </w:pPr>
            <w:r>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center"/>
              <w:rPr/>
            </w:pPr>
            <w:r>
              <w:rPr/>
              <w:t>Common Stock, $0.00001 par value per share, reserved for issuance pursuant to the 2020 Equity Incentive Plan</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457(c) and 457(h)</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2,596,638(2)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tcPr>
          <w:p>
            <w:pPr>
              <w:pStyle w:val="TableContents"/>
              <w:bidi w:val="0"/>
              <w:spacing w:before="0" w:after="283"/>
              <w:jc w:val="center"/>
              <w:rPr/>
            </w:pPr>
            <w:r>
              <w:rPr/>
              <w:t>$1.35(3)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pPr>
            <w:r>
              <w:rPr/>
              <w:t>$3,505,461.30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$153.10 per $1,000,000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tcPr>
          <w:p>
            <w:pPr>
              <w:pStyle w:val="TableContents"/>
              <w:bidi w:val="0"/>
              <w:spacing w:before="0" w:after="283"/>
              <w:jc w:val="center"/>
              <w:rPr/>
            </w:pPr>
            <w:r>
              <w:rPr/>
              <w:t>$536.69</w:t>
            </w:r>
          </w:p>
        </w:tc>
      </w:tr>
      <w:tr>
        <w:trPr>
          <w:trHeight w:val="15" w:hRule="atLeast"/>
        </w:trPr>
        <w:tc>
          <w:tcPr>
            <w:tcW w:w="474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45"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$3,505,461.30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$536.69</w:t>
            </w:r>
          </w:p>
        </w:tc>
      </w:tr>
      <w:tr>
        <w:trPr>
          <w:trHeight w:val="15" w:hRule="atLeast"/>
        </w:trPr>
        <w:tc>
          <w:tcPr>
            <w:tcW w:w="474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45" w:type="dxa"/>
            <w:gridSpan w:val="7"/>
            <w:tcBorders>
              <w:left w:val="single" w:sz="2" w:space="0" w:color="000000"/>
            </w:tcBorders>
            <w:tcMar>
              <w:left w:w="160" w:type="dxa"/>
            </w:tcMar>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474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45"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$536.69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under the Securities Act of 1933, as amended (the Securities Act), this Registration Statement shall cover any additional shares of the Registrants common stock that become issuable under the 2020 Equity Incentive Plan (the 2020 Plan) by reason of any stock dividend, stock split, recapitalization, or other similar transaction effected without receipt of consideration that increases the number of the Registrants outstanding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automatic annual increase on January 1, 2025 equal to 5% of the total number of shares of the Registrants common stock outstanding on December 31 of the preceding year, which annual increase is provided for in the 2020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in accordance with Rule 457(c) and 457(h) solely for the purpose of calculating the registration fee on the basis of $1.35 per share, which represents the average of the high and low prices of the Registrants common stock as reported on the Nasdaq Global Select Market on January 21, 2025.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99382/000119312520256300/d87446ds8.htm" TargetMode="External"/><Relationship Id="rId3" Type="http://schemas.openxmlformats.org/officeDocument/2006/relationships/hyperlink" Target="http://www.sec.gov/Archives/edgar/data/1699382/000119312521168601/d156441ds8.htm" TargetMode="External"/><Relationship Id="rId4" Type="http://schemas.openxmlformats.org/officeDocument/2006/relationships/hyperlink" Target="http://www.sec.gov/Archives/edgar/data/1699382/000119312522016010/d301122ds8.htm" TargetMode="External"/><Relationship Id="rId5" Type="http://schemas.openxmlformats.org/officeDocument/2006/relationships/hyperlink" Target="http://www.sec.gov/Archives/edgar/data/1699382/000119312523014435/d403423ds8.htm" TargetMode="External"/><Relationship Id="rId6" Type="http://schemas.openxmlformats.org/officeDocument/2006/relationships/hyperlink" Target="http://www.sec.gov/Archives/edgar/data/1699382/000119312524013722/d740071ds8.htm" TargetMode="External"/><Relationship Id="rId7" Type="http://schemas.openxmlformats.org/officeDocument/2006/relationships/hyperlink" Target="http://www.sec.gov/Archives/edgar/data/../../../ix?doc=/Archives/edgar/data/0001699382/000095017024023062/pmvp-20231231.htm" TargetMode="External"/><Relationship Id="rId8" Type="http://schemas.openxmlformats.org/officeDocument/2006/relationships/hyperlink" Target="http://www.sec.gov/Archives/edgar/data/1699382/000114036124021596/ny20019030x1_def14a.htm" TargetMode="External"/><Relationship Id="rId9" Type="http://schemas.openxmlformats.org/officeDocument/2006/relationships/hyperlink" Target="http://www.sec.gov/Archives/edgar/data/../../../ix?doc=/Archives/edgar/data/0001699382/000095017024056295/pmvp-20240331.htm" TargetMode="External"/><Relationship Id="rId10" Type="http://schemas.openxmlformats.org/officeDocument/2006/relationships/hyperlink" Target="http://www.sec.gov/Archives/edgar/data/../../../ix?doc=/Archives/edgar/data/0001699382/000095017024093343/pmvp-20240630.htm" TargetMode="External"/><Relationship Id="rId11" Type="http://schemas.openxmlformats.org/officeDocument/2006/relationships/hyperlink" Target="http://www.sec.gov/Archives/edgar/data/../../../ix?doc=/Archives/edgar/data/0001699382/000095017024122817/pmvp-20240930.htm" TargetMode="External"/><Relationship Id="rId12" Type="http://schemas.openxmlformats.org/officeDocument/2006/relationships/hyperlink" Target="http://www.sec.gov/Archives/edgar/data/../../../ix?doc=/Archives/edgar/data/0001699382/000119312524003348/d104934d8k.htm" TargetMode="External"/><Relationship Id="rId13" Type="http://schemas.openxmlformats.org/officeDocument/2006/relationships/hyperlink" Target="http://www.sec.gov/Archives/edgar/data/../../../ix?doc=/Archives/edgar/data/0001699382/000119312524010177/d695291d8k.htm" TargetMode="External"/><Relationship Id="rId14" Type="http://schemas.openxmlformats.org/officeDocument/2006/relationships/hyperlink" Target="http://www.sec.gov/Archives/edgar/data/../../../ix?doc=/Archives/edgar/data/0001699382/000119312524156745/d850099d8k.htm" TargetMode="External"/><Relationship Id="rId15" Type="http://schemas.openxmlformats.org/officeDocument/2006/relationships/hyperlink" Target="http://www.sec.gov/Archives/edgar/data/../../../ix?doc=/Archives/edgar/data/0001699382/000095017024093345/pmvp-20240805.htm" TargetMode="External"/><Relationship Id="rId16" Type="http://schemas.openxmlformats.org/officeDocument/2006/relationships/hyperlink" Target="http://www.sec.gov/Archives/edgar/data/1699382/000119312520250157/d14856d8a12b.htm" TargetMode="External"/><Relationship Id="rId17" Type="http://schemas.openxmlformats.org/officeDocument/2006/relationships/hyperlink" Target="http://www.sec.gov/Archives/edgar/data/1699382/000156459021010578/pmvp-ex41_260.htm" TargetMode="External"/><Relationship Id="rId18" Type="http://schemas.openxmlformats.org/officeDocument/2006/relationships/hyperlink" Target="http://www.sec.gov/Archives/edgar/data/1699382/000119312520257820/d95525dex31.htm" TargetMode="External"/><Relationship Id="rId19" Type="http://schemas.openxmlformats.org/officeDocument/2006/relationships/hyperlink" Target="http://www.sec.gov/Archives/edgar/data/1699382/000095017023020100/pmvp-ex3_3.htm" TargetMode="External"/><Relationship Id="rId20" Type="http://schemas.openxmlformats.org/officeDocument/2006/relationships/hyperlink" Target="http://www.sec.gov/Archives/edgar/data/1699382/000119312520249570/d922470dex42.htm" TargetMode="External"/><Relationship Id="rId21" Type="http://schemas.openxmlformats.org/officeDocument/2006/relationships/hyperlink" Target="http://www.sec.gov/Archives/edgar/data/1699382/000119312520249570/d922470dex103.htm" TargetMode="External"/><Relationship Id="rId22" Type="http://schemas.openxmlformats.org/officeDocument/2006/relationships/hyperlink" Target="http://www.sec.gov/Archives/edgar/data/1699382/000119312520249570/d922470dex104.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2400</Words>
  <Characters>12609</Characters>
  <CharactersWithSpaces>15123</CharactersWithSpaces>
  <Paragraphs>473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