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120"/>
        <w:spacing w:after="0"/>
        <w:rPr>
          <w:sz w:val="20"/>
          <w:szCs w:val="20"/>
          <w:color w:val="auto"/>
        </w:rPr>
      </w:pPr>
      <w:r>
        <w:rPr>
          <w:rFonts w:ascii="Arial" w:cs="Arial" w:eastAsia="Arial" w:hAnsi="Arial"/>
          <w:sz w:val="18"/>
          <w:szCs w:val="18"/>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5380990</wp:posOffset>
            </wp:positionH>
            <wp:positionV relativeFrom="paragraph">
              <wp:posOffset>-130175</wp:posOffset>
            </wp:positionV>
            <wp:extent cx="1620520"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0520" cy="728980"/>
                    </a:xfrm>
                    <a:prstGeom prst="rect">
                      <a:avLst/>
                    </a:prstGeom>
                    <a:noFill/>
                  </pic:spPr>
                </pic:pic>
              </a:graphicData>
            </a:graphic>
          </wp:anchor>
        </w:drawing>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8480" w:type="dxa"/>
            <w:vAlign w:val="bottom"/>
          </w:tcPr>
          <w:p>
            <w:pPr>
              <w:spacing w:after="0"/>
              <w:rPr>
                <w:sz w:val="19"/>
                <w:szCs w:val="19"/>
                <w:color w:val="auto"/>
              </w:rPr>
            </w:pPr>
          </w:p>
        </w:tc>
        <w:tc>
          <w:tcPr>
            <w:tcW w:w="1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OMB Number:</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3235-0145</w:t>
            </w:r>
          </w:p>
        </w:tc>
      </w:tr>
      <w:tr>
        <w:trPr>
          <w:trHeight w:val="210"/>
        </w:trPr>
        <w:tc>
          <w:tcPr>
            <w:tcW w:w="8480" w:type="dxa"/>
            <w:vAlign w:val="bottom"/>
          </w:tcPr>
          <w:p>
            <w:pPr>
              <w:spacing w:after="0"/>
              <w:rPr>
                <w:sz w:val="18"/>
                <w:szCs w:val="18"/>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Expires:</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February 28, 2010</w:t>
            </w:r>
          </w:p>
        </w:tc>
      </w:tr>
      <w:tr>
        <w:trPr>
          <w:trHeight w:val="195"/>
        </w:trPr>
        <w:tc>
          <w:tcPr>
            <w:tcW w:w="8480" w:type="dxa"/>
            <w:vAlign w:val="bottom"/>
          </w:tcPr>
          <w:p>
            <w:pPr>
              <w:spacing w:after="0"/>
              <w:rPr>
                <w:sz w:val="16"/>
                <w:szCs w:val="16"/>
                <w:color w:val="auto"/>
              </w:rPr>
            </w:pPr>
          </w:p>
        </w:tc>
        <w:tc>
          <w:tcPr>
            <w:tcW w:w="2540" w:type="dxa"/>
            <w:vAlign w:val="bottom"/>
            <w:gridSpan w:val="3"/>
          </w:tcPr>
          <w:p>
            <w:pPr>
              <w:ind w:left="160"/>
              <w:spacing w:after="0" w:line="195" w:lineRule="exact"/>
              <w:rPr>
                <w:sz w:val="20"/>
                <w:szCs w:val="20"/>
                <w:color w:val="auto"/>
              </w:rPr>
            </w:pPr>
            <w:r>
              <w:rPr>
                <w:rFonts w:ascii="Arial" w:cs="Arial" w:eastAsia="Arial" w:hAnsi="Arial"/>
                <w:sz w:val="18"/>
                <w:szCs w:val="18"/>
                <w:color w:val="auto"/>
              </w:rPr>
              <w:t>Estimated average burden</w:t>
            </w:r>
          </w:p>
        </w:tc>
      </w:tr>
      <w:tr>
        <w:trPr>
          <w:trHeight w:val="230"/>
        </w:trPr>
        <w:tc>
          <w:tcPr>
            <w:tcW w:w="8480" w:type="dxa"/>
            <w:vAlign w:val="bottom"/>
          </w:tcPr>
          <w:p>
            <w:pPr>
              <w:spacing w:after="0"/>
              <w:rPr>
                <w:sz w:val="20"/>
                <w:szCs w:val="20"/>
                <w:color w:val="auto"/>
              </w:rPr>
            </w:pPr>
          </w:p>
        </w:tc>
        <w:tc>
          <w:tcPr>
            <w:tcW w:w="1600" w:type="dxa"/>
            <w:vAlign w:val="bottom"/>
            <w:gridSpan w:val="2"/>
          </w:tcPr>
          <w:p>
            <w:pPr>
              <w:ind w:left="160"/>
              <w:spacing w:after="0"/>
              <w:rPr>
                <w:sz w:val="20"/>
                <w:szCs w:val="20"/>
                <w:color w:val="auto"/>
              </w:rPr>
            </w:pPr>
            <w:r>
              <w:rPr>
                <w:rFonts w:ascii="Arial" w:cs="Arial" w:eastAsia="Arial" w:hAnsi="Arial"/>
                <w:sz w:val="18"/>
                <w:szCs w:val="18"/>
                <w:color w:val="auto"/>
                <w:w w:val="91"/>
              </w:rPr>
              <w:t>hours per response</w:t>
            </w:r>
          </w:p>
        </w:tc>
        <w:tc>
          <w:tcPr>
            <w:tcW w:w="9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8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48"/>
        </w:trPr>
        <w:tc>
          <w:tcPr>
            <w:tcW w:w="84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bl>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20"/>
        <w:spacing w:after="0"/>
        <w:tabs>
          <w:tab w:leader="none" w:pos="400" w:val="left"/>
          <w:tab w:leader="none" w:pos="40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22"/>
          <w:szCs w:val="22"/>
          <w:b w:val="1"/>
          <w:bCs w:val="1"/>
          <w:color w:val="auto"/>
        </w:rPr>
        <w:t>1</w:t>
      </w:r>
      <w:r>
        <w:rPr>
          <w:sz w:val="20"/>
          <w:szCs w:val="20"/>
          <w:color w:val="auto"/>
        </w:rPr>
        <w:tab/>
      </w: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3754120</wp:posOffset>
            </wp:positionH>
            <wp:positionV relativeFrom="paragraph">
              <wp:posOffset>-29210</wp:posOffset>
            </wp:positionV>
            <wp:extent cx="6172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PMV Pharmaceuticals,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69353Y 103</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right="8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47" w:right="43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34"/>
        </w:trPr>
        <w:tc>
          <w:tcPr>
            <w:tcW w:w="17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Cusip No. 69353Y 103</w:t>
            </w:r>
          </w:p>
        </w:tc>
        <w:tc>
          <w:tcPr>
            <w:tcW w:w="120" w:type="dxa"/>
            <w:vAlign w:val="bottom"/>
          </w:tcPr>
          <w:p>
            <w:pPr>
              <w:spacing w:after="0"/>
              <w:rPr>
                <w:sz w:val="20"/>
                <w:szCs w:val="20"/>
                <w:color w:val="auto"/>
              </w:rPr>
            </w:pPr>
          </w:p>
        </w:tc>
        <w:tc>
          <w:tcPr>
            <w:tcW w:w="5540" w:type="dxa"/>
            <w:vAlign w:val="bottom"/>
          </w:tcPr>
          <w:p>
            <w:pPr>
              <w:ind w:left="3740"/>
              <w:spacing w:after="0"/>
              <w:rPr>
                <w:sz w:val="20"/>
                <w:szCs w:val="20"/>
                <w:color w:val="auto"/>
              </w:rPr>
            </w:pPr>
            <w:r>
              <w:rPr>
                <w:rFonts w:ascii="Arial" w:cs="Arial" w:eastAsia="Arial" w:hAnsi="Arial"/>
                <w:sz w:val="18"/>
                <w:szCs w:val="18"/>
                <w:b w:val="1"/>
                <w:bCs w:val="1"/>
                <w:color w:val="auto"/>
              </w:rPr>
              <w:t>13G</w:t>
            </w:r>
          </w:p>
        </w:tc>
        <w:tc>
          <w:tcPr>
            <w:tcW w:w="3540" w:type="dxa"/>
            <w:vAlign w:val="bottom"/>
          </w:tcPr>
          <w:p>
            <w:pPr>
              <w:ind w:left="240"/>
              <w:spacing w:after="0"/>
              <w:rPr>
                <w:sz w:val="20"/>
                <w:szCs w:val="20"/>
                <w:color w:val="auto"/>
              </w:rPr>
            </w:pPr>
            <w:r>
              <w:rPr>
                <w:rFonts w:ascii="Arial" w:cs="Arial" w:eastAsia="Arial" w:hAnsi="Arial"/>
                <w:sz w:val="18"/>
                <w:szCs w:val="18"/>
                <w:b w:val="1"/>
                <w:bCs w:val="1"/>
                <w:color w:val="auto"/>
              </w:rPr>
              <w:t>Page 2 of 9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5540" w:type="dxa"/>
            <w:vAlign w:val="bottom"/>
            <w:tcBorders>
              <w:bottom w:val="single" w:sz="8" w:color="auto"/>
            </w:tcBorders>
          </w:tcPr>
          <w:p>
            <w:pPr>
              <w:spacing w:after="0"/>
              <w:rPr>
                <w:sz w:val="12"/>
                <w:szCs w:val="12"/>
                <w:color w:val="auto"/>
              </w:rPr>
            </w:pPr>
          </w:p>
        </w:tc>
        <w:tc>
          <w:tcPr>
            <w:tcW w:w="35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right w:val="single" w:sz="8" w:color="auto"/>
            </w:tcBorders>
          </w:tcPr>
          <w:p>
            <w:pPr>
              <w:spacing w:after="0"/>
              <w:rPr>
                <w:sz w:val="19"/>
                <w:szCs w:val="19"/>
                <w:color w:val="auto"/>
              </w:rPr>
            </w:pPr>
          </w:p>
        </w:tc>
        <w:tc>
          <w:tcPr>
            <w:tcW w:w="6940" w:type="dxa"/>
            <w:vAlign w:val="bottom"/>
            <w:gridSpan w:val="4"/>
          </w:tcPr>
          <w:p>
            <w:pPr>
              <w:ind w:left="180"/>
              <w:spacing w:after="0"/>
              <w:rPr>
                <w:sz w:val="20"/>
                <w:szCs w:val="20"/>
                <w:color w:val="auto"/>
              </w:rPr>
            </w:pPr>
            <w:r>
              <w:rPr>
                <w:rFonts w:ascii="Arial" w:cs="Arial" w:eastAsia="Arial" w:hAnsi="Arial"/>
                <w:sz w:val="18"/>
                <w:szCs w:val="18"/>
                <w:color w:val="auto"/>
              </w:rPr>
              <w:t>NAME OF REPORTING PERSONS</w:t>
            </w:r>
          </w:p>
        </w:tc>
        <w:tc>
          <w:tcPr>
            <w:tcW w:w="3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94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b w:val="1"/>
                <w:bCs w:val="1"/>
                <w:color w:val="auto"/>
              </w:rPr>
              <w:t>InterWest Partners X, LP (“IWP X”)</w:t>
            </w:r>
          </w:p>
        </w:tc>
        <w:tc>
          <w:tcPr>
            <w:tcW w:w="3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right w:val="single" w:sz="8" w:color="auto"/>
            </w:tcBorders>
          </w:tcPr>
          <w:p>
            <w:pPr>
              <w:spacing w:after="0"/>
              <w:rPr>
                <w:sz w:val="20"/>
                <w:szCs w:val="20"/>
                <w:color w:val="auto"/>
              </w:rPr>
            </w:pPr>
          </w:p>
        </w:tc>
        <w:tc>
          <w:tcPr>
            <w:tcW w:w="6940" w:type="dxa"/>
            <w:vAlign w:val="bottom"/>
            <w:gridSpan w:val="4"/>
          </w:tcPr>
          <w:p>
            <w:pPr>
              <w:ind w:left="180"/>
              <w:spacing w:after="0"/>
              <w:rPr>
                <w:sz w:val="20"/>
                <w:szCs w:val="20"/>
                <w:color w:val="auto"/>
              </w:rPr>
            </w:pPr>
            <w:r>
              <w:rPr>
                <w:rFonts w:ascii="Arial" w:cs="Arial" w:eastAsia="Arial" w:hAnsi="Arial"/>
                <w:sz w:val="18"/>
                <w:szCs w:val="18"/>
                <w:color w:val="auto"/>
              </w:rPr>
              <w:t>CHECK THE APPROPRIATE BOX IF A MEMBER OF A GROUP</w:t>
            </w:r>
          </w:p>
        </w:tc>
        <w:tc>
          <w:tcPr>
            <w:tcW w:w="3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2"/>
          </w:tcPr>
          <w:p>
            <w:pPr>
              <w:ind w:left="180"/>
              <w:spacing w:after="0" w:line="207" w:lineRule="exact"/>
              <w:rPr>
                <w:sz w:val="20"/>
                <w:szCs w:val="20"/>
                <w:color w:val="auto"/>
              </w:rPr>
            </w:pPr>
            <w:r>
              <w:rPr>
                <w:rFonts w:ascii="Arial" w:cs="Arial" w:eastAsia="Arial" w:hAnsi="Arial"/>
                <w:sz w:val="18"/>
                <w:szCs w:val="18"/>
                <w:color w:val="auto"/>
                <w:w w:val="99"/>
              </w:rPr>
              <w:t xml:space="preserve">(a) </w:t>
            </w:r>
            <w:r>
              <w:rPr>
                <w:rFonts w:ascii="MS PGothic" w:cs="MS PGothic" w:eastAsia="MS PGothic" w:hAnsi="MS PGothic"/>
                <w:sz w:val="18"/>
                <w:szCs w:val="18"/>
                <w:color w:val="auto"/>
                <w:w w:val="99"/>
              </w:rPr>
              <w:t>☐</w:t>
            </w:r>
            <w:r>
              <w:rPr>
                <w:rFonts w:ascii="Arial" w:cs="Arial" w:eastAsia="Arial" w:hAnsi="Arial"/>
                <w:sz w:val="18"/>
                <w:szCs w:val="18"/>
                <w:color w:val="auto"/>
                <w:w w:val="99"/>
              </w:rPr>
              <w:t>(b)</w:t>
            </w:r>
          </w:p>
        </w:tc>
        <w:tc>
          <w:tcPr>
            <w:tcW w:w="5660" w:type="dxa"/>
            <w:vAlign w:val="bottom"/>
            <w:tcBorders>
              <w:bottom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right w:val="single" w:sz="8" w:color="auto"/>
            </w:tcBorders>
          </w:tcPr>
          <w:p>
            <w:pPr>
              <w:spacing w:after="0"/>
              <w:rPr>
                <w:sz w:val="19"/>
                <w:szCs w:val="19"/>
                <w:color w:val="auto"/>
              </w:rPr>
            </w:pPr>
          </w:p>
        </w:tc>
        <w:tc>
          <w:tcPr>
            <w:tcW w:w="6940" w:type="dxa"/>
            <w:vAlign w:val="bottom"/>
            <w:gridSpan w:val="4"/>
          </w:tcPr>
          <w:p>
            <w:pPr>
              <w:ind w:left="180"/>
              <w:spacing w:after="0"/>
              <w:rPr>
                <w:sz w:val="20"/>
                <w:szCs w:val="20"/>
                <w:color w:val="auto"/>
              </w:rPr>
            </w:pPr>
            <w:r>
              <w:rPr>
                <w:rFonts w:ascii="Arial" w:cs="Arial" w:eastAsia="Arial" w:hAnsi="Arial"/>
                <w:sz w:val="18"/>
                <w:szCs w:val="18"/>
                <w:color w:val="auto"/>
              </w:rPr>
              <w:t>SEC USE ONLY</w:t>
            </w:r>
          </w:p>
        </w:tc>
        <w:tc>
          <w:tcPr>
            <w:tcW w:w="3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5540" w:type="dxa"/>
            <w:vAlign w:val="bottom"/>
            <w:tcBorders>
              <w:bottom w:val="single" w:sz="8" w:color="auto"/>
            </w:tcBorders>
          </w:tcPr>
          <w:p>
            <w:pPr>
              <w:spacing w:after="0"/>
              <w:rPr>
                <w:sz w:val="20"/>
                <w:szCs w:val="20"/>
                <w:color w:val="auto"/>
              </w:rPr>
            </w:pPr>
          </w:p>
        </w:tc>
        <w:tc>
          <w:tcPr>
            <w:tcW w:w="3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right w:val="single" w:sz="8" w:color="auto"/>
            </w:tcBorders>
          </w:tcPr>
          <w:p>
            <w:pPr>
              <w:spacing w:after="0"/>
              <w:rPr>
                <w:sz w:val="19"/>
                <w:szCs w:val="19"/>
                <w:color w:val="auto"/>
              </w:rPr>
            </w:pPr>
          </w:p>
        </w:tc>
        <w:tc>
          <w:tcPr>
            <w:tcW w:w="6940" w:type="dxa"/>
            <w:vAlign w:val="bottom"/>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3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California</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c>
          <w:tcPr>
            <w:tcW w:w="3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Borders>
              <w:right w:val="single" w:sz="8" w:color="auto"/>
            </w:tcBorders>
          </w:tcPr>
          <w:p>
            <w:pPr>
              <w:spacing w:after="0"/>
              <w:rPr>
                <w:sz w:val="20"/>
                <w:szCs w:val="20"/>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3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8"/>
              </w:rPr>
              <w:t>NUMBER OF</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55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3,234,911</w:t>
            </w:r>
          </w:p>
        </w:tc>
        <w:tc>
          <w:tcPr>
            <w:tcW w:w="3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520" w:type="dxa"/>
            <w:vAlign w:val="bottom"/>
            <w:tcBorders>
              <w:left w:val="single" w:sz="8" w:color="auto"/>
              <w:right w:val="single" w:sz="8" w:color="auto"/>
            </w:tcBorders>
            <w:gridSpan w:val="3"/>
            <w:vMerge w:val="continue"/>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right w:val="single" w:sz="8" w:color="auto"/>
            </w:tcBorders>
          </w:tcPr>
          <w:p>
            <w:pPr>
              <w:spacing w:after="0"/>
              <w:rPr>
                <w:sz w:val="11"/>
                <w:szCs w:val="11"/>
                <w:color w:val="auto"/>
              </w:rPr>
            </w:pPr>
          </w:p>
        </w:tc>
        <w:tc>
          <w:tcPr>
            <w:tcW w:w="5540" w:type="dxa"/>
            <w:vAlign w:val="bottom"/>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3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40" w:type="dxa"/>
            <w:vAlign w:val="bottom"/>
            <w:tcBorders>
              <w:lef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Borders>
              <w:right w:val="single" w:sz="8" w:color="auto"/>
            </w:tcBorders>
            <w:vMerge w:val="restart"/>
          </w:tcPr>
          <w:p>
            <w:pPr>
              <w:jc w:val="center"/>
              <w:ind w:right="215"/>
              <w:spacing w:after="0"/>
              <w:rPr>
                <w:sz w:val="20"/>
                <w:szCs w:val="20"/>
                <w:color w:val="auto"/>
              </w:rPr>
            </w:pPr>
            <w:r>
              <w:rPr>
                <w:rFonts w:ascii="Arial" w:cs="Arial" w:eastAsia="Arial" w:hAnsi="Arial"/>
                <w:sz w:val="18"/>
                <w:szCs w:val="18"/>
                <w:color w:val="auto"/>
                <w:w w:val="94"/>
              </w:rPr>
              <w:t>SHARES</w:t>
            </w:r>
          </w:p>
        </w:tc>
        <w:tc>
          <w:tcPr>
            <w:tcW w:w="20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5540" w:type="dxa"/>
            <w:vAlign w:val="bottom"/>
            <w:vMerge w:val="continue"/>
          </w:tcPr>
          <w:p>
            <w:pPr>
              <w:spacing w:after="0"/>
              <w:rPr>
                <w:sz w:val="8"/>
                <w:szCs w:val="8"/>
                <w:color w:val="auto"/>
              </w:rPr>
            </w:pPr>
          </w:p>
        </w:tc>
        <w:tc>
          <w:tcPr>
            <w:tcW w:w="35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3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right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5540" w:type="dxa"/>
            <w:vAlign w:val="bottom"/>
          </w:tcPr>
          <w:p>
            <w:pPr>
              <w:spacing w:after="0"/>
              <w:rPr>
                <w:sz w:val="10"/>
                <w:szCs w:val="10"/>
                <w:color w:val="auto"/>
              </w:rPr>
            </w:pPr>
          </w:p>
        </w:tc>
        <w:tc>
          <w:tcPr>
            <w:tcW w:w="3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554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3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340" w:type="dxa"/>
            <w:vAlign w:val="bottom"/>
            <w:tcBorders>
              <w:left w:val="single" w:sz="8" w:color="auto"/>
            </w:tcBorders>
          </w:tcPr>
          <w:p>
            <w:pPr>
              <w:spacing w:after="0"/>
              <w:rPr>
                <w:sz w:val="10"/>
                <w:szCs w:val="10"/>
                <w:color w:val="auto"/>
              </w:rPr>
            </w:pPr>
          </w:p>
        </w:tc>
        <w:tc>
          <w:tcPr>
            <w:tcW w:w="1180" w:type="dxa"/>
            <w:vAlign w:val="bottom"/>
            <w:tcBorders>
              <w:right w:val="single" w:sz="8" w:color="auto"/>
            </w:tcBorders>
            <w:gridSpan w:val="2"/>
            <w:vMerge w:val="restart"/>
          </w:tcPr>
          <w:p>
            <w:pPr>
              <w:jc w:val="center"/>
              <w:ind w:right="115"/>
              <w:spacing w:after="0"/>
              <w:rPr>
                <w:sz w:val="20"/>
                <w:szCs w:val="20"/>
                <w:color w:val="auto"/>
              </w:rPr>
            </w:pPr>
            <w:r>
              <w:rPr>
                <w:rFonts w:ascii="Arial" w:cs="Arial" w:eastAsia="Arial" w:hAnsi="Arial"/>
                <w:sz w:val="18"/>
                <w:szCs w:val="18"/>
                <w:color w:val="auto"/>
                <w:w w:val="99"/>
              </w:rPr>
              <w:t>OWNED BY</w:t>
            </w: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5540" w:type="dxa"/>
            <w:vAlign w:val="bottom"/>
            <w:tcBorders>
              <w:bottom w:val="single" w:sz="8" w:color="auto"/>
            </w:tcBorders>
            <w:vMerge w:val="continue"/>
          </w:tcPr>
          <w:p>
            <w:pPr>
              <w:spacing w:after="0"/>
              <w:rPr>
                <w:sz w:val="10"/>
                <w:szCs w:val="10"/>
                <w:color w:val="auto"/>
              </w:rPr>
            </w:pPr>
          </w:p>
        </w:tc>
        <w:tc>
          <w:tcPr>
            <w:tcW w:w="35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40" w:type="dxa"/>
            <w:vAlign w:val="bottom"/>
            <w:tcBorders>
              <w:left w:val="single" w:sz="8" w:color="auto"/>
            </w:tcBorders>
          </w:tcPr>
          <w:p>
            <w:pPr>
              <w:spacing w:after="0"/>
              <w:rPr>
                <w:sz w:val="6"/>
                <w:szCs w:val="6"/>
                <w:color w:val="auto"/>
              </w:rPr>
            </w:pPr>
          </w:p>
        </w:tc>
        <w:tc>
          <w:tcPr>
            <w:tcW w:w="1180" w:type="dxa"/>
            <w:vAlign w:val="bottom"/>
            <w:tcBorders>
              <w:right w:val="single" w:sz="8" w:color="auto"/>
            </w:tcBorders>
            <w:gridSpan w:val="2"/>
            <w:vMerge w:val="continue"/>
          </w:tcPr>
          <w:p>
            <w:pPr>
              <w:spacing w:after="0"/>
              <w:rPr>
                <w:sz w:val="6"/>
                <w:szCs w:val="6"/>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right w:val="single" w:sz="8" w:color="auto"/>
            </w:tcBorders>
          </w:tcPr>
          <w:p>
            <w:pPr>
              <w:spacing w:after="0"/>
              <w:rPr>
                <w:sz w:val="6"/>
                <w:szCs w:val="6"/>
                <w:color w:val="auto"/>
              </w:rPr>
            </w:pPr>
          </w:p>
        </w:tc>
        <w:tc>
          <w:tcPr>
            <w:tcW w:w="554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35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152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3"/>
              </w:rPr>
              <w:t>REPORTING</w:t>
            </w:r>
          </w:p>
        </w:tc>
        <w:tc>
          <w:tcPr>
            <w:tcW w:w="20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540" w:type="dxa"/>
            <w:vAlign w:val="bottom"/>
            <w:vMerge w:val="continue"/>
          </w:tcPr>
          <w:p>
            <w:pPr>
              <w:spacing w:after="0"/>
              <w:rPr>
                <w:sz w:val="13"/>
                <w:szCs w:val="13"/>
                <w:color w:val="auto"/>
              </w:rPr>
            </w:pPr>
          </w:p>
        </w:tc>
        <w:tc>
          <w:tcPr>
            <w:tcW w:w="35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520" w:type="dxa"/>
            <w:vAlign w:val="bottom"/>
            <w:tcBorders>
              <w:left w:val="single" w:sz="8" w:color="auto"/>
              <w:right w:val="single" w:sz="8" w:color="auto"/>
            </w:tcBorders>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5540" w:type="dxa"/>
            <w:vAlign w:val="bottom"/>
          </w:tcPr>
          <w:p>
            <w:pPr>
              <w:spacing w:after="0"/>
              <w:rPr>
                <w:sz w:val="5"/>
                <w:szCs w:val="5"/>
                <w:color w:val="auto"/>
              </w:rPr>
            </w:pPr>
          </w:p>
        </w:tc>
        <w:tc>
          <w:tcPr>
            <w:tcW w:w="3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tcPr>
          <w:p>
            <w:pPr>
              <w:jc w:val="center"/>
              <w:ind w:right="215"/>
              <w:spacing w:after="0"/>
              <w:rPr>
                <w:sz w:val="20"/>
                <w:szCs w:val="20"/>
                <w:color w:val="auto"/>
              </w:rPr>
            </w:pPr>
            <w:r>
              <w:rPr>
                <w:rFonts w:ascii="Arial" w:cs="Arial" w:eastAsia="Arial" w:hAnsi="Arial"/>
                <w:sz w:val="18"/>
                <w:szCs w:val="18"/>
                <w:color w:val="auto"/>
                <w:w w:val="92"/>
              </w:rPr>
              <w:t>PERSON</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5540" w:type="dxa"/>
            <w:vAlign w:val="bottom"/>
            <w:vMerge w:val="restart"/>
          </w:tcPr>
          <w:p>
            <w:pPr>
              <w:ind w:left="180"/>
              <w:spacing w:after="0"/>
              <w:rPr>
                <w:sz w:val="20"/>
                <w:szCs w:val="20"/>
                <w:color w:val="auto"/>
              </w:rPr>
            </w:pPr>
            <w:r>
              <w:rPr>
                <w:rFonts w:ascii="Arial" w:cs="Arial" w:eastAsia="Arial" w:hAnsi="Arial"/>
                <w:sz w:val="18"/>
                <w:szCs w:val="18"/>
                <w:color w:val="auto"/>
              </w:rPr>
              <w:t>3,234,911</w:t>
            </w:r>
          </w:p>
        </w:tc>
        <w:tc>
          <w:tcPr>
            <w:tcW w:w="3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right w:val="single" w:sz="8" w:color="auto"/>
            </w:tcBorders>
          </w:tcPr>
          <w:p>
            <w:pPr>
              <w:ind w:left="160"/>
              <w:spacing w:after="0" w:line="157" w:lineRule="exact"/>
              <w:rPr>
                <w:sz w:val="20"/>
                <w:szCs w:val="20"/>
                <w:color w:val="auto"/>
              </w:rPr>
            </w:pPr>
            <w:r>
              <w:rPr>
                <w:rFonts w:ascii="Arial" w:cs="Arial" w:eastAsia="Arial" w:hAnsi="Arial"/>
                <w:sz w:val="18"/>
                <w:szCs w:val="18"/>
                <w:color w:val="auto"/>
              </w:rPr>
              <w:t>WITH</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5540" w:type="dxa"/>
            <w:vAlign w:val="bottom"/>
            <w:tcBorders>
              <w:bottom w:val="single" w:sz="8" w:color="auto"/>
            </w:tcBorders>
            <w:vMerge w:val="continue"/>
          </w:tcPr>
          <w:p>
            <w:pPr>
              <w:spacing w:after="0"/>
              <w:rPr>
                <w:sz w:val="15"/>
                <w:szCs w:val="15"/>
                <w:color w:val="auto"/>
              </w:rPr>
            </w:pPr>
          </w:p>
        </w:tc>
        <w:tc>
          <w:tcPr>
            <w:tcW w:w="35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right w:val="single" w:sz="8" w:color="auto"/>
            </w:tcBorders>
          </w:tcPr>
          <w:p>
            <w:pPr>
              <w:spacing w:after="0"/>
              <w:rPr>
                <w:sz w:val="19"/>
                <w:szCs w:val="19"/>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3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55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3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w w:val="98"/>
              </w:rPr>
              <w:t>AMOUNT BENEFICIALLY OWNED BY EACH REPORTING PERSON</w:t>
            </w:r>
          </w:p>
        </w:tc>
        <w:tc>
          <w:tcPr>
            <w:tcW w:w="3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3,234,911</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c>
          <w:tcPr>
            <w:tcW w:w="3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c>
          <w:tcPr>
            <w:tcW w:w="3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11</w:t>
            </w:r>
          </w:p>
        </w:tc>
        <w:tc>
          <w:tcPr>
            <w:tcW w:w="6940" w:type="dxa"/>
            <w:vAlign w:val="bottom"/>
            <w:gridSpan w:val="4"/>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3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7.1% (1)</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c>
          <w:tcPr>
            <w:tcW w:w="3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right w:val="single" w:sz="8" w:color="auto"/>
            </w:tcBorders>
          </w:tcPr>
          <w:p>
            <w:pPr>
              <w:spacing w:after="0"/>
              <w:rPr>
                <w:sz w:val="20"/>
                <w:szCs w:val="20"/>
                <w:color w:val="auto"/>
              </w:rPr>
            </w:pPr>
          </w:p>
        </w:tc>
        <w:tc>
          <w:tcPr>
            <w:tcW w:w="6940" w:type="dxa"/>
            <w:vAlign w:val="bottom"/>
            <w:gridSpan w:val="4"/>
          </w:tcPr>
          <w:p>
            <w:pPr>
              <w:ind w:left="160"/>
              <w:spacing w:after="0"/>
              <w:rPr>
                <w:sz w:val="20"/>
                <w:szCs w:val="20"/>
                <w:color w:val="auto"/>
              </w:rPr>
            </w:pPr>
            <w:r>
              <w:rPr>
                <w:rFonts w:ascii="Arial" w:cs="Arial" w:eastAsia="Arial" w:hAnsi="Arial"/>
                <w:sz w:val="18"/>
                <w:szCs w:val="18"/>
                <w:color w:val="auto"/>
              </w:rPr>
              <w:t>TYPE OF REPORTING PERSON</w:t>
            </w:r>
          </w:p>
        </w:tc>
        <w:tc>
          <w:tcPr>
            <w:tcW w:w="3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PN</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c>
          <w:tcPr>
            <w:tcW w:w="3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140" w:hanging="424"/>
        <w:spacing w:after="0" w:line="277"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upon 45,380,354 shares of the Issuer’s Common Stock outstanding as of November 10, 2021, as reported in the Issuer’s Form 10-Q filed with the Securities and Exchange Commission (the “SEC”) on November 12, 2021.</w:t>
      </w:r>
    </w:p>
    <w:p>
      <w:pPr>
        <w:sectPr>
          <w:pgSz w:w="11900" w:h="16838" w:orient="portrait"/>
          <w:cols w:equalWidth="0" w:num="1">
            <w:col w:w="10904"/>
          </w:cols>
          <w:pgMar w:left="436" w:top="270" w:right="559" w:bottom="1440" w:gutter="0" w:footer="0" w:header="0"/>
        </w:sectPr>
      </w:pPr>
    </w:p>
    <w:bookmarkStart w:id="2" w:name="page3"/>
    <w:bookmarkEnd w:id="2"/>
    <w:p>
      <w:pPr>
        <w:ind w:left="4"/>
        <w:spacing w:after="0"/>
        <w:tabs>
          <w:tab w:leader="none" w:pos="5564" w:val="left"/>
          <w:tab w:leader="none" w:pos="76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69353Y 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3 of 9 Pages</w:t>
      </w:r>
    </w:p>
    <w:p>
      <w:pPr>
        <w:spacing w:after="0" w:line="175" w:lineRule="exact"/>
        <w:rPr>
          <w:sz w:val="20"/>
          <w:szCs w:val="20"/>
          <w:color w:val="auto"/>
        </w:rPr>
      </w:pPr>
    </w:p>
    <w:p>
      <w:pPr>
        <w:ind w:left="624" w:hanging="377"/>
        <w:spacing w:after="0"/>
        <w:tabs>
          <w:tab w:leader="none" w:pos="624"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5220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28" w:lineRule="exact"/>
        <w:rPr>
          <w:sz w:val="20"/>
          <w:szCs w:val="20"/>
          <w:color w:val="auto"/>
        </w:rPr>
      </w:pPr>
    </w:p>
    <w:p>
      <w:pPr>
        <w:ind w:left="624"/>
        <w:spacing w:after="0"/>
        <w:rPr>
          <w:sz w:val="20"/>
          <w:szCs w:val="20"/>
          <w:color w:val="auto"/>
        </w:rPr>
      </w:pPr>
      <w:r>
        <w:rPr>
          <w:rFonts w:ascii="Arial" w:cs="Arial" w:eastAsia="Arial" w:hAnsi="Arial"/>
          <w:sz w:val="18"/>
          <w:szCs w:val="18"/>
          <w:b w:val="1"/>
          <w:bCs w:val="1"/>
          <w:color w:val="auto"/>
        </w:rPr>
        <w:t>InterWest Management Partners X, LLC (the General Partner of InterWest Partners X, LP)</w:t>
      </w:r>
    </w:p>
    <w:p>
      <w:pPr>
        <w:spacing w:after="0" w:line="40" w:lineRule="exact"/>
        <w:rPr>
          <w:sz w:val="20"/>
          <w:szCs w:val="20"/>
          <w:color w:val="auto"/>
        </w:rPr>
      </w:pPr>
    </w:p>
    <w:p>
      <w:pPr>
        <w:ind w:left="624" w:hanging="377"/>
        <w:spacing w:after="0"/>
        <w:tabs>
          <w:tab w:leader="none" w:pos="624"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219"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24" w:hanging="377"/>
        <w:spacing w:after="0"/>
        <w:tabs>
          <w:tab w:leader="none" w:pos="624"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2" w:lineRule="exact"/>
        <w:rPr>
          <w:sz w:val="20"/>
          <w:szCs w:val="20"/>
          <w:color w:val="auto"/>
        </w:rPr>
      </w:pPr>
    </w:p>
    <w:p>
      <w:pPr>
        <w:ind w:left="624" w:hanging="377"/>
        <w:spacing w:after="0"/>
        <w:tabs>
          <w:tab w:leader="none" w:pos="624"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48" w:lineRule="exact"/>
        <w:rPr>
          <w:sz w:val="20"/>
          <w:szCs w:val="20"/>
          <w:color w:val="auto"/>
        </w:rPr>
      </w:pPr>
    </w:p>
    <w:p>
      <w:pPr>
        <w:ind w:left="624"/>
        <w:spacing w:after="0"/>
        <w:rPr>
          <w:sz w:val="20"/>
          <w:szCs w:val="20"/>
          <w:color w:val="auto"/>
        </w:rPr>
      </w:pPr>
      <w:r>
        <w:rPr>
          <w:rFonts w:ascii="Arial" w:cs="Arial" w:eastAsia="Arial" w:hAnsi="Arial"/>
          <w:sz w:val="18"/>
          <w:szCs w:val="18"/>
          <w:b w:val="1"/>
          <w:bCs w:val="1"/>
          <w:color w:val="auto"/>
        </w:rPr>
        <w:t>California</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5</w:t>
            </w:r>
          </w:p>
        </w:tc>
        <w:tc>
          <w:tcPr>
            <w:tcW w:w="904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6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3,234,911</w:t>
            </w:r>
          </w:p>
        </w:tc>
        <w:tc>
          <w:tcPr>
            <w:tcW w:w="0" w:type="dxa"/>
            <w:vAlign w:val="bottom"/>
          </w:tcPr>
          <w:p>
            <w:pPr>
              <w:spacing w:after="0"/>
              <w:rPr>
                <w:sz w:val="1"/>
                <w:szCs w:val="1"/>
                <w:color w:val="auto"/>
              </w:rPr>
            </w:pPr>
          </w:p>
        </w:tc>
      </w:tr>
      <w:tr>
        <w:trPr>
          <w:trHeight w:val="134"/>
        </w:trPr>
        <w:tc>
          <w:tcPr>
            <w:tcW w:w="1300" w:type="dxa"/>
            <w:vAlign w:val="bottom"/>
            <w:vMerge w:val="continue"/>
          </w:tcPr>
          <w:p>
            <w:pPr>
              <w:spacing w:after="0"/>
              <w:rPr>
                <w:sz w:val="11"/>
                <w:szCs w:val="11"/>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6</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vMerge w:val="continue"/>
          </w:tcPr>
          <w:p>
            <w:pPr>
              <w:spacing w:after="0"/>
              <w:rPr>
                <w:sz w:val="8"/>
                <w:szCs w:val="8"/>
                <w:color w:val="auto"/>
              </w:rPr>
            </w:pPr>
          </w:p>
        </w:tc>
        <w:tc>
          <w:tcPr>
            <w:tcW w:w="9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3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9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10"/>
                <w:szCs w:val="10"/>
                <w:color w:val="auto"/>
              </w:rPr>
            </w:pPr>
          </w:p>
        </w:tc>
        <w:tc>
          <w:tcPr>
            <w:tcW w:w="90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7</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vMerge w:val="continue"/>
          </w:tcPr>
          <w:p>
            <w:pPr>
              <w:spacing w:after="0"/>
              <w:rPr>
                <w:sz w:val="13"/>
                <w:szCs w:val="13"/>
                <w:color w:val="auto"/>
              </w:rPr>
            </w:pPr>
          </w:p>
        </w:tc>
        <w:tc>
          <w:tcPr>
            <w:tcW w:w="9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3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3,234,911</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tcBorders>
          </w:tcPr>
          <w:p>
            <w:pPr>
              <w:spacing w:after="0"/>
              <w:rPr>
                <w:sz w:val="15"/>
                <w:szCs w:val="15"/>
                <w:color w:val="auto"/>
              </w:rPr>
            </w:pPr>
          </w:p>
        </w:tc>
        <w:tc>
          <w:tcPr>
            <w:tcW w:w="9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8</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02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04" w:hanging="357"/>
        <w:spacing w:after="0"/>
        <w:tabs>
          <w:tab w:leader="none" w:pos="604"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3,234,911</w:t>
      </w:r>
    </w:p>
    <w:p>
      <w:pPr>
        <w:spacing w:after="0" w:line="36" w:lineRule="exact"/>
        <w:rPr>
          <w:sz w:val="20"/>
          <w:szCs w:val="20"/>
          <w:color w:val="auto"/>
        </w:rPr>
      </w:pPr>
    </w:p>
    <w:p>
      <w:pPr>
        <w:ind w:left="624" w:hanging="467"/>
        <w:spacing w:after="0"/>
        <w:tabs>
          <w:tab w:leader="none" w:pos="624"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w:t>
      </w:r>
    </w:p>
    <w:p>
      <w:pPr>
        <w:spacing w:after="0" w:line="219" w:lineRule="exact"/>
        <w:rPr>
          <w:rFonts w:ascii="Arial" w:cs="Arial" w:eastAsia="Arial" w:hAnsi="Arial"/>
          <w:sz w:val="18"/>
          <w:szCs w:val="18"/>
          <w:b w:val="1"/>
          <w:bCs w:val="1"/>
          <w:color w:val="auto"/>
        </w:rPr>
      </w:pPr>
    </w:p>
    <w:p>
      <w:pPr>
        <w:ind w:left="624"/>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b w:val="1"/>
          <w:bCs w:val="1"/>
          <w:color w:val="auto"/>
        </w:rPr>
      </w:pPr>
    </w:p>
    <w:p>
      <w:pPr>
        <w:ind w:left="624" w:hanging="467"/>
        <w:spacing w:after="0"/>
        <w:tabs>
          <w:tab w:leader="none" w:pos="624"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b w:val="1"/>
          <w:bCs w:val="1"/>
          <w:color w:val="auto"/>
        </w:rPr>
      </w:pPr>
    </w:p>
    <w:p>
      <w:pPr>
        <w:ind w:left="624"/>
        <w:spacing w:after="0"/>
        <w:rPr>
          <w:rFonts w:ascii="Arial" w:cs="Arial" w:eastAsia="Arial" w:hAnsi="Arial"/>
          <w:sz w:val="18"/>
          <w:szCs w:val="18"/>
          <w:b w:val="1"/>
          <w:bCs w:val="1"/>
          <w:color w:val="auto"/>
        </w:rPr>
      </w:pPr>
      <w:r>
        <w:rPr>
          <w:rFonts w:ascii="Arial" w:cs="Arial" w:eastAsia="Arial" w:hAnsi="Arial"/>
          <w:sz w:val="18"/>
          <w:szCs w:val="18"/>
          <w:color w:val="auto"/>
        </w:rPr>
        <w:t>7.1% (1)</w:t>
      </w:r>
    </w:p>
    <w:p>
      <w:pPr>
        <w:spacing w:after="0" w:line="36" w:lineRule="exact"/>
        <w:rPr>
          <w:rFonts w:ascii="Arial" w:cs="Arial" w:eastAsia="Arial" w:hAnsi="Arial"/>
          <w:sz w:val="18"/>
          <w:szCs w:val="18"/>
          <w:b w:val="1"/>
          <w:bCs w:val="1"/>
          <w:color w:val="auto"/>
        </w:rPr>
      </w:pPr>
    </w:p>
    <w:p>
      <w:pPr>
        <w:ind w:left="604" w:hanging="447"/>
        <w:spacing w:after="0"/>
        <w:tabs>
          <w:tab w:leader="none" w:pos="604"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48" w:lineRule="exact"/>
        <w:rPr>
          <w:rFonts w:ascii="Arial" w:cs="Arial" w:eastAsia="Arial" w:hAnsi="Arial"/>
          <w:sz w:val="18"/>
          <w:szCs w:val="18"/>
          <w:b w:val="1"/>
          <w:bCs w:val="1"/>
          <w:color w:val="auto"/>
        </w:rPr>
      </w:pPr>
    </w:p>
    <w:p>
      <w:pPr>
        <w:ind w:left="62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OO</w:t>
      </w:r>
    </w:p>
    <w:p>
      <w:pPr>
        <w:spacing w:after="0" w:line="283" w:lineRule="exact"/>
        <w:rPr>
          <w:rFonts w:ascii="Arial" w:cs="Arial" w:eastAsia="Arial" w:hAnsi="Arial"/>
          <w:sz w:val="18"/>
          <w:szCs w:val="18"/>
          <w:b w:val="1"/>
          <w:bCs w:val="1"/>
          <w:color w:val="auto"/>
        </w:rPr>
      </w:pPr>
    </w:p>
    <w:p>
      <w:pPr>
        <w:ind w:left="424" w:right="140" w:hanging="424"/>
        <w:spacing w:after="0" w:line="277"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upon 45,380,354 shares of the Issuer’s Common Stock outstanding as of November 10, 2021, as reported in the Issuer’s Form 10-Q filed with the Securities and Exchange Commission (the “SEC”) on November 12, 2021.</w:t>
      </w:r>
    </w:p>
    <w:p>
      <w:pPr>
        <w:sectPr>
          <w:pgSz w:w="11900" w:h="16838" w:orient="portrait"/>
          <w:cols w:equalWidth="0" w:num="1">
            <w:col w:w="10904"/>
          </w:cols>
          <w:pgMar w:left="436" w:top="270" w:right="559" w:bottom="1440" w:gutter="0" w:footer="0" w:header="0"/>
        </w:sectPr>
      </w:pPr>
    </w:p>
    <w:bookmarkStart w:id="3" w:name="page4"/>
    <w:bookmarkEnd w:id="3"/>
    <w:p>
      <w:pPr>
        <w:spacing w:after="0"/>
        <w:tabs>
          <w:tab w:leader="none" w:pos="5560" w:val="left"/>
          <w:tab w:leader="none" w:pos="76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69353Y 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4 of 9 Pages</w:t>
      </w:r>
    </w:p>
    <w:p>
      <w:pPr>
        <w:spacing w:after="0" w:line="175" w:lineRule="exact"/>
        <w:rPr>
          <w:sz w:val="20"/>
          <w:szCs w:val="20"/>
          <w:color w:val="auto"/>
        </w:rPr>
      </w:pPr>
    </w:p>
    <w:p>
      <w:pPr>
        <w:ind w:left="620" w:hanging="377"/>
        <w:spacing w:after="0"/>
        <w:tabs>
          <w:tab w:leader="none" w:pos="6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5220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Keval Desai (a Venture Member of InterWest Management Partners X, LLC)</w:t>
      </w:r>
    </w:p>
    <w:p>
      <w:pPr>
        <w:spacing w:after="0" w:line="40" w:lineRule="exact"/>
        <w:rPr>
          <w:sz w:val="20"/>
          <w:szCs w:val="20"/>
          <w:color w:val="auto"/>
        </w:rPr>
      </w:pPr>
    </w:p>
    <w:p>
      <w:pPr>
        <w:ind w:left="620" w:hanging="377"/>
        <w:spacing w:after="0"/>
        <w:tabs>
          <w:tab w:leader="none" w:pos="6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219"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20" w:hanging="377"/>
        <w:spacing w:after="0"/>
        <w:tabs>
          <w:tab w:leader="none" w:pos="6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2" w:lineRule="exact"/>
        <w:rPr>
          <w:sz w:val="20"/>
          <w:szCs w:val="20"/>
          <w:color w:val="auto"/>
        </w:rPr>
      </w:pPr>
    </w:p>
    <w:p>
      <w:pPr>
        <w:ind w:left="620" w:hanging="377"/>
        <w:spacing w:after="0"/>
        <w:tabs>
          <w:tab w:leader="none" w:pos="62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United States</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5</w:t>
            </w:r>
          </w:p>
        </w:tc>
        <w:tc>
          <w:tcPr>
            <w:tcW w:w="904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6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9,808</w:t>
            </w:r>
          </w:p>
        </w:tc>
        <w:tc>
          <w:tcPr>
            <w:tcW w:w="0" w:type="dxa"/>
            <w:vAlign w:val="bottom"/>
          </w:tcPr>
          <w:p>
            <w:pPr>
              <w:spacing w:after="0"/>
              <w:rPr>
                <w:sz w:val="1"/>
                <w:szCs w:val="1"/>
                <w:color w:val="auto"/>
              </w:rPr>
            </w:pPr>
          </w:p>
        </w:tc>
      </w:tr>
      <w:tr>
        <w:trPr>
          <w:trHeight w:val="134"/>
        </w:trPr>
        <w:tc>
          <w:tcPr>
            <w:tcW w:w="1300" w:type="dxa"/>
            <w:vAlign w:val="bottom"/>
            <w:vMerge w:val="continue"/>
          </w:tcPr>
          <w:p>
            <w:pPr>
              <w:spacing w:after="0"/>
              <w:rPr>
                <w:sz w:val="11"/>
                <w:szCs w:val="11"/>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6</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vMerge w:val="continue"/>
          </w:tcPr>
          <w:p>
            <w:pPr>
              <w:spacing w:after="0"/>
              <w:rPr>
                <w:sz w:val="8"/>
                <w:szCs w:val="8"/>
                <w:color w:val="auto"/>
              </w:rPr>
            </w:pPr>
          </w:p>
        </w:tc>
        <w:tc>
          <w:tcPr>
            <w:tcW w:w="9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3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9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3,234,911</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10"/>
                <w:szCs w:val="10"/>
                <w:color w:val="auto"/>
              </w:rPr>
            </w:pPr>
          </w:p>
        </w:tc>
        <w:tc>
          <w:tcPr>
            <w:tcW w:w="90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7</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vMerge w:val="continue"/>
          </w:tcPr>
          <w:p>
            <w:pPr>
              <w:spacing w:after="0"/>
              <w:rPr>
                <w:sz w:val="13"/>
                <w:szCs w:val="13"/>
                <w:color w:val="auto"/>
              </w:rPr>
            </w:pPr>
          </w:p>
        </w:tc>
        <w:tc>
          <w:tcPr>
            <w:tcW w:w="9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3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9,808</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tcBorders>
          </w:tcPr>
          <w:p>
            <w:pPr>
              <w:spacing w:after="0"/>
              <w:rPr>
                <w:sz w:val="15"/>
                <w:szCs w:val="15"/>
                <w:color w:val="auto"/>
              </w:rPr>
            </w:pPr>
          </w:p>
        </w:tc>
        <w:tc>
          <w:tcPr>
            <w:tcW w:w="9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8</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3,234,911</w:t>
      </w:r>
    </w:p>
    <w:p>
      <w:pPr>
        <w:spacing w:after="0" w:line="36" w:lineRule="exact"/>
        <w:rPr>
          <w:sz w:val="20"/>
          <w:szCs w:val="20"/>
          <w:color w:val="auto"/>
        </w:rPr>
      </w:pPr>
    </w:p>
    <w:p>
      <w:pPr>
        <w:ind w:left="600" w:hanging="357"/>
        <w:spacing w:after="0"/>
        <w:tabs>
          <w:tab w:leader="none" w:pos="6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3,244,719</w:t>
      </w:r>
    </w:p>
    <w:p>
      <w:pPr>
        <w:spacing w:after="0" w:line="36" w:lineRule="exact"/>
        <w:rPr>
          <w:sz w:val="20"/>
          <w:szCs w:val="20"/>
          <w:color w:val="auto"/>
        </w:rPr>
      </w:pPr>
    </w:p>
    <w:p>
      <w:pPr>
        <w:ind w:left="620" w:hanging="467"/>
        <w:spacing w:after="0"/>
        <w:tabs>
          <w:tab w:leader="none" w:pos="6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w:t>
      </w:r>
    </w:p>
    <w:p>
      <w:pPr>
        <w:spacing w:after="0" w:line="219" w:lineRule="exact"/>
        <w:rPr>
          <w:rFonts w:ascii="Arial" w:cs="Arial" w:eastAsia="Arial" w:hAnsi="Arial"/>
          <w:sz w:val="18"/>
          <w:szCs w:val="18"/>
          <w:b w:val="1"/>
          <w:bCs w:val="1"/>
          <w:color w:val="auto"/>
        </w:rPr>
      </w:pPr>
    </w:p>
    <w:p>
      <w:pPr>
        <w:ind w:left="62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b w:val="1"/>
          <w:bCs w:val="1"/>
          <w:color w:val="auto"/>
        </w:rPr>
      </w:pPr>
    </w:p>
    <w:p>
      <w:pPr>
        <w:ind w:left="620" w:right="5220" w:hanging="467"/>
        <w:spacing w:after="0" w:line="400" w:lineRule="auto"/>
        <w:tabs>
          <w:tab w:leader="none" w:pos="6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7.1%</w:t>
      </w:r>
    </w:p>
    <w:p>
      <w:pPr>
        <w:spacing w:after="0" w:line="4" w:lineRule="exact"/>
        <w:rPr>
          <w:rFonts w:ascii="Arial" w:cs="Arial" w:eastAsia="Arial" w:hAnsi="Arial"/>
          <w:sz w:val="18"/>
          <w:szCs w:val="18"/>
          <w:b w:val="1"/>
          <w:bCs w:val="1"/>
          <w:color w:val="auto"/>
        </w:rPr>
      </w:pPr>
    </w:p>
    <w:p>
      <w:pPr>
        <w:ind w:left="600" w:hanging="447"/>
        <w:spacing w:after="0"/>
        <w:tabs>
          <w:tab w:leader="none" w:pos="6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IN</w:t>
      </w:r>
    </w:p>
    <w:p>
      <w:pPr>
        <w:spacing w:after="0" w:line="25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Neither the filing of this statement on Schedule 13G nor any of its contents shall be deemed to constitute an admission by Keval Desai that he is the beneficial owner of any of the Common Stock referred to herein for purposes of Section 13(d) of the Securities Exchange Act of 1934, as amended, or for any other purpose.</w:t>
      </w:r>
    </w:p>
    <w:p>
      <w:pPr>
        <w:sectPr>
          <w:pgSz w:w="11900" w:h="16838" w:orient="portrait"/>
          <w:cols w:equalWidth="0" w:num="1">
            <w:col w:w="10900"/>
          </w:cols>
          <w:pgMar w:left="440" w:top="270" w:right="559" w:bottom="1440" w:gutter="0" w:footer="0" w:header="0"/>
        </w:sectPr>
      </w:pPr>
    </w:p>
    <w:bookmarkStart w:id="4" w:name="page5"/>
    <w:bookmarkEnd w:id="4"/>
    <w:p>
      <w:pPr>
        <w:spacing w:after="0"/>
        <w:tabs>
          <w:tab w:leader="none" w:pos="3960" w:val="left"/>
          <w:tab w:leader="none" w:pos="76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69353Y 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5 of 9 Pages</w:t>
      </w:r>
    </w:p>
    <w:p>
      <w:pPr>
        <w:spacing w:after="0" w:line="175" w:lineRule="exact"/>
        <w:rPr>
          <w:sz w:val="20"/>
          <w:szCs w:val="20"/>
          <w:color w:val="auto"/>
        </w:rPr>
      </w:pPr>
    </w:p>
    <w:p>
      <w:pPr>
        <w:ind w:left="620" w:hanging="377"/>
        <w:spacing w:after="0"/>
        <w:tabs>
          <w:tab w:leader="none" w:pos="62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5220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Gilbert H. Kliman (a Managing Director of InterWest Management Partners X, LLC)</w:t>
      </w:r>
    </w:p>
    <w:p>
      <w:pPr>
        <w:spacing w:after="0" w:line="40" w:lineRule="exact"/>
        <w:rPr>
          <w:sz w:val="20"/>
          <w:szCs w:val="20"/>
          <w:color w:val="auto"/>
        </w:rPr>
      </w:pPr>
    </w:p>
    <w:p>
      <w:pPr>
        <w:ind w:left="620" w:hanging="377"/>
        <w:spacing w:after="0"/>
        <w:tabs>
          <w:tab w:leader="none" w:pos="62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219"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20" w:hanging="377"/>
        <w:spacing w:after="0"/>
        <w:tabs>
          <w:tab w:leader="none" w:pos="62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2" w:lineRule="exact"/>
        <w:rPr>
          <w:sz w:val="20"/>
          <w:szCs w:val="20"/>
          <w:color w:val="auto"/>
        </w:rPr>
      </w:pPr>
    </w:p>
    <w:p>
      <w:pPr>
        <w:ind w:left="620" w:hanging="377"/>
        <w:spacing w:after="0"/>
        <w:tabs>
          <w:tab w:leader="none" w:pos="62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United States</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5</w:t>
            </w:r>
          </w:p>
        </w:tc>
        <w:tc>
          <w:tcPr>
            <w:tcW w:w="904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6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134"/>
        </w:trPr>
        <w:tc>
          <w:tcPr>
            <w:tcW w:w="1300" w:type="dxa"/>
            <w:vAlign w:val="bottom"/>
            <w:vMerge w:val="continue"/>
          </w:tcPr>
          <w:p>
            <w:pPr>
              <w:spacing w:after="0"/>
              <w:rPr>
                <w:sz w:val="11"/>
                <w:szCs w:val="11"/>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6</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vMerge w:val="continue"/>
          </w:tcPr>
          <w:p>
            <w:pPr>
              <w:spacing w:after="0"/>
              <w:rPr>
                <w:sz w:val="8"/>
                <w:szCs w:val="8"/>
                <w:color w:val="auto"/>
              </w:rPr>
            </w:pPr>
          </w:p>
        </w:tc>
        <w:tc>
          <w:tcPr>
            <w:tcW w:w="9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3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9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3,234,911</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10"/>
                <w:szCs w:val="10"/>
                <w:color w:val="auto"/>
              </w:rPr>
            </w:pPr>
          </w:p>
        </w:tc>
        <w:tc>
          <w:tcPr>
            <w:tcW w:w="90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7</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vMerge w:val="continue"/>
          </w:tcPr>
          <w:p>
            <w:pPr>
              <w:spacing w:after="0"/>
              <w:rPr>
                <w:sz w:val="13"/>
                <w:szCs w:val="13"/>
                <w:color w:val="auto"/>
              </w:rPr>
            </w:pPr>
          </w:p>
        </w:tc>
        <w:tc>
          <w:tcPr>
            <w:tcW w:w="9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3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tcBorders>
          </w:tcPr>
          <w:p>
            <w:pPr>
              <w:spacing w:after="0"/>
              <w:rPr>
                <w:sz w:val="15"/>
                <w:szCs w:val="15"/>
                <w:color w:val="auto"/>
              </w:rPr>
            </w:pPr>
          </w:p>
        </w:tc>
        <w:tc>
          <w:tcPr>
            <w:tcW w:w="9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8</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3,234,911</w:t>
      </w:r>
    </w:p>
    <w:p>
      <w:pPr>
        <w:spacing w:after="0" w:line="36" w:lineRule="exact"/>
        <w:rPr>
          <w:sz w:val="20"/>
          <w:szCs w:val="20"/>
          <w:color w:val="auto"/>
        </w:rPr>
      </w:pPr>
    </w:p>
    <w:p>
      <w:pPr>
        <w:ind w:left="600" w:hanging="357"/>
        <w:spacing w:after="0"/>
        <w:tabs>
          <w:tab w:leader="none" w:pos="60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3,239,911</w:t>
      </w:r>
    </w:p>
    <w:p>
      <w:pPr>
        <w:spacing w:after="0" w:line="36" w:lineRule="exact"/>
        <w:rPr>
          <w:sz w:val="20"/>
          <w:szCs w:val="20"/>
          <w:color w:val="auto"/>
        </w:rPr>
      </w:pPr>
    </w:p>
    <w:p>
      <w:pPr>
        <w:ind w:left="620" w:hanging="467"/>
        <w:spacing w:after="0"/>
        <w:tabs>
          <w:tab w:leader="none" w:pos="62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w:t>
      </w:r>
    </w:p>
    <w:p>
      <w:pPr>
        <w:spacing w:after="0" w:line="219" w:lineRule="exact"/>
        <w:rPr>
          <w:rFonts w:ascii="Arial" w:cs="Arial" w:eastAsia="Arial" w:hAnsi="Arial"/>
          <w:sz w:val="18"/>
          <w:szCs w:val="18"/>
          <w:b w:val="1"/>
          <w:bCs w:val="1"/>
          <w:color w:val="auto"/>
        </w:rPr>
      </w:pPr>
    </w:p>
    <w:p>
      <w:pPr>
        <w:ind w:left="62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b w:val="1"/>
          <w:bCs w:val="1"/>
          <w:color w:val="auto"/>
        </w:rPr>
      </w:pPr>
    </w:p>
    <w:p>
      <w:pPr>
        <w:ind w:left="620" w:right="5220" w:hanging="467"/>
        <w:spacing w:after="0" w:line="400" w:lineRule="auto"/>
        <w:tabs>
          <w:tab w:leader="none" w:pos="62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7.1%</w:t>
      </w:r>
    </w:p>
    <w:p>
      <w:pPr>
        <w:spacing w:after="0" w:line="4" w:lineRule="exact"/>
        <w:rPr>
          <w:rFonts w:ascii="Arial" w:cs="Arial" w:eastAsia="Arial" w:hAnsi="Arial"/>
          <w:sz w:val="18"/>
          <w:szCs w:val="18"/>
          <w:b w:val="1"/>
          <w:bCs w:val="1"/>
          <w:color w:val="auto"/>
        </w:rPr>
      </w:pPr>
    </w:p>
    <w:p>
      <w:pPr>
        <w:ind w:left="600" w:hanging="447"/>
        <w:spacing w:after="0"/>
        <w:tabs>
          <w:tab w:leader="none" w:pos="60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Neither the filing of this statement on Schedule 13G nor any of its contents shall be deemed to constitute an admission by Gilbert H. Kliman that he is the beneficial owner of any of the Common Stock referred to herein for purposes of Section 13(d) of the Securities Exchange Act of 1934, as amended, or for any other purpose.</w:t>
      </w:r>
    </w:p>
    <w:p>
      <w:pPr>
        <w:sectPr>
          <w:pgSz w:w="11900" w:h="16838" w:orient="portrait"/>
          <w:cols w:equalWidth="0" w:num="1">
            <w:col w:w="10900"/>
          </w:cols>
          <w:pgMar w:left="440" w:top="270" w:right="559" w:bottom="1440" w:gutter="0" w:footer="0" w:header="0"/>
        </w:sectPr>
      </w:pPr>
    </w:p>
    <w:bookmarkStart w:id="5" w:name="page6"/>
    <w:bookmarkEnd w:id="5"/>
    <w:p>
      <w:pPr>
        <w:spacing w:after="0"/>
        <w:tabs>
          <w:tab w:leader="none" w:pos="3960" w:val="left"/>
          <w:tab w:leader="none" w:pos="76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69353Y 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6 of 9 Pages</w:t>
      </w:r>
    </w:p>
    <w:p>
      <w:pPr>
        <w:spacing w:after="0" w:line="175" w:lineRule="exact"/>
        <w:rPr>
          <w:sz w:val="20"/>
          <w:szCs w:val="20"/>
          <w:color w:val="auto"/>
        </w:rPr>
      </w:pPr>
    </w:p>
    <w:p>
      <w:pPr>
        <w:ind w:left="620" w:hanging="377"/>
        <w:spacing w:after="0"/>
        <w:tabs>
          <w:tab w:leader="none" w:pos="62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5220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Khaled A. Nasr (a Venture Member of InterWest Management Partners X, LLC)</w:t>
      </w:r>
    </w:p>
    <w:p>
      <w:pPr>
        <w:spacing w:after="0" w:line="40" w:lineRule="exact"/>
        <w:rPr>
          <w:sz w:val="20"/>
          <w:szCs w:val="20"/>
          <w:color w:val="auto"/>
        </w:rPr>
      </w:pPr>
    </w:p>
    <w:p>
      <w:pPr>
        <w:ind w:left="620" w:hanging="377"/>
        <w:spacing w:after="0"/>
        <w:tabs>
          <w:tab w:leader="none" w:pos="62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219"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20" w:hanging="377"/>
        <w:spacing w:after="0"/>
        <w:tabs>
          <w:tab w:leader="none" w:pos="62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2" w:lineRule="exact"/>
        <w:rPr>
          <w:sz w:val="20"/>
          <w:szCs w:val="20"/>
          <w:color w:val="auto"/>
        </w:rPr>
      </w:pPr>
    </w:p>
    <w:p>
      <w:pPr>
        <w:ind w:left="620" w:hanging="377"/>
        <w:spacing w:after="0"/>
        <w:tabs>
          <w:tab w:leader="none" w:pos="62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United States</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5</w:t>
            </w:r>
          </w:p>
        </w:tc>
        <w:tc>
          <w:tcPr>
            <w:tcW w:w="904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6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14,633</w:t>
            </w:r>
          </w:p>
        </w:tc>
        <w:tc>
          <w:tcPr>
            <w:tcW w:w="0" w:type="dxa"/>
            <w:vAlign w:val="bottom"/>
          </w:tcPr>
          <w:p>
            <w:pPr>
              <w:spacing w:after="0"/>
              <w:rPr>
                <w:sz w:val="1"/>
                <w:szCs w:val="1"/>
                <w:color w:val="auto"/>
              </w:rPr>
            </w:pPr>
          </w:p>
        </w:tc>
      </w:tr>
      <w:tr>
        <w:trPr>
          <w:trHeight w:val="134"/>
        </w:trPr>
        <w:tc>
          <w:tcPr>
            <w:tcW w:w="1300" w:type="dxa"/>
            <w:vAlign w:val="bottom"/>
            <w:vMerge w:val="continue"/>
          </w:tcPr>
          <w:p>
            <w:pPr>
              <w:spacing w:after="0"/>
              <w:rPr>
                <w:sz w:val="11"/>
                <w:szCs w:val="11"/>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6</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vMerge w:val="continue"/>
          </w:tcPr>
          <w:p>
            <w:pPr>
              <w:spacing w:after="0"/>
              <w:rPr>
                <w:sz w:val="8"/>
                <w:szCs w:val="8"/>
                <w:color w:val="auto"/>
              </w:rPr>
            </w:pPr>
          </w:p>
        </w:tc>
        <w:tc>
          <w:tcPr>
            <w:tcW w:w="9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3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9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3,234,911</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10"/>
                <w:szCs w:val="10"/>
                <w:color w:val="auto"/>
              </w:rPr>
            </w:pPr>
          </w:p>
        </w:tc>
        <w:tc>
          <w:tcPr>
            <w:tcW w:w="90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7</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vMerge w:val="continue"/>
          </w:tcPr>
          <w:p>
            <w:pPr>
              <w:spacing w:after="0"/>
              <w:rPr>
                <w:sz w:val="13"/>
                <w:szCs w:val="13"/>
                <w:color w:val="auto"/>
              </w:rPr>
            </w:pPr>
          </w:p>
        </w:tc>
        <w:tc>
          <w:tcPr>
            <w:tcW w:w="9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3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14,633</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tcBorders>
          </w:tcPr>
          <w:p>
            <w:pPr>
              <w:spacing w:after="0"/>
              <w:rPr>
                <w:sz w:val="15"/>
                <w:szCs w:val="15"/>
                <w:color w:val="auto"/>
              </w:rPr>
            </w:pPr>
          </w:p>
        </w:tc>
        <w:tc>
          <w:tcPr>
            <w:tcW w:w="9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8</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3,234,911</w:t>
      </w:r>
    </w:p>
    <w:p>
      <w:pPr>
        <w:spacing w:after="0" w:line="36" w:lineRule="exact"/>
        <w:rPr>
          <w:sz w:val="20"/>
          <w:szCs w:val="20"/>
          <w:color w:val="auto"/>
        </w:rPr>
      </w:pPr>
    </w:p>
    <w:p>
      <w:pPr>
        <w:ind w:left="600" w:hanging="357"/>
        <w:spacing w:after="0"/>
        <w:tabs>
          <w:tab w:leader="none" w:pos="60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3,249,544</w:t>
      </w:r>
    </w:p>
    <w:p>
      <w:pPr>
        <w:spacing w:after="0" w:line="36" w:lineRule="exact"/>
        <w:rPr>
          <w:sz w:val="20"/>
          <w:szCs w:val="20"/>
          <w:color w:val="auto"/>
        </w:rPr>
      </w:pPr>
    </w:p>
    <w:p>
      <w:pPr>
        <w:ind w:left="620" w:hanging="467"/>
        <w:spacing w:after="0"/>
        <w:tabs>
          <w:tab w:leader="none" w:pos="62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w:t>
      </w:r>
    </w:p>
    <w:p>
      <w:pPr>
        <w:spacing w:after="0" w:line="219" w:lineRule="exact"/>
        <w:rPr>
          <w:rFonts w:ascii="Arial" w:cs="Arial" w:eastAsia="Arial" w:hAnsi="Arial"/>
          <w:sz w:val="18"/>
          <w:szCs w:val="18"/>
          <w:b w:val="1"/>
          <w:bCs w:val="1"/>
          <w:color w:val="auto"/>
        </w:rPr>
      </w:pPr>
    </w:p>
    <w:p>
      <w:pPr>
        <w:ind w:left="62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b w:val="1"/>
          <w:bCs w:val="1"/>
          <w:color w:val="auto"/>
        </w:rPr>
      </w:pPr>
    </w:p>
    <w:p>
      <w:pPr>
        <w:ind w:left="620" w:right="5220" w:hanging="467"/>
        <w:spacing w:after="0" w:line="400" w:lineRule="auto"/>
        <w:tabs>
          <w:tab w:leader="none" w:pos="62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7.2%</w:t>
      </w:r>
    </w:p>
    <w:p>
      <w:pPr>
        <w:spacing w:after="0" w:line="4" w:lineRule="exact"/>
        <w:rPr>
          <w:rFonts w:ascii="Arial" w:cs="Arial" w:eastAsia="Arial" w:hAnsi="Arial"/>
          <w:sz w:val="18"/>
          <w:szCs w:val="18"/>
          <w:b w:val="1"/>
          <w:bCs w:val="1"/>
          <w:color w:val="auto"/>
        </w:rPr>
      </w:pPr>
    </w:p>
    <w:p>
      <w:pPr>
        <w:ind w:left="600" w:hanging="447"/>
        <w:spacing w:after="0"/>
        <w:tabs>
          <w:tab w:leader="none" w:pos="60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IN</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Neither the filing of this statement on Schedule 13G nor any of its contents shall be deemed to constitute an admission by Khaled A. Nasr that he is the beneficial owner of any of the Common Stock referred to herein for purposes of Section 13(d) of the Securities Exchange Act of 1934, as amended, or for any other purpose.</w:t>
      </w:r>
    </w:p>
    <w:p>
      <w:pPr>
        <w:sectPr>
          <w:pgSz w:w="11900" w:h="16838" w:orient="portrait"/>
          <w:cols w:equalWidth="0" w:num="1">
            <w:col w:w="10900"/>
          </w:cols>
          <w:pgMar w:left="440" w:top="270" w:right="559" w:bottom="1440" w:gutter="0" w:footer="0" w:header="0"/>
        </w:sectPr>
      </w:pPr>
    </w:p>
    <w:bookmarkStart w:id="6" w:name="page7"/>
    <w:bookmarkEnd w:id="6"/>
    <w:p>
      <w:pPr>
        <w:ind w:left="4"/>
        <w:spacing w:after="0"/>
        <w:tabs>
          <w:tab w:leader="none" w:pos="3964" w:val="left"/>
          <w:tab w:leader="none" w:pos="76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69353Y 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7 of 9 Pages</w:t>
      </w:r>
    </w:p>
    <w:p>
      <w:pPr>
        <w:spacing w:after="0" w:line="26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w:t>
      </w:r>
    </w:p>
    <w:p>
      <w:pPr>
        <w:spacing w:after="0" w:line="131" w:lineRule="exact"/>
        <w:rPr>
          <w:sz w:val="20"/>
          <w:szCs w:val="20"/>
          <w:color w:val="auto"/>
        </w:rPr>
      </w:pPr>
    </w:p>
    <w:p>
      <w:pPr>
        <w:ind w:left="424" w:hanging="424"/>
        <w:spacing w:after="0"/>
        <w:tabs>
          <w:tab w:leader="none" w:pos="424"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 OF ISSUER: </w:t>
      </w:r>
      <w:r>
        <w:rPr>
          <w:rFonts w:ascii="Arial" w:cs="Arial" w:eastAsia="Arial" w:hAnsi="Arial"/>
          <w:sz w:val="18"/>
          <w:szCs w:val="18"/>
          <w:color w:val="auto"/>
        </w:rPr>
        <w:t>PMV Pharmaceuticals, Inc.</w:t>
      </w:r>
    </w:p>
    <w:p>
      <w:pPr>
        <w:spacing w:after="0" w:line="130" w:lineRule="exact"/>
        <w:rPr>
          <w:rFonts w:ascii="Arial" w:cs="Arial" w:eastAsia="Arial" w:hAnsi="Arial"/>
          <w:sz w:val="18"/>
          <w:szCs w:val="18"/>
          <w:b w:val="1"/>
          <w:bCs w:val="1"/>
          <w:color w:val="auto"/>
        </w:rPr>
      </w:pPr>
    </w:p>
    <w:p>
      <w:pPr>
        <w:ind w:left="424" w:hanging="424"/>
        <w:spacing w:after="0"/>
        <w:tabs>
          <w:tab w:leader="none" w:pos="424"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8 Clarke Dr., Suite 3, Cranbury, NJ 08512</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w:t>
      </w:r>
    </w:p>
    <w:p>
      <w:pPr>
        <w:spacing w:after="0" w:line="131" w:lineRule="exact"/>
        <w:rPr>
          <w:sz w:val="20"/>
          <w:szCs w:val="20"/>
          <w:color w:val="auto"/>
        </w:rPr>
      </w:pPr>
    </w:p>
    <w:p>
      <w:pPr>
        <w:ind w:left="424" w:hanging="424"/>
        <w:spacing w:after="0"/>
        <w:tabs>
          <w:tab w:leader="none" w:pos="42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PERSON(S) FILING:</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InterWest Partners X, LP (“IWP X”)</w:t>
      </w:r>
    </w:p>
    <w:p>
      <w:pPr>
        <w:spacing w:after="0" w:line="23" w:lineRule="exact"/>
        <w:rPr>
          <w:rFonts w:ascii="Arial" w:cs="Arial" w:eastAsia="Arial" w:hAnsi="Arial"/>
          <w:sz w:val="18"/>
          <w:szCs w:val="18"/>
          <w:b w:val="1"/>
          <w:bCs w:val="1"/>
          <w:color w:val="auto"/>
        </w:rPr>
      </w:pPr>
    </w:p>
    <w:p>
      <w:pPr>
        <w:ind w:left="444" w:right="5839"/>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InterWest Management Partners X, LLC (“IMP X”) Keval Desai (“Desai”)</w:t>
      </w:r>
    </w:p>
    <w:p>
      <w:pPr>
        <w:ind w:left="444" w:right="7399"/>
        <w:spacing w:after="0" w:line="290" w:lineRule="auto"/>
        <w:rPr>
          <w:rFonts w:ascii="Arial" w:cs="Arial" w:eastAsia="Arial" w:hAnsi="Arial"/>
          <w:sz w:val="18"/>
          <w:szCs w:val="18"/>
          <w:b w:val="1"/>
          <w:bCs w:val="1"/>
          <w:color w:val="auto"/>
        </w:rPr>
      </w:pPr>
      <w:r>
        <w:rPr>
          <w:rFonts w:ascii="Arial" w:cs="Arial" w:eastAsia="Arial" w:hAnsi="Arial"/>
          <w:sz w:val="17"/>
          <w:szCs w:val="17"/>
          <w:color w:val="auto"/>
        </w:rPr>
        <w:t>Gilbert H. Kliman (“Kliman”) Khaled A. Nasr (“Nasr”)</w:t>
      </w:r>
    </w:p>
    <w:p>
      <w:pPr>
        <w:spacing w:after="0" w:line="62" w:lineRule="exact"/>
        <w:rPr>
          <w:rFonts w:ascii="Arial" w:cs="Arial" w:eastAsia="Arial" w:hAnsi="Arial"/>
          <w:sz w:val="18"/>
          <w:szCs w:val="18"/>
          <w:b w:val="1"/>
          <w:bCs w:val="1"/>
          <w:color w:val="auto"/>
        </w:rPr>
      </w:pPr>
    </w:p>
    <w:p>
      <w:pPr>
        <w:ind w:left="444" w:right="3439" w:hanging="444"/>
        <w:spacing w:after="0" w:line="383" w:lineRule="auto"/>
        <w:tabs>
          <w:tab w:leader="none" w:pos="436"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ADDRESS OF PRINCIPAL BUSINESS OFFICE OR, IF NONE, RESIDENCE: </w:t>
      </w:r>
      <w:r>
        <w:rPr>
          <w:rFonts w:ascii="Arial" w:cs="Arial" w:eastAsia="Arial" w:hAnsi="Arial"/>
          <w:sz w:val="18"/>
          <w:szCs w:val="18"/>
          <w:color w:val="auto"/>
        </w:rPr>
        <w:t>467 First Street, Suite 201, Los Altos, CA 94022</w:t>
      </w:r>
    </w:p>
    <w:p>
      <w:pPr>
        <w:ind w:left="424" w:hanging="424"/>
        <w:spacing w:after="0"/>
        <w:tabs>
          <w:tab w:leader="none" w:pos="42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CITIZENSHIP/PLACE OF ORGANIZATION:</w:t>
      </w:r>
    </w:p>
    <w:p>
      <w:pPr>
        <w:sectPr>
          <w:pgSz w:w="11900" w:h="16838" w:orient="portrait"/>
          <w:cols w:equalWidth="0" w:num="1">
            <w:col w:w="10023"/>
          </w:cols>
          <w:pgMar w:left="436" w:top="270" w:right="1440" w:bottom="1440" w:gutter="0" w:footer="0" w:header="0"/>
        </w:sectPr>
      </w:pP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IWP X:</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IMP X:</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Desai:</w:t>
      </w:r>
    </w:p>
    <w:p>
      <w:pPr>
        <w:spacing w:after="0" w:line="9" w:lineRule="exact"/>
        <w:rPr>
          <w:sz w:val="20"/>
          <w:szCs w:val="20"/>
          <w:color w:val="auto"/>
        </w:rPr>
      </w:pPr>
    </w:p>
    <w:p>
      <w:pPr>
        <w:ind w:left="4"/>
        <w:spacing w:after="0"/>
        <w:rPr>
          <w:sz w:val="20"/>
          <w:szCs w:val="20"/>
          <w:color w:val="auto"/>
        </w:rPr>
      </w:pPr>
      <w:r>
        <w:rPr>
          <w:rFonts w:ascii="Arial" w:cs="Arial" w:eastAsia="Arial" w:hAnsi="Arial"/>
          <w:sz w:val="17"/>
          <w:szCs w:val="17"/>
          <w:color w:val="auto"/>
        </w:rPr>
        <w:t>Kliman: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Nasr: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United States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5"/>
          <w:szCs w:val="15"/>
          <w:color w:val="auto"/>
        </w:rPr>
        <w:t>United States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United States</w:t>
      </w:r>
    </w:p>
    <w:p>
      <w:pPr>
        <w:spacing w:after="0" w:line="134" w:lineRule="exact"/>
        <w:rPr>
          <w:sz w:val="20"/>
          <w:szCs w:val="20"/>
          <w:color w:val="auto"/>
        </w:rPr>
      </w:pPr>
    </w:p>
    <w:p>
      <w:pPr>
        <w:sectPr>
          <w:pgSz w:w="11900" w:h="16838" w:orient="portrait"/>
          <w:cols w:equalWidth="0" w:num="2">
            <w:col w:w="584" w:space="540"/>
            <w:col w:w="8899"/>
          </w:cols>
          <w:pgMar w:left="436" w:top="270" w:right="1440" w:bottom="1440" w:gutter="0" w:footer="0" w:header="0"/>
          <w:type w:val="continuous"/>
        </w:sectPr>
      </w:pPr>
    </w:p>
    <w:p>
      <w:pPr>
        <w:ind w:left="424" w:hanging="424"/>
        <w:spacing w:after="0"/>
        <w:tabs>
          <w:tab w:leader="none" w:pos="424"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TITLE OF CLASS OF SECURITIES: </w:t>
      </w:r>
      <w:r>
        <w:rPr>
          <w:rFonts w:ascii="Arial" w:cs="Arial" w:eastAsia="Arial" w:hAnsi="Arial"/>
          <w:sz w:val="17"/>
          <w:szCs w:val="17"/>
          <w:color w:val="auto"/>
        </w:rPr>
        <w:t>Common Stock</w:t>
      </w:r>
    </w:p>
    <w:p>
      <w:pPr>
        <w:spacing w:after="0" w:line="142" w:lineRule="exact"/>
        <w:rPr>
          <w:rFonts w:ascii="Arial" w:cs="Arial" w:eastAsia="Arial" w:hAnsi="Arial"/>
          <w:sz w:val="17"/>
          <w:szCs w:val="17"/>
          <w:b w:val="1"/>
          <w:bCs w:val="1"/>
          <w:color w:val="auto"/>
        </w:rPr>
      </w:pPr>
    </w:p>
    <w:p>
      <w:pPr>
        <w:ind w:left="424" w:hanging="424"/>
        <w:spacing w:after="0"/>
        <w:tabs>
          <w:tab w:leader="none" w:pos="424"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CUSIP NUMBER: 69353Y 103</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3. NOT APPLICABLE.</w:t>
      </w:r>
    </w:p>
    <w:p>
      <w:pPr>
        <w:sectPr>
          <w:pgSz w:w="11900" w:h="16838" w:orient="portrait"/>
          <w:cols w:equalWidth="0" w:num="1">
            <w:col w:w="10023"/>
          </w:cols>
          <w:pgMar w:left="436" w:top="270" w:right="1440" w:bottom="1440" w:gutter="0" w:footer="0" w:header="0"/>
          <w:type w:val="continuous"/>
        </w:sectPr>
      </w:pPr>
    </w:p>
    <w:bookmarkStart w:id="7" w:name="page8"/>
    <w:bookmarkEnd w:id="7"/>
    <w:tbl>
      <w:tblPr>
        <w:tblLayout w:type="fixed"/>
        <w:tblInd w:w="4"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r>
              <w:rPr>
                <w:rFonts w:ascii="Arial" w:cs="Arial" w:eastAsia="Arial" w:hAnsi="Arial"/>
                <w:sz w:val="18"/>
                <w:szCs w:val="18"/>
                <w:b w:val="1"/>
                <w:bCs w:val="1"/>
                <w:color w:val="auto"/>
              </w:rPr>
              <w:t>Cusip No. 69353Y 103</w:t>
            </w:r>
          </w:p>
        </w:tc>
        <w:tc>
          <w:tcPr>
            <w:tcW w:w="2540" w:type="dxa"/>
            <w:vAlign w:val="bottom"/>
            <w:gridSpan w:val="3"/>
          </w:tcPr>
          <w:p>
            <w:pPr>
              <w:jc w:val="right"/>
              <w:ind w:right="1160"/>
              <w:spacing w:after="0"/>
              <w:rPr>
                <w:sz w:val="20"/>
                <w:szCs w:val="20"/>
                <w:color w:val="auto"/>
              </w:rPr>
            </w:pPr>
            <w:r>
              <w:rPr>
                <w:rFonts w:ascii="Arial" w:cs="Arial" w:eastAsia="Arial" w:hAnsi="Arial"/>
                <w:sz w:val="18"/>
                <w:szCs w:val="18"/>
                <w:b w:val="1"/>
                <w:bCs w:val="1"/>
                <w:color w:val="auto"/>
              </w:rPr>
              <w:t>13G</w:t>
            </w: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6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Page 8 of 9 Pages</w:t>
            </w: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73"/>
        </w:trPr>
        <w:tc>
          <w:tcPr>
            <w:tcW w:w="2920" w:type="dxa"/>
            <w:vAlign w:val="bottom"/>
          </w:tcPr>
          <w:p>
            <w:pPr>
              <w:spacing w:after="0"/>
              <w:rPr>
                <w:sz w:val="20"/>
                <w:szCs w:val="20"/>
                <w:color w:val="auto"/>
              </w:rPr>
            </w:pPr>
            <w:r>
              <w:rPr>
                <w:rFonts w:ascii="Arial" w:cs="Arial" w:eastAsia="Arial" w:hAnsi="Arial"/>
                <w:sz w:val="18"/>
                <w:szCs w:val="18"/>
                <w:b w:val="1"/>
                <w:bCs w:val="1"/>
                <w:color w:val="auto"/>
              </w:rPr>
              <w:t>ITEM 4. OWNERSHIP.</w:t>
            </w: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92"/>
        </w:trPr>
        <w:tc>
          <w:tcPr>
            <w:tcW w:w="2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IWP X</w:t>
            </w:r>
          </w:p>
        </w:tc>
        <w:tc>
          <w:tcPr>
            <w:tcW w:w="14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IMP X (1)</w:t>
            </w:r>
          </w:p>
        </w:tc>
        <w:tc>
          <w:tcPr>
            <w:tcW w:w="14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Desai (2)</w:t>
            </w: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Kliman (2)</w:t>
            </w: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Nasr (2)</w:t>
            </w:r>
          </w:p>
        </w:tc>
      </w:tr>
      <w:tr>
        <w:trPr>
          <w:trHeight w:val="209"/>
        </w:trPr>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Beneficial Ownership</w:t>
            </w:r>
          </w:p>
        </w:tc>
        <w:tc>
          <w:tcPr>
            <w:tcW w:w="1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3,234,911</w:t>
            </w:r>
          </w:p>
        </w:tc>
        <w:tc>
          <w:tcPr>
            <w:tcW w:w="6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3,234,911</w:t>
            </w:r>
          </w:p>
        </w:tc>
        <w:tc>
          <w:tcPr>
            <w:tcW w:w="6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3,244,719</w:t>
            </w:r>
          </w:p>
        </w:tc>
        <w:tc>
          <w:tcPr>
            <w:tcW w:w="6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3,239,911</w:t>
            </w:r>
          </w:p>
        </w:tc>
        <w:tc>
          <w:tcPr>
            <w:tcW w:w="6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3,249,544</w:t>
            </w:r>
          </w:p>
        </w:tc>
        <w:tc>
          <w:tcPr>
            <w:tcW w:w="460" w:type="dxa"/>
            <w:vAlign w:val="bottom"/>
            <w:tcBorders>
              <w:top w:val="single" w:sz="8" w:color="CCEEFF"/>
            </w:tcBorders>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Percentage of Class</w:t>
            </w:r>
          </w:p>
        </w:tc>
        <w:tc>
          <w:tcPr>
            <w:tcW w:w="2540" w:type="dxa"/>
            <w:vAlign w:val="bottom"/>
            <w:gridSpan w:val="3"/>
          </w:tcPr>
          <w:p>
            <w:pPr>
              <w:jc w:val="right"/>
              <w:ind w:right="260"/>
              <w:spacing w:after="0"/>
              <w:rPr>
                <w:sz w:val="20"/>
                <w:szCs w:val="20"/>
                <w:color w:val="auto"/>
              </w:rPr>
            </w:pPr>
            <w:r>
              <w:rPr>
                <w:rFonts w:ascii="Arial" w:cs="Arial" w:eastAsia="Arial" w:hAnsi="Arial"/>
                <w:sz w:val="18"/>
                <w:szCs w:val="18"/>
                <w:color w:val="auto"/>
              </w:rPr>
              <w:t>7.1% (3)</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7.1% (3)</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7.1% (3)</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7.1% (3)</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7.2% (3)</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Sole Voting Power</w:t>
            </w:r>
          </w:p>
        </w:tc>
        <w:tc>
          <w:tcPr>
            <w:tcW w:w="25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3,234,911</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3,234,911</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9,808</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5,000</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14,633</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Shared Voting Power</w:t>
            </w:r>
          </w:p>
        </w:tc>
        <w:tc>
          <w:tcPr>
            <w:tcW w:w="2540" w:type="dxa"/>
            <w:vAlign w:val="bottom"/>
            <w:gridSpan w:val="3"/>
          </w:tcPr>
          <w:p>
            <w:pPr>
              <w:jc w:val="right"/>
              <w:ind w:right="660"/>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3,234,911</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w w:val="92"/>
              </w:rPr>
              <w:t>3,234,911</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3,234,911</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Sole Dispositive Power</w:t>
            </w:r>
          </w:p>
        </w:tc>
        <w:tc>
          <w:tcPr>
            <w:tcW w:w="25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3,234,911</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3,234,911</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9,808</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5,000</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14,633</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540" w:type="dxa"/>
            <w:vAlign w:val="bottom"/>
            <w:gridSpan w:val="3"/>
          </w:tcPr>
          <w:p>
            <w:pPr>
              <w:jc w:val="right"/>
              <w:ind w:right="660"/>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3,234,911</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w w:val="92"/>
              </w:rPr>
              <w:t>3,234,911</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3,234,911</w:t>
            </w:r>
          </w:p>
        </w:tc>
      </w:tr>
    </w:tbl>
    <w:p>
      <w:pPr>
        <w:spacing w:after="0" w:line="2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tabs>
          <w:tab w:leader="none" w:pos="4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 X is the general partner of IWP X.</w:t>
      </w:r>
    </w:p>
    <w:p>
      <w:pPr>
        <w:spacing w:after="0" w:line="23" w:lineRule="exact"/>
        <w:rPr>
          <w:rFonts w:ascii="Arial" w:cs="Arial" w:eastAsia="Arial" w:hAnsi="Arial"/>
          <w:sz w:val="18"/>
          <w:szCs w:val="18"/>
          <w:color w:val="auto"/>
        </w:rPr>
      </w:pPr>
    </w:p>
    <w:p>
      <w:pPr>
        <w:ind w:left="424" w:right="40" w:hanging="424"/>
        <w:spacing w:after="0" w:line="250" w:lineRule="auto"/>
        <w:tabs>
          <w:tab w:leader="none" w:pos="4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Kliman is a Managing Director of IMP X. Desai and Nasr are Venture Members of IMP X. The Managing Directors and Venture Members of IMP X share voting and investment control over shares held by IWP X.</w:t>
      </w:r>
    </w:p>
    <w:p>
      <w:pPr>
        <w:ind w:left="424" w:right="260" w:hanging="424"/>
        <w:spacing w:after="0" w:line="260" w:lineRule="auto"/>
        <w:tabs>
          <w:tab w:leader="none" w:pos="4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upon 45,380,354 shares of the Issuer’s Common Stock outstanding as of November 10, 2021, as reported in the Issuer’s Form 10-Q filed with the Securities and Exchange Commission (the “SEC”) on November 12, 2021.</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121" w:lineRule="exact"/>
        <w:rPr>
          <w:sz w:val="20"/>
          <w:szCs w:val="20"/>
          <w:color w:val="auto"/>
        </w:rPr>
      </w:pPr>
    </w:p>
    <w:p>
      <w:pPr>
        <w:ind w:left="4" w:right="320"/>
        <w:spacing w:after="0" w:line="263" w:lineRule="auto"/>
        <w:rPr>
          <w:sz w:val="20"/>
          <w:szCs w:val="20"/>
          <w:color w:val="auto"/>
        </w:rPr>
      </w:pPr>
      <w:r>
        <w:rPr>
          <w:rFonts w:ascii="Arial" w:cs="Arial" w:eastAsia="Arial" w:hAnsi="Arial"/>
          <w:sz w:val="18"/>
          <w:szCs w:val="18"/>
          <w:color w:val="auto"/>
        </w:rPr>
        <w:t>Under certain circumstances set forth in the limited liability company operating agreement of IMP X, the members of such limited liability company have the right to receive dividends from, or the proceeds from the sale of, the common stock of Issuer beneficially owned by such limited liability company.</w:t>
      </w:r>
    </w:p>
    <w:p>
      <w:pPr>
        <w:spacing w:after="0" w:line="288" w:lineRule="exact"/>
        <w:rPr>
          <w:sz w:val="20"/>
          <w:szCs w:val="20"/>
          <w:color w:val="auto"/>
        </w:rPr>
      </w:pPr>
    </w:p>
    <w:p>
      <w:pPr>
        <w:ind w:left="4" w:right="12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 reporting person is a member of a group as defined in section 240.13d-1(b)(1)(iii)(H) of the Act.</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 NOTICE OF DISSOLUTION OF THE GROUP.</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4"/>
          </w:cols>
          <w:pgMar w:left="436" w:top="270" w:right="439" w:bottom="1440" w:gutter="0" w:footer="0" w:header="0"/>
        </w:sectPr>
      </w:pPr>
    </w:p>
    <w:bookmarkStart w:id="8" w:name="page9"/>
    <w:bookmarkEnd w:id="8"/>
    <w:p>
      <w:pPr>
        <w:spacing w:after="0"/>
        <w:tabs>
          <w:tab w:leader="none" w:pos="3960" w:val="left"/>
          <w:tab w:leader="none" w:pos="76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69353Y 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9 of 9 Pages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Joint Filing Statement attached as Exhibit A.</w:t>
      </w:r>
    </w:p>
    <w:p>
      <w:pPr>
        <w:spacing w:after="0" w:line="200" w:lineRule="exact"/>
        <w:rPr>
          <w:sz w:val="20"/>
          <w:szCs w:val="20"/>
          <w:color w:val="auto"/>
        </w:rPr>
      </w:pPr>
    </w:p>
    <w:p>
      <w:pPr>
        <w:spacing w:after="0" w:line="23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February 14,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INTERWEST PARTNERS X,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Pr>
          <w:p>
            <w:pPr>
              <w:ind w:left="60"/>
              <w:spacing w:after="0"/>
              <w:rPr>
                <w:sz w:val="20"/>
                <w:szCs w:val="20"/>
                <w:color w:val="auto"/>
              </w:rPr>
            </w:pPr>
            <w:r>
              <w:rPr>
                <w:rFonts w:ascii="Arial" w:cs="Arial" w:eastAsia="Arial" w:hAnsi="Arial"/>
                <w:sz w:val="18"/>
                <w:szCs w:val="18"/>
                <w:color w:val="auto"/>
              </w:rPr>
              <w:t>InterWest Management Partners X, LLC, its</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3840" w:type="dxa"/>
            <w:vAlign w:val="bottom"/>
          </w:tcPr>
          <w:p>
            <w:pPr>
              <w:ind w:left="60"/>
              <w:spacing w:after="0"/>
              <w:rPr>
                <w:sz w:val="20"/>
                <w:szCs w:val="20"/>
                <w:color w:val="auto"/>
              </w:rPr>
            </w:pPr>
            <w:r>
              <w:rPr>
                <w:rFonts w:ascii="Arial" w:cs="Arial" w:eastAsia="Arial" w:hAnsi="Arial"/>
                <w:sz w:val="18"/>
                <w:szCs w:val="18"/>
                <w:color w:val="auto"/>
              </w:rPr>
              <w:t>General Partner</w:t>
            </w:r>
          </w:p>
        </w:tc>
        <w:tc>
          <w:tcPr>
            <w:tcW w:w="0" w:type="dxa"/>
            <w:vAlign w:val="bottom"/>
          </w:tcPr>
          <w:p>
            <w:pPr>
              <w:spacing w:after="0"/>
              <w:rPr>
                <w:sz w:val="1"/>
                <w:szCs w:val="1"/>
                <w:color w:val="auto"/>
              </w:rPr>
            </w:pP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Karen A. Wilson, Power of Attorney</w:t>
            </w:r>
          </w:p>
        </w:tc>
        <w:tc>
          <w:tcPr>
            <w:tcW w:w="0" w:type="dxa"/>
            <w:vAlign w:val="bottom"/>
          </w:tcPr>
          <w:p>
            <w:pPr>
              <w:spacing w:after="0"/>
              <w:rPr>
                <w:sz w:val="1"/>
                <w:szCs w:val="1"/>
                <w:color w:val="auto"/>
              </w:rPr>
            </w:pPr>
          </w:p>
        </w:tc>
      </w:tr>
      <w:tr>
        <w:trPr>
          <w:trHeight w:val="224"/>
        </w:trPr>
        <w:tc>
          <w:tcPr>
            <w:tcW w:w="560" w:type="dxa"/>
            <w:vAlign w:val="bottom"/>
          </w:tcPr>
          <w:p>
            <w:pPr>
              <w:spacing w:after="0"/>
              <w:rPr>
                <w:sz w:val="19"/>
                <w:szCs w:val="19"/>
                <w:color w:val="auto"/>
              </w:rPr>
            </w:pPr>
          </w:p>
        </w:tc>
        <w:tc>
          <w:tcPr>
            <w:tcW w:w="3840" w:type="dxa"/>
            <w:vAlign w:val="bottom"/>
          </w:tcPr>
          <w:p>
            <w:pPr>
              <w:ind w:left="60"/>
              <w:spacing w:after="0"/>
              <w:rPr>
                <w:sz w:val="20"/>
                <w:szCs w:val="20"/>
                <w:color w:val="auto"/>
              </w:rPr>
            </w:pPr>
            <w:r>
              <w:rPr>
                <w:rFonts w:ascii="Arial" w:cs="Arial" w:eastAsia="Arial" w:hAnsi="Arial"/>
                <w:sz w:val="18"/>
                <w:szCs w:val="18"/>
                <w:color w:val="auto"/>
              </w:rPr>
              <w:t>Attorney-in-Fact</w:t>
            </w:r>
          </w:p>
        </w:tc>
        <w:tc>
          <w:tcPr>
            <w:tcW w:w="0" w:type="dxa"/>
            <w:vAlign w:val="bottom"/>
          </w:tcPr>
          <w:p>
            <w:pPr>
              <w:spacing w:after="0"/>
              <w:rPr>
                <w:sz w:val="1"/>
                <w:szCs w:val="1"/>
                <w:color w:val="auto"/>
              </w:rPr>
            </w:pPr>
          </w:p>
        </w:tc>
      </w:tr>
      <w:tr>
        <w:trPr>
          <w:trHeight w:val="418"/>
        </w:trPr>
        <w:tc>
          <w:tcPr>
            <w:tcW w:w="4400" w:type="dxa"/>
            <w:vAlign w:val="bottom"/>
            <w:gridSpan w:val="2"/>
          </w:tcPr>
          <w:p>
            <w:pPr>
              <w:spacing w:after="0"/>
              <w:rPr>
                <w:sz w:val="20"/>
                <w:szCs w:val="20"/>
                <w:color w:val="auto"/>
              </w:rPr>
            </w:pPr>
            <w:r>
              <w:rPr>
                <w:rFonts w:ascii="Arial" w:cs="Arial" w:eastAsia="Arial" w:hAnsi="Arial"/>
                <w:sz w:val="18"/>
                <w:szCs w:val="18"/>
                <w:color w:val="auto"/>
              </w:rPr>
              <w:t>INTERWEST MANAGEMENT PARTNERS X, LLC</w:t>
            </w:r>
          </w:p>
        </w:tc>
        <w:tc>
          <w:tcPr>
            <w:tcW w:w="0" w:type="dxa"/>
            <w:vAlign w:val="bottom"/>
          </w:tcPr>
          <w:p>
            <w:pPr>
              <w:spacing w:after="0"/>
              <w:rPr>
                <w:sz w:val="1"/>
                <w:szCs w:val="1"/>
                <w:color w:val="auto"/>
              </w:rPr>
            </w:pP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Karen A. Wilson, Power of Attorney</w:t>
            </w:r>
          </w:p>
        </w:tc>
        <w:tc>
          <w:tcPr>
            <w:tcW w:w="0" w:type="dxa"/>
            <w:vAlign w:val="bottom"/>
          </w:tcPr>
          <w:p>
            <w:pPr>
              <w:spacing w:after="0"/>
              <w:rPr>
                <w:sz w:val="1"/>
                <w:szCs w:val="1"/>
                <w:color w:val="auto"/>
              </w:rPr>
            </w:pPr>
          </w:p>
        </w:tc>
      </w:tr>
      <w:tr>
        <w:trPr>
          <w:trHeight w:val="224"/>
        </w:trPr>
        <w:tc>
          <w:tcPr>
            <w:tcW w:w="560" w:type="dxa"/>
            <w:vAlign w:val="bottom"/>
          </w:tcPr>
          <w:p>
            <w:pPr>
              <w:spacing w:after="0"/>
              <w:rPr>
                <w:sz w:val="19"/>
                <w:szCs w:val="19"/>
                <w:color w:val="auto"/>
              </w:rPr>
            </w:pPr>
          </w:p>
        </w:tc>
        <w:tc>
          <w:tcPr>
            <w:tcW w:w="3840" w:type="dxa"/>
            <w:vAlign w:val="bottom"/>
          </w:tcPr>
          <w:p>
            <w:pPr>
              <w:ind w:left="60"/>
              <w:spacing w:after="0"/>
              <w:rPr>
                <w:sz w:val="20"/>
                <w:szCs w:val="20"/>
                <w:color w:val="auto"/>
              </w:rPr>
            </w:pPr>
            <w:r>
              <w:rPr>
                <w:rFonts w:ascii="Arial" w:cs="Arial" w:eastAsia="Arial" w:hAnsi="Arial"/>
                <w:sz w:val="18"/>
                <w:szCs w:val="18"/>
                <w:color w:val="auto"/>
              </w:rPr>
              <w:t>Attorney-in-Fact</w:t>
            </w:r>
          </w:p>
        </w:tc>
        <w:tc>
          <w:tcPr>
            <w:tcW w:w="0" w:type="dxa"/>
            <w:vAlign w:val="bottom"/>
          </w:tcPr>
          <w:p>
            <w:pPr>
              <w:spacing w:after="0"/>
              <w:rPr>
                <w:sz w:val="1"/>
                <w:szCs w:val="1"/>
                <w:color w:val="auto"/>
              </w:rPr>
            </w:pPr>
          </w:p>
        </w:tc>
      </w:tr>
      <w:tr>
        <w:trPr>
          <w:trHeight w:val="403"/>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Pr>
          <w:p>
            <w:pPr>
              <w:ind w:left="60"/>
              <w:spacing w:after="0"/>
              <w:rPr>
                <w:sz w:val="20"/>
                <w:szCs w:val="20"/>
                <w:color w:val="auto"/>
              </w:rPr>
            </w:pPr>
            <w:r>
              <w:rPr>
                <w:rFonts w:ascii="Arial" w:cs="Arial" w:eastAsia="Arial" w:hAnsi="Arial"/>
                <w:sz w:val="18"/>
                <w:szCs w:val="18"/>
                <w:color w:val="auto"/>
              </w:rPr>
              <w:t>/s/ Keval Desai by Karen A. Wilson, Power of</w:t>
            </w:r>
          </w:p>
        </w:tc>
        <w:tc>
          <w:tcPr>
            <w:tcW w:w="0" w:type="dxa"/>
            <w:vAlign w:val="bottom"/>
          </w:tcPr>
          <w:p>
            <w:pPr>
              <w:spacing w:after="0"/>
              <w:rPr>
                <w:sz w:val="1"/>
                <w:szCs w:val="1"/>
                <w:color w:val="auto"/>
              </w:rPr>
            </w:pPr>
          </w:p>
        </w:tc>
      </w:tr>
      <w:tr>
        <w:trPr>
          <w:trHeight w:val="230"/>
        </w:trPr>
        <w:tc>
          <w:tcPr>
            <w:tcW w:w="5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Attorney</w:t>
            </w:r>
          </w:p>
        </w:tc>
        <w:tc>
          <w:tcPr>
            <w:tcW w:w="0" w:type="dxa"/>
            <w:vAlign w:val="bottom"/>
          </w:tcPr>
          <w:p>
            <w:pPr>
              <w:spacing w:after="0"/>
              <w:rPr>
                <w:sz w:val="1"/>
                <w:szCs w:val="1"/>
                <w:color w:val="auto"/>
              </w:rPr>
            </w:pPr>
          </w:p>
        </w:tc>
      </w:tr>
      <w:tr>
        <w:trPr>
          <w:trHeight w:val="224"/>
        </w:trPr>
        <w:tc>
          <w:tcPr>
            <w:tcW w:w="560" w:type="dxa"/>
            <w:vAlign w:val="bottom"/>
            <w:vMerge w:val="continue"/>
          </w:tcPr>
          <w:p>
            <w:pPr>
              <w:spacing w:after="0"/>
              <w:rPr>
                <w:sz w:val="19"/>
                <w:szCs w:val="19"/>
                <w:color w:val="auto"/>
              </w:rPr>
            </w:pPr>
          </w:p>
        </w:tc>
        <w:tc>
          <w:tcPr>
            <w:tcW w:w="3840" w:type="dxa"/>
            <w:vAlign w:val="bottom"/>
          </w:tcPr>
          <w:p>
            <w:pPr>
              <w:ind w:left="60"/>
              <w:spacing w:after="0"/>
              <w:rPr>
                <w:sz w:val="20"/>
                <w:szCs w:val="20"/>
                <w:color w:val="auto"/>
              </w:rPr>
            </w:pPr>
            <w:r>
              <w:rPr>
                <w:rFonts w:ascii="Arial" w:cs="Arial" w:eastAsia="Arial" w:hAnsi="Arial"/>
                <w:sz w:val="18"/>
                <w:szCs w:val="18"/>
                <w:color w:val="auto"/>
              </w:rPr>
              <w:t>Keval Desai</w:t>
            </w:r>
          </w:p>
        </w:tc>
        <w:tc>
          <w:tcPr>
            <w:tcW w:w="0" w:type="dxa"/>
            <w:vAlign w:val="bottom"/>
          </w:tcPr>
          <w:p>
            <w:pPr>
              <w:spacing w:after="0"/>
              <w:rPr>
                <w:sz w:val="1"/>
                <w:szCs w:val="1"/>
                <w:color w:val="auto"/>
              </w:rPr>
            </w:pPr>
          </w:p>
        </w:tc>
      </w:tr>
      <w:tr>
        <w:trPr>
          <w:trHeight w:val="403"/>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Pr>
          <w:p>
            <w:pPr>
              <w:ind w:left="60"/>
              <w:spacing w:after="0"/>
              <w:rPr>
                <w:sz w:val="20"/>
                <w:szCs w:val="20"/>
                <w:color w:val="auto"/>
              </w:rPr>
            </w:pPr>
            <w:r>
              <w:rPr>
                <w:rFonts w:ascii="Arial" w:cs="Arial" w:eastAsia="Arial" w:hAnsi="Arial"/>
                <w:sz w:val="18"/>
                <w:szCs w:val="18"/>
                <w:color w:val="auto"/>
                <w:w w:val="94"/>
              </w:rPr>
              <w:t>/s/ Gilbert H. Kliman by Karen A. Wilson, Power of</w:t>
            </w:r>
          </w:p>
        </w:tc>
        <w:tc>
          <w:tcPr>
            <w:tcW w:w="0" w:type="dxa"/>
            <w:vAlign w:val="bottom"/>
          </w:tcPr>
          <w:p>
            <w:pPr>
              <w:spacing w:after="0"/>
              <w:rPr>
                <w:sz w:val="1"/>
                <w:szCs w:val="1"/>
                <w:color w:val="auto"/>
              </w:rPr>
            </w:pPr>
          </w:p>
        </w:tc>
      </w:tr>
      <w:tr>
        <w:trPr>
          <w:trHeight w:val="230"/>
        </w:trPr>
        <w:tc>
          <w:tcPr>
            <w:tcW w:w="5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Attorney</w:t>
            </w:r>
          </w:p>
        </w:tc>
        <w:tc>
          <w:tcPr>
            <w:tcW w:w="0" w:type="dxa"/>
            <w:vAlign w:val="bottom"/>
          </w:tcPr>
          <w:p>
            <w:pPr>
              <w:spacing w:after="0"/>
              <w:rPr>
                <w:sz w:val="1"/>
                <w:szCs w:val="1"/>
                <w:color w:val="auto"/>
              </w:rPr>
            </w:pPr>
          </w:p>
        </w:tc>
      </w:tr>
      <w:tr>
        <w:trPr>
          <w:trHeight w:val="224"/>
        </w:trPr>
        <w:tc>
          <w:tcPr>
            <w:tcW w:w="560" w:type="dxa"/>
            <w:vAlign w:val="bottom"/>
            <w:vMerge w:val="continue"/>
          </w:tcPr>
          <w:p>
            <w:pPr>
              <w:spacing w:after="0"/>
              <w:rPr>
                <w:sz w:val="19"/>
                <w:szCs w:val="19"/>
                <w:color w:val="auto"/>
              </w:rPr>
            </w:pPr>
          </w:p>
        </w:tc>
        <w:tc>
          <w:tcPr>
            <w:tcW w:w="3840" w:type="dxa"/>
            <w:vAlign w:val="bottom"/>
          </w:tcPr>
          <w:p>
            <w:pPr>
              <w:ind w:left="60"/>
              <w:spacing w:after="0"/>
              <w:rPr>
                <w:sz w:val="20"/>
                <w:szCs w:val="20"/>
                <w:color w:val="auto"/>
              </w:rPr>
            </w:pPr>
            <w:r>
              <w:rPr>
                <w:rFonts w:ascii="Arial" w:cs="Arial" w:eastAsia="Arial" w:hAnsi="Arial"/>
                <w:sz w:val="18"/>
                <w:szCs w:val="18"/>
                <w:color w:val="auto"/>
              </w:rPr>
              <w:t>Gilbert H. Kliman</w:t>
            </w:r>
          </w:p>
        </w:tc>
        <w:tc>
          <w:tcPr>
            <w:tcW w:w="0" w:type="dxa"/>
            <w:vAlign w:val="bottom"/>
          </w:tcPr>
          <w:p>
            <w:pPr>
              <w:spacing w:after="0"/>
              <w:rPr>
                <w:sz w:val="1"/>
                <w:szCs w:val="1"/>
                <w:color w:val="auto"/>
              </w:rPr>
            </w:pP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Khaled A. Nasr</w:t>
            </w:r>
          </w:p>
        </w:tc>
        <w:tc>
          <w:tcPr>
            <w:tcW w:w="0" w:type="dxa"/>
            <w:vAlign w:val="bottom"/>
          </w:tcPr>
          <w:p>
            <w:pPr>
              <w:spacing w:after="0"/>
              <w:rPr>
                <w:sz w:val="1"/>
                <w:szCs w:val="1"/>
                <w:color w:val="auto"/>
              </w:rPr>
            </w:pPr>
          </w:p>
        </w:tc>
      </w:tr>
      <w:tr>
        <w:trPr>
          <w:trHeight w:val="224"/>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ind w:left="60"/>
              <w:spacing w:after="0"/>
              <w:rPr>
                <w:sz w:val="20"/>
                <w:szCs w:val="20"/>
                <w:color w:val="auto"/>
              </w:rPr>
            </w:pPr>
            <w:r>
              <w:rPr>
                <w:rFonts w:ascii="Arial" w:cs="Arial" w:eastAsia="Arial" w:hAnsi="Arial"/>
                <w:sz w:val="18"/>
                <w:szCs w:val="18"/>
                <w:color w:val="auto"/>
              </w:rPr>
              <w:t>Khaled A. Nasr</w:t>
            </w:r>
          </w:p>
        </w:tc>
        <w:tc>
          <w:tcPr>
            <w:tcW w:w="0" w:type="dxa"/>
            <w:vAlign w:val="bottom"/>
          </w:tcPr>
          <w:p>
            <w:pPr>
              <w:spacing w:after="0"/>
              <w:rPr>
                <w:sz w:val="1"/>
                <w:szCs w:val="1"/>
                <w:color w:val="auto"/>
              </w:rPr>
            </w:pPr>
          </w:p>
        </w:tc>
      </w:tr>
    </w:tbl>
    <w:p>
      <w:pPr>
        <w:sectPr>
          <w:pgSz w:w="11900" w:h="16838" w:orient="portrait"/>
          <w:cols w:equalWidth="0" w:num="1">
            <w:col w:w="10460"/>
          </w:cols>
          <w:pgMar w:left="440" w:top="270" w:right="999" w:bottom="1440" w:gutter="0" w:footer="0" w:header="0"/>
        </w:sectPr>
      </w:pPr>
    </w:p>
    <w:bookmarkStart w:id="9" w:name="page10"/>
    <w:bookmarkEnd w:id="9"/>
    <w:p>
      <w:pPr>
        <w:jc w:val="center"/>
        <w:ind w:right="-980"/>
        <w:spacing w:after="0"/>
        <w:rPr>
          <w:sz w:val="20"/>
          <w:szCs w:val="20"/>
          <w:color w:val="auto"/>
        </w:rPr>
      </w:pPr>
      <w:r>
        <w:rPr>
          <w:rFonts w:ascii="Arial" w:cs="Arial" w:eastAsia="Arial" w:hAnsi="Arial"/>
          <w:sz w:val="18"/>
          <w:szCs w:val="18"/>
          <w:b w:val="1"/>
          <w:bCs w:val="1"/>
          <w:color w:val="auto"/>
        </w:rPr>
        <w:t>EXHIBIT A</w:t>
      </w:r>
    </w:p>
    <w:p>
      <w:pPr>
        <w:spacing w:after="0" w:line="11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Joint Filing Statement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the undersigned, hereby express our agreement that the attached Schedule 13G is filed on behalf of each of us.</w:t>
      </w:r>
    </w:p>
    <w:p>
      <w:pPr>
        <w:spacing w:after="0" w:line="27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February 14,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INTERWEST PARTNERS X,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Pr>
          <w:p>
            <w:pPr>
              <w:ind w:left="60"/>
              <w:spacing w:after="0"/>
              <w:rPr>
                <w:sz w:val="20"/>
                <w:szCs w:val="20"/>
                <w:color w:val="auto"/>
              </w:rPr>
            </w:pPr>
            <w:r>
              <w:rPr>
                <w:rFonts w:ascii="Arial" w:cs="Arial" w:eastAsia="Arial" w:hAnsi="Arial"/>
                <w:sz w:val="18"/>
                <w:szCs w:val="18"/>
                <w:color w:val="auto"/>
              </w:rPr>
              <w:t>InterWest Management Partners X, LLC, its</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3840" w:type="dxa"/>
            <w:vAlign w:val="bottom"/>
          </w:tcPr>
          <w:p>
            <w:pPr>
              <w:ind w:left="60"/>
              <w:spacing w:after="0"/>
              <w:rPr>
                <w:sz w:val="20"/>
                <w:szCs w:val="20"/>
                <w:color w:val="auto"/>
              </w:rPr>
            </w:pPr>
            <w:r>
              <w:rPr>
                <w:rFonts w:ascii="Arial" w:cs="Arial" w:eastAsia="Arial" w:hAnsi="Arial"/>
                <w:sz w:val="18"/>
                <w:szCs w:val="18"/>
                <w:color w:val="auto"/>
              </w:rPr>
              <w:t>General Partner</w:t>
            </w:r>
          </w:p>
        </w:tc>
        <w:tc>
          <w:tcPr>
            <w:tcW w:w="0" w:type="dxa"/>
            <w:vAlign w:val="bottom"/>
          </w:tcPr>
          <w:p>
            <w:pPr>
              <w:spacing w:after="0"/>
              <w:rPr>
                <w:sz w:val="1"/>
                <w:szCs w:val="1"/>
                <w:color w:val="auto"/>
              </w:rPr>
            </w:pP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Karen A. Wilson, Power of Attorney</w:t>
            </w:r>
          </w:p>
        </w:tc>
        <w:tc>
          <w:tcPr>
            <w:tcW w:w="0" w:type="dxa"/>
            <w:vAlign w:val="bottom"/>
          </w:tcPr>
          <w:p>
            <w:pPr>
              <w:spacing w:after="0"/>
              <w:rPr>
                <w:sz w:val="1"/>
                <w:szCs w:val="1"/>
                <w:color w:val="auto"/>
              </w:rPr>
            </w:pPr>
          </w:p>
        </w:tc>
      </w:tr>
      <w:tr>
        <w:trPr>
          <w:trHeight w:val="224"/>
        </w:trPr>
        <w:tc>
          <w:tcPr>
            <w:tcW w:w="560" w:type="dxa"/>
            <w:vAlign w:val="bottom"/>
          </w:tcPr>
          <w:p>
            <w:pPr>
              <w:spacing w:after="0"/>
              <w:rPr>
                <w:sz w:val="19"/>
                <w:szCs w:val="19"/>
                <w:color w:val="auto"/>
              </w:rPr>
            </w:pPr>
          </w:p>
        </w:tc>
        <w:tc>
          <w:tcPr>
            <w:tcW w:w="3840" w:type="dxa"/>
            <w:vAlign w:val="bottom"/>
          </w:tcPr>
          <w:p>
            <w:pPr>
              <w:ind w:left="60"/>
              <w:spacing w:after="0"/>
              <w:rPr>
                <w:sz w:val="20"/>
                <w:szCs w:val="20"/>
                <w:color w:val="auto"/>
              </w:rPr>
            </w:pPr>
            <w:r>
              <w:rPr>
                <w:rFonts w:ascii="Arial" w:cs="Arial" w:eastAsia="Arial" w:hAnsi="Arial"/>
                <w:sz w:val="18"/>
                <w:szCs w:val="18"/>
                <w:color w:val="auto"/>
              </w:rPr>
              <w:t>Attorney-in-Fact</w:t>
            </w:r>
          </w:p>
        </w:tc>
        <w:tc>
          <w:tcPr>
            <w:tcW w:w="0" w:type="dxa"/>
            <w:vAlign w:val="bottom"/>
          </w:tcPr>
          <w:p>
            <w:pPr>
              <w:spacing w:after="0"/>
              <w:rPr>
                <w:sz w:val="1"/>
                <w:szCs w:val="1"/>
                <w:color w:val="auto"/>
              </w:rPr>
            </w:pPr>
          </w:p>
        </w:tc>
      </w:tr>
      <w:tr>
        <w:trPr>
          <w:trHeight w:val="418"/>
        </w:trPr>
        <w:tc>
          <w:tcPr>
            <w:tcW w:w="4400" w:type="dxa"/>
            <w:vAlign w:val="bottom"/>
            <w:gridSpan w:val="2"/>
          </w:tcPr>
          <w:p>
            <w:pPr>
              <w:spacing w:after="0"/>
              <w:rPr>
                <w:sz w:val="20"/>
                <w:szCs w:val="20"/>
                <w:color w:val="auto"/>
              </w:rPr>
            </w:pPr>
            <w:r>
              <w:rPr>
                <w:rFonts w:ascii="Arial" w:cs="Arial" w:eastAsia="Arial" w:hAnsi="Arial"/>
                <w:sz w:val="18"/>
                <w:szCs w:val="18"/>
                <w:color w:val="auto"/>
              </w:rPr>
              <w:t>INTERWEST MANAGEMENT PARTNERS X, LLC</w:t>
            </w:r>
          </w:p>
        </w:tc>
        <w:tc>
          <w:tcPr>
            <w:tcW w:w="0" w:type="dxa"/>
            <w:vAlign w:val="bottom"/>
          </w:tcPr>
          <w:p>
            <w:pPr>
              <w:spacing w:after="0"/>
              <w:rPr>
                <w:sz w:val="1"/>
                <w:szCs w:val="1"/>
                <w:color w:val="auto"/>
              </w:rPr>
            </w:pP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Karen A. Wilson, Power of Attorney</w:t>
            </w:r>
          </w:p>
        </w:tc>
        <w:tc>
          <w:tcPr>
            <w:tcW w:w="0" w:type="dxa"/>
            <w:vAlign w:val="bottom"/>
          </w:tcPr>
          <w:p>
            <w:pPr>
              <w:spacing w:after="0"/>
              <w:rPr>
                <w:sz w:val="1"/>
                <w:szCs w:val="1"/>
                <w:color w:val="auto"/>
              </w:rPr>
            </w:pPr>
          </w:p>
        </w:tc>
      </w:tr>
      <w:tr>
        <w:trPr>
          <w:trHeight w:val="224"/>
        </w:trPr>
        <w:tc>
          <w:tcPr>
            <w:tcW w:w="560" w:type="dxa"/>
            <w:vAlign w:val="bottom"/>
          </w:tcPr>
          <w:p>
            <w:pPr>
              <w:spacing w:after="0"/>
              <w:rPr>
                <w:sz w:val="19"/>
                <w:szCs w:val="19"/>
                <w:color w:val="auto"/>
              </w:rPr>
            </w:pPr>
          </w:p>
        </w:tc>
        <w:tc>
          <w:tcPr>
            <w:tcW w:w="3840" w:type="dxa"/>
            <w:vAlign w:val="bottom"/>
          </w:tcPr>
          <w:p>
            <w:pPr>
              <w:ind w:left="60"/>
              <w:spacing w:after="0"/>
              <w:rPr>
                <w:sz w:val="20"/>
                <w:szCs w:val="20"/>
                <w:color w:val="auto"/>
              </w:rPr>
            </w:pPr>
            <w:r>
              <w:rPr>
                <w:rFonts w:ascii="Arial" w:cs="Arial" w:eastAsia="Arial" w:hAnsi="Arial"/>
                <w:sz w:val="18"/>
                <w:szCs w:val="18"/>
                <w:color w:val="auto"/>
              </w:rPr>
              <w:t>Attorney-in-Fact</w:t>
            </w:r>
          </w:p>
        </w:tc>
        <w:tc>
          <w:tcPr>
            <w:tcW w:w="0" w:type="dxa"/>
            <w:vAlign w:val="bottom"/>
          </w:tcPr>
          <w:p>
            <w:pPr>
              <w:spacing w:after="0"/>
              <w:rPr>
                <w:sz w:val="1"/>
                <w:szCs w:val="1"/>
                <w:color w:val="auto"/>
              </w:rPr>
            </w:pPr>
          </w:p>
        </w:tc>
      </w:tr>
      <w:tr>
        <w:trPr>
          <w:trHeight w:val="403"/>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Pr>
          <w:p>
            <w:pPr>
              <w:ind w:left="60"/>
              <w:spacing w:after="0"/>
              <w:rPr>
                <w:sz w:val="20"/>
                <w:szCs w:val="20"/>
                <w:color w:val="auto"/>
              </w:rPr>
            </w:pPr>
            <w:r>
              <w:rPr>
                <w:rFonts w:ascii="Arial" w:cs="Arial" w:eastAsia="Arial" w:hAnsi="Arial"/>
                <w:sz w:val="18"/>
                <w:szCs w:val="18"/>
                <w:color w:val="auto"/>
              </w:rPr>
              <w:t>/s/ Keval Desai by Karen A. Wilson, Power of</w:t>
            </w:r>
          </w:p>
        </w:tc>
        <w:tc>
          <w:tcPr>
            <w:tcW w:w="0" w:type="dxa"/>
            <w:vAlign w:val="bottom"/>
          </w:tcPr>
          <w:p>
            <w:pPr>
              <w:spacing w:after="0"/>
              <w:rPr>
                <w:sz w:val="1"/>
                <w:szCs w:val="1"/>
                <w:color w:val="auto"/>
              </w:rPr>
            </w:pPr>
          </w:p>
        </w:tc>
      </w:tr>
      <w:tr>
        <w:trPr>
          <w:trHeight w:val="230"/>
        </w:trPr>
        <w:tc>
          <w:tcPr>
            <w:tcW w:w="5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Attorney</w:t>
            </w:r>
          </w:p>
        </w:tc>
        <w:tc>
          <w:tcPr>
            <w:tcW w:w="0" w:type="dxa"/>
            <w:vAlign w:val="bottom"/>
          </w:tcPr>
          <w:p>
            <w:pPr>
              <w:spacing w:after="0"/>
              <w:rPr>
                <w:sz w:val="1"/>
                <w:szCs w:val="1"/>
                <w:color w:val="auto"/>
              </w:rPr>
            </w:pPr>
          </w:p>
        </w:tc>
      </w:tr>
      <w:tr>
        <w:trPr>
          <w:trHeight w:val="224"/>
        </w:trPr>
        <w:tc>
          <w:tcPr>
            <w:tcW w:w="560" w:type="dxa"/>
            <w:vAlign w:val="bottom"/>
            <w:vMerge w:val="continue"/>
          </w:tcPr>
          <w:p>
            <w:pPr>
              <w:spacing w:after="0"/>
              <w:rPr>
                <w:sz w:val="19"/>
                <w:szCs w:val="19"/>
                <w:color w:val="auto"/>
              </w:rPr>
            </w:pPr>
          </w:p>
        </w:tc>
        <w:tc>
          <w:tcPr>
            <w:tcW w:w="3840" w:type="dxa"/>
            <w:vAlign w:val="bottom"/>
          </w:tcPr>
          <w:p>
            <w:pPr>
              <w:ind w:left="60"/>
              <w:spacing w:after="0"/>
              <w:rPr>
                <w:sz w:val="20"/>
                <w:szCs w:val="20"/>
                <w:color w:val="auto"/>
              </w:rPr>
            </w:pPr>
            <w:r>
              <w:rPr>
                <w:rFonts w:ascii="Arial" w:cs="Arial" w:eastAsia="Arial" w:hAnsi="Arial"/>
                <w:sz w:val="18"/>
                <w:szCs w:val="18"/>
                <w:color w:val="auto"/>
              </w:rPr>
              <w:t>Keval Desai</w:t>
            </w:r>
          </w:p>
        </w:tc>
        <w:tc>
          <w:tcPr>
            <w:tcW w:w="0" w:type="dxa"/>
            <w:vAlign w:val="bottom"/>
          </w:tcPr>
          <w:p>
            <w:pPr>
              <w:spacing w:after="0"/>
              <w:rPr>
                <w:sz w:val="1"/>
                <w:szCs w:val="1"/>
                <w:color w:val="auto"/>
              </w:rPr>
            </w:pPr>
          </w:p>
        </w:tc>
      </w:tr>
      <w:tr>
        <w:trPr>
          <w:trHeight w:val="403"/>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Pr>
          <w:p>
            <w:pPr>
              <w:ind w:left="60"/>
              <w:spacing w:after="0"/>
              <w:rPr>
                <w:sz w:val="20"/>
                <w:szCs w:val="20"/>
                <w:color w:val="auto"/>
              </w:rPr>
            </w:pPr>
            <w:r>
              <w:rPr>
                <w:rFonts w:ascii="Arial" w:cs="Arial" w:eastAsia="Arial" w:hAnsi="Arial"/>
                <w:sz w:val="18"/>
                <w:szCs w:val="18"/>
                <w:color w:val="auto"/>
                <w:w w:val="94"/>
              </w:rPr>
              <w:t>/s/ Gilbert H. Kliman by Karen A. Wilson, Power of</w:t>
            </w:r>
          </w:p>
        </w:tc>
        <w:tc>
          <w:tcPr>
            <w:tcW w:w="0" w:type="dxa"/>
            <w:vAlign w:val="bottom"/>
          </w:tcPr>
          <w:p>
            <w:pPr>
              <w:spacing w:after="0"/>
              <w:rPr>
                <w:sz w:val="1"/>
                <w:szCs w:val="1"/>
                <w:color w:val="auto"/>
              </w:rPr>
            </w:pPr>
          </w:p>
        </w:tc>
      </w:tr>
      <w:tr>
        <w:trPr>
          <w:trHeight w:val="230"/>
        </w:trPr>
        <w:tc>
          <w:tcPr>
            <w:tcW w:w="5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Attorney</w:t>
            </w:r>
          </w:p>
        </w:tc>
        <w:tc>
          <w:tcPr>
            <w:tcW w:w="0" w:type="dxa"/>
            <w:vAlign w:val="bottom"/>
          </w:tcPr>
          <w:p>
            <w:pPr>
              <w:spacing w:after="0"/>
              <w:rPr>
                <w:sz w:val="1"/>
                <w:szCs w:val="1"/>
                <w:color w:val="auto"/>
              </w:rPr>
            </w:pPr>
          </w:p>
        </w:tc>
      </w:tr>
      <w:tr>
        <w:trPr>
          <w:trHeight w:val="224"/>
        </w:trPr>
        <w:tc>
          <w:tcPr>
            <w:tcW w:w="560" w:type="dxa"/>
            <w:vAlign w:val="bottom"/>
            <w:vMerge w:val="continue"/>
          </w:tcPr>
          <w:p>
            <w:pPr>
              <w:spacing w:after="0"/>
              <w:rPr>
                <w:sz w:val="19"/>
                <w:szCs w:val="19"/>
                <w:color w:val="auto"/>
              </w:rPr>
            </w:pPr>
          </w:p>
        </w:tc>
        <w:tc>
          <w:tcPr>
            <w:tcW w:w="3840" w:type="dxa"/>
            <w:vAlign w:val="bottom"/>
          </w:tcPr>
          <w:p>
            <w:pPr>
              <w:ind w:left="60"/>
              <w:spacing w:after="0"/>
              <w:rPr>
                <w:sz w:val="20"/>
                <w:szCs w:val="20"/>
                <w:color w:val="auto"/>
              </w:rPr>
            </w:pPr>
            <w:r>
              <w:rPr>
                <w:rFonts w:ascii="Arial" w:cs="Arial" w:eastAsia="Arial" w:hAnsi="Arial"/>
                <w:sz w:val="18"/>
                <w:szCs w:val="18"/>
                <w:color w:val="auto"/>
              </w:rPr>
              <w:t>Gilbert H. Kliman</w:t>
            </w:r>
          </w:p>
        </w:tc>
        <w:tc>
          <w:tcPr>
            <w:tcW w:w="0" w:type="dxa"/>
            <w:vAlign w:val="bottom"/>
          </w:tcPr>
          <w:p>
            <w:pPr>
              <w:spacing w:after="0"/>
              <w:rPr>
                <w:sz w:val="1"/>
                <w:szCs w:val="1"/>
                <w:color w:val="auto"/>
              </w:rPr>
            </w:pP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Khaled A. Nasr</w:t>
            </w:r>
          </w:p>
        </w:tc>
        <w:tc>
          <w:tcPr>
            <w:tcW w:w="0" w:type="dxa"/>
            <w:vAlign w:val="bottom"/>
          </w:tcPr>
          <w:p>
            <w:pPr>
              <w:spacing w:after="0"/>
              <w:rPr>
                <w:sz w:val="1"/>
                <w:szCs w:val="1"/>
                <w:color w:val="auto"/>
              </w:rPr>
            </w:pPr>
          </w:p>
        </w:tc>
      </w:tr>
      <w:tr>
        <w:trPr>
          <w:trHeight w:val="224"/>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ind w:left="60"/>
              <w:spacing w:after="0"/>
              <w:rPr>
                <w:sz w:val="20"/>
                <w:szCs w:val="20"/>
                <w:color w:val="auto"/>
              </w:rPr>
            </w:pPr>
            <w:r>
              <w:rPr>
                <w:rFonts w:ascii="Arial" w:cs="Arial" w:eastAsia="Arial" w:hAnsi="Arial"/>
                <w:sz w:val="18"/>
                <w:szCs w:val="18"/>
                <w:color w:val="auto"/>
              </w:rPr>
              <w:t>Khaled A. Nasr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019"/>
      </w:cols>
      <w:pgMar w:left="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lvl w:ilvl="1">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bullet"/>
      <w:start w:val="1"/>
    </w:lvl>
  </w:abstractNum>
  <w:abstractNum w:abstractNumId="4">
    <w:nsid w:val="3F2DBA31"/>
    <w:multiLevelType w:val="hybridMultilevel"/>
    <w:lvl w:ilvl="0">
      <w:lvlJc w:val="left"/>
      <w:lvlText w:val="2"/>
      <w:numFmt w:val="bullet"/>
      <w:start w:val="1"/>
    </w:lvl>
  </w:abstractNum>
  <w:abstractNum w:abstractNumId="5">
    <w:nsid w:val="7C83E458"/>
    <w:multiLevelType w:val="hybridMultilevel"/>
    <w:lvl w:ilvl="0">
      <w:lvlJc w:val="left"/>
      <w:lvlText w:val="3"/>
      <w:numFmt w:val="bullet"/>
      <w:start w:val="1"/>
    </w:lvl>
  </w:abstractNum>
  <w:abstractNum w:abstractNumId="6">
    <w:nsid w:val="257130A3"/>
    <w:multiLevelType w:val="hybridMultilevel"/>
    <w:lvl w:ilvl="0">
      <w:lvlJc w:val="left"/>
      <w:lvlText w:val="4"/>
      <w:numFmt w:val="bullet"/>
      <w:start w:val="1"/>
    </w:lvl>
  </w:abstractNum>
  <w:abstractNum w:abstractNumId="7">
    <w:nsid w:val="62BBD95A"/>
    <w:multiLevelType w:val="hybridMultilevel"/>
    <w:lvl w:ilvl="0">
      <w:lvlJc w:val="left"/>
      <w:lvlText w:val="9"/>
      <w:numFmt w:val="bullet"/>
      <w:start w:val="1"/>
    </w:lvl>
  </w:abstractNum>
  <w:abstractNum w:abstractNumId="8">
    <w:nsid w:val="436C6125"/>
    <w:multiLevelType w:val="hybridMultilevel"/>
    <w:lvl w:ilvl="0">
      <w:lvlJc w:val="left"/>
      <w:lvlText w:val="%1"/>
      <w:numFmt w:val="decimal"/>
      <w:start w:val="1"/>
    </w:lvl>
    <w:lvl w:ilvl="1">
      <w:lvlJc w:val="left"/>
      <w:lvlText w:val="%2"/>
      <w:numFmt w:val="decimal"/>
      <w:start w:val="10"/>
    </w:lvl>
  </w:abstractNum>
  <w:abstractNum w:abstractNumId="9">
    <w:nsid w:val="628C895D"/>
    <w:multiLevelType w:val="hybridMultilevel"/>
    <w:lvl w:ilvl="0">
      <w:lvlJc w:val="left"/>
      <w:lvlText w:val="(%1)"/>
      <w:numFmt w:val="decimal"/>
      <w:start w:val="1"/>
    </w:lvl>
    <w:lvl w:ilvl="1">
      <w:lvlJc w:val="left"/>
      <w:lvlText w:val="%2"/>
      <w:numFmt w:val="decimal"/>
      <w:start w:val="1"/>
    </w:lvl>
  </w:abstractNum>
  <w:abstractNum w:abstractNumId="10">
    <w:nsid w:val="333AB105"/>
    <w:multiLevelType w:val="hybridMultilevel"/>
    <w:lvl w:ilvl="0">
      <w:lvlJc w:val="left"/>
      <w:lvlText w:val="1"/>
      <w:numFmt w:val="bullet"/>
      <w:start w:val="1"/>
    </w:lvl>
  </w:abstractNum>
  <w:abstractNum w:abstractNumId="11">
    <w:nsid w:val="721DA317"/>
    <w:multiLevelType w:val="hybridMultilevel"/>
    <w:lvl w:ilvl="0">
      <w:lvlJc w:val="left"/>
      <w:lvlText w:val="2"/>
      <w:numFmt w:val="bullet"/>
      <w:start w:val="1"/>
    </w:lvl>
  </w:abstractNum>
  <w:abstractNum w:abstractNumId="12">
    <w:nsid w:val="2443A858"/>
    <w:multiLevelType w:val="hybridMultilevel"/>
    <w:lvl w:ilvl="0">
      <w:lvlJc w:val="left"/>
      <w:lvlText w:val="3"/>
      <w:numFmt w:val="bullet"/>
      <w:start w:val="1"/>
    </w:lvl>
  </w:abstractNum>
  <w:abstractNum w:abstractNumId="13">
    <w:nsid w:val="2D1D5AE9"/>
    <w:multiLevelType w:val="hybridMultilevel"/>
    <w:lvl w:ilvl="0">
      <w:lvlJc w:val="left"/>
      <w:lvlText w:val="4"/>
      <w:numFmt w:val="bullet"/>
      <w:start w:val="1"/>
    </w:lvl>
  </w:abstractNum>
  <w:abstractNum w:abstractNumId="14">
    <w:nsid w:val="6763845E"/>
    <w:multiLevelType w:val="hybridMultilevel"/>
    <w:lvl w:ilvl="0">
      <w:lvlJc w:val="left"/>
      <w:lvlText w:val="9"/>
      <w:numFmt w:val="bullet"/>
      <w:start w:val="1"/>
    </w:lvl>
  </w:abstractNum>
  <w:abstractNum w:abstractNumId="15">
    <w:nsid w:val="75A2A8D4"/>
    <w:multiLevelType w:val="hybridMultilevel"/>
    <w:lvl w:ilvl="0">
      <w:lvlJc w:val="left"/>
      <w:lvlText w:val="%1"/>
      <w:numFmt w:val="decimal"/>
      <w:start w:val="10"/>
    </w:lvl>
  </w:abstractNum>
  <w:abstractNum w:abstractNumId="16">
    <w:nsid w:val="8EDBDAB"/>
    <w:multiLevelType w:val="hybridMultilevel"/>
    <w:lvl w:ilvl="0">
      <w:lvlJc w:val="left"/>
      <w:lvlText w:val="1"/>
      <w:numFmt w:val="bullet"/>
      <w:start w:val="1"/>
    </w:lvl>
  </w:abstractNum>
  <w:abstractNum w:abstractNumId="17">
    <w:nsid w:val="79838CB2"/>
    <w:multiLevelType w:val="hybridMultilevel"/>
    <w:lvl w:ilvl="0">
      <w:lvlJc w:val="left"/>
      <w:lvlText w:val="2"/>
      <w:numFmt w:val="bullet"/>
      <w:start w:val="1"/>
    </w:lvl>
  </w:abstractNum>
  <w:abstractNum w:abstractNumId="18">
    <w:nsid w:val="4353D0CD"/>
    <w:multiLevelType w:val="hybridMultilevel"/>
    <w:lvl w:ilvl="0">
      <w:lvlJc w:val="left"/>
      <w:lvlText w:val="3"/>
      <w:numFmt w:val="bullet"/>
      <w:start w:val="1"/>
    </w:lvl>
  </w:abstractNum>
  <w:abstractNum w:abstractNumId="19">
    <w:nsid w:val="B03E0C6"/>
    <w:multiLevelType w:val="hybridMultilevel"/>
    <w:lvl w:ilvl="0">
      <w:lvlJc w:val="left"/>
      <w:lvlText w:val="4"/>
      <w:numFmt w:val="bullet"/>
      <w:start w:val="1"/>
    </w:lvl>
  </w:abstractNum>
  <w:abstractNum w:abstractNumId="20">
    <w:nsid w:val="189A769B"/>
    <w:multiLevelType w:val="hybridMultilevel"/>
    <w:lvl w:ilvl="0">
      <w:lvlJc w:val="left"/>
      <w:lvlText w:val="9"/>
      <w:numFmt w:val="bullet"/>
      <w:start w:val="1"/>
    </w:lvl>
  </w:abstractNum>
  <w:abstractNum w:abstractNumId="21">
    <w:nsid w:val="54E49EB4"/>
    <w:multiLevelType w:val="hybridMultilevel"/>
    <w:lvl w:ilvl="0">
      <w:lvlJc w:val="left"/>
      <w:lvlText w:val="%1"/>
      <w:numFmt w:val="decimal"/>
      <w:start w:val="10"/>
    </w:lvl>
  </w:abstractNum>
  <w:abstractNum w:abstractNumId="22">
    <w:nsid w:val="71F32454"/>
    <w:multiLevelType w:val="hybridMultilevel"/>
    <w:lvl w:ilvl="0">
      <w:lvlJc w:val="left"/>
      <w:lvlText w:val="1"/>
      <w:numFmt w:val="bullet"/>
      <w:start w:val="1"/>
    </w:lvl>
  </w:abstractNum>
  <w:abstractNum w:abstractNumId="23">
    <w:nsid w:val="2CA88611"/>
    <w:multiLevelType w:val="hybridMultilevel"/>
    <w:lvl w:ilvl="0">
      <w:lvlJc w:val="left"/>
      <w:lvlText w:val="2"/>
      <w:numFmt w:val="bullet"/>
      <w:start w:val="1"/>
    </w:lvl>
  </w:abstractNum>
  <w:abstractNum w:abstractNumId="24">
    <w:nsid w:val="836C40E"/>
    <w:multiLevelType w:val="hybridMultilevel"/>
    <w:lvl w:ilvl="0">
      <w:lvlJc w:val="left"/>
      <w:lvlText w:val="3"/>
      <w:numFmt w:val="bullet"/>
      <w:start w:val="1"/>
    </w:lvl>
  </w:abstractNum>
  <w:abstractNum w:abstractNumId="25">
    <w:nsid w:val="2901D82"/>
    <w:multiLevelType w:val="hybridMultilevel"/>
    <w:lvl w:ilvl="0">
      <w:lvlJc w:val="left"/>
      <w:lvlText w:val="4"/>
      <w:numFmt w:val="bullet"/>
      <w:start w:val="1"/>
    </w:lvl>
  </w:abstractNum>
  <w:abstractNum w:abstractNumId="26">
    <w:nsid w:val="3A95F874"/>
    <w:multiLevelType w:val="hybridMultilevel"/>
    <w:lvl w:ilvl="0">
      <w:lvlJc w:val="left"/>
      <w:lvlText w:val="9"/>
      <w:numFmt w:val="bullet"/>
      <w:start w:val="1"/>
    </w:lvl>
  </w:abstractNum>
  <w:abstractNum w:abstractNumId="27">
    <w:nsid w:val="8138641"/>
    <w:multiLevelType w:val="hybridMultilevel"/>
    <w:lvl w:ilvl="0">
      <w:lvlJc w:val="left"/>
      <w:lvlText w:val="%1"/>
      <w:numFmt w:val="decimal"/>
      <w:start w:val="10"/>
    </w:lvl>
  </w:abstractNum>
  <w:abstractNum w:abstractNumId="28">
    <w:nsid w:val="1E7FF521"/>
    <w:multiLevelType w:val="hybridMultilevel"/>
    <w:lvl w:ilvl="0">
      <w:lvlJc w:val="left"/>
      <w:lvlText w:val="(%1)"/>
      <w:numFmt w:val="lowerLetter"/>
      <w:start w:val="1"/>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lowerLetter"/>
      <w:start w:val="4"/>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2022-02-14T05:52:31Z</dcterms:created>
  <dcterms:modified xsi:type="dcterms:W3CDTF">2022-02-14T05:52:31Z</dcterms:modified>
</cp:coreProperties>
</file>