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03</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3,405,500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3,674,814</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3,674,814</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7.1 %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PMV PHARMACEUTICALS, INC.</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One Research Way,</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Princeton, NJ 08540</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right="732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 par value $0.00001</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69353Y103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ectPr>
          <w:pgSz w:w="11900" w:h="16838" w:orient="portrait"/>
          <w:cols w:equalWidth="0" w:num="1">
            <w:col w:w="11200"/>
          </w:cols>
          <w:pgMar w:left="320" w:top="509" w:right="379" w:bottom="0" w:gutter="0" w:footer="0" w:header="0"/>
        </w:sectPr>
      </w:pPr>
    </w:p>
    <w:bookmarkStart w:id="3" w:name="page4"/>
    <w:bookmarkEnd w:id="3"/>
    <w:p>
      <w:pPr>
        <w:ind w:left="1304" w:hanging="1304"/>
        <w:spacing w:after="0" w:line="282" w:lineRule="auto"/>
        <w:tabs>
          <w:tab w:leader="none" w:pos="656"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684530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0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3,674,814</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7.1 %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3,405,500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3,674,814</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(Asia Pacific)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23,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lvl w:ilvl="1">
      <w:lvlJc w:val="left"/>
      <w:lvlText w:val="o"/>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2024-01-23T08:43:30Z</dcterms:created>
  <dcterms:modified xsi:type="dcterms:W3CDTF">2024-01-23T08:43:30Z</dcterms:modified>
</cp:coreProperties>
</file>