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4"/>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Schroeder Thilo</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PMV Pharmaceuticals,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PMVP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15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80" w:type="dxa"/>
            <w:vAlign w:val="bottom"/>
            <w:gridSpan w:val="6"/>
            <w:vMerge w:val="continue"/>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vMerge w:val="restart"/>
          </w:tcPr>
          <w:p>
            <w:pPr>
              <w:spacing w:after="0"/>
              <w:rPr>
                <w:sz w:val="20"/>
                <w:szCs w:val="20"/>
                <w:color w:val="auto"/>
              </w:rPr>
            </w:pPr>
            <w:r>
              <w:rPr>
                <w:rFonts w:ascii="Arial" w:cs="Arial" w:eastAsia="Arial" w:hAnsi="Arial"/>
                <w:sz w:val="17"/>
                <w:szCs w:val="17"/>
                <w:color w:val="0000FF"/>
              </w:rPr>
              <w:t>X</w:t>
            </w: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300" w:type="dxa"/>
            <w:vAlign w:val="bottom"/>
          </w:tcPr>
          <w:p>
            <w:pPr>
              <w:spacing w:after="0"/>
              <w:rPr>
                <w:sz w:val="2"/>
                <w:szCs w:val="2"/>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540" w:type="dxa"/>
            <w:vAlign w:val="bottom"/>
            <w:gridSpan w:val="5"/>
            <w:vMerge w:val="restart"/>
          </w:tcPr>
          <w:p>
            <w:pPr>
              <w:ind w:left="2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2"/>
          </w:tcPr>
          <w:p>
            <w:pPr>
              <w:ind w:left="180"/>
              <w:spacing w:after="0"/>
              <w:rPr>
                <w:sz w:val="20"/>
                <w:szCs w:val="20"/>
                <w:color w:val="auto"/>
              </w:rPr>
            </w:pPr>
            <w:r>
              <w:rPr>
                <w:rFonts w:ascii="Arial" w:cs="Arial" w:eastAsia="Arial" w:hAnsi="Arial"/>
                <w:sz w:val="13"/>
                <w:szCs w:val="13"/>
                <w:color w:val="auto"/>
              </w:rPr>
              <w:t>below)</w:t>
            </w:r>
          </w:p>
        </w:tc>
        <w:tc>
          <w:tcPr>
            <w:tcW w:w="300" w:type="dxa"/>
            <w:vAlign w:val="bottom"/>
          </w:tcPr>
          <w:p>
            <w:pPr>
              <w:spacing w:after="0"/>
              <w:rPr>
                <w:sz w:val="13"/>
                <w:szCs w:val="13"/>
                <w:color w:val="auto"/>
              </w:rPr>
            </w:pPr>
          </w:p>
        </w:tc>
        <w:tc>
          <w:tcPr>
            <w:tcW w:w="760" w:type="dxa"/>
            <w:vAlign w:val="bottom"/>
            <w:gridSpan w:val="2"/>
          </w:tcPr>
          <w:p>
            <w:pPr>
              <w:ind w:left="28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PMV PHARMACEUTICALS, INC.</w:t>
            </w:r>
          </w:p>
        </w:tc>
        <w:tc>
          <w:tcPr>
            <w:tcW w:w="1480" w:type="dxa"/>
            <w:vAlign w:val="bottom"/>
            <w:gridSpan w:val="6"/>
          </w:tcPr>
          <w:p>
            <w:pPr>
              <w:ind w:left="160"/>
              <w:spacing w:after="0"/>
              <w:rPr>
                <w:sz w:val="20"/>
                <w:szCs w:val="20"/>
                <w:color w:val="auto"/>
              </w:rPr>
            </w:pPr>
            <w:r>
              <w:rPr>
                <w:rFonts w:ascii="Arial" w:cs="Arial" w:eastAsia="Arial" w:hAnsi="Arial"/>
                <w:sz w:val="17"/>
                <w:szCs w:val="17"/>
                <w:color w:val="0000FF"/>
              </w:rPr>
              <w:t>10/06/2021</w:t>
            </w: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8 CLARKE DRIVE, SUITE 3</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gridSpan w:val="4"/>
            <w:vMerge w:val="continue"/>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10"/>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CRANBURY</w:t>
            </w:r>
          </w:p>
        </w:tc>
        <w:tc>
          <w:tcPr>
            <w:tcW w:w="260" w:type="dxa"/>
            <w:vAlign w:val="bottom"/>
            <w:gridSpan w:val="2"/>
          </w:tcPr>
          <w:p>
            <w:pPr>
              <w:ind w:left="40"/>
              <w:spacing w:after="0"/>
              <w:rPr>
                <w:sz w:val="20"/>
                <w:szCs w:val="20"/>
                <w:color w:val="auto"/>
              </w:rPr>
            </w:pPr>
            <w:r>
              <w:rPr>
                <w:rFonts w:ascii="Arial" w:cs="Arial" w:eastAsia="Arial" w:hAnsi="Arial"/>
                <w:sz w:val="17"/>
                <w:szCs w:val="17"/>
                <w:color w:val="0000FF"/>
                <w:w w:val="96"/>
              </w:rPr>
              <w:t>NJ</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08512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2"/>
          </w:tcPr>
          <w:p>
            <w:pPr>
              <w:ind w:left="180"/>
              <w:spacing w:after="0" w:line="134" w:lineRule="exact"/>
              <w:rPr>
                <w:sz w:val="20"/>
                <w:szCs w:val="20"/>
                <w:color w:val="auto"/>
              </w:rPr>
            </w:pPr>
            <w:r>
              <w:rPr>
                <w:rFonts w:ascii="Arial" w:cs="Arial" w:eastAsia="Arial" w:hAnsi="Arial"/>
                <w:sz w:val="13"/>
                <w:szCs w:val="13"/>
                <w:color w:val="auto"/>
              </w:rPr>
              <w:t>Person</w:t>
            </w: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1020" w:type="dxa"/>
            <w:vAlign w:val="bottom"/>
            <w:tcBorders>
              <w:bottom w:val="single" w:sz="8" w:color="2C2C2C"/>
            </w:tcBorders>
            <w:gridSpan w:val="3"/>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18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680" w:type="dxa"/>
            <w:vAlign w:val="bottom"/>
            <w:tcBorders>
              <w:top w:val="single" w:sz="8" w:color="2C2C2C"/>
            </w:tcBorders>
            <w:gridSpan w:val="20"/>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8"/>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5"/>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740" w:type="dxa"/>
            <w:vAlign w:val="bottom"/>
            <w:gridSpan w:val="5"/>
            <w:vMerge w:val="restart"/>
          </w:tcPr>
          <w:p>
            <w:pPr>
              <w:jc w:val="right"/>
              <w:ind w:right="155"/>
              <w:spacing w:after="0"/>
              <w:rPr>
                <w:sz w:val="20"/>
                <w:szCs w:val="20"/>
                <w:color w:val="auto"/>
              </w:rPr>
            </w:pPr>
            <w:r>
              <w:rPr>
                <w:rFonts w:ascii="Arial" w:cs="Arial" w:eastAsia="Arial" w:hAnsi="Arial"/>
                <w:sz w:val="17"/>
                <w:szCs w:val="17"/>
                <w:color w:val="0000FF"/>
              </w:rPr>
              <w:t>10/06/2021</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gridSpan w:val="2"/>
            <w:vMerge w:val="restart"/>
          </w:tcPr>
          <w:p>
            <w:pPr>
              <w:ind w:left="220"/>
              <w:spacing w:after="0"/>
              <w:rPr>
                <w:sz w:val="20"/>
                <w:szCs w:val="20"/>
                <w:color w:val="auto"/>
              </w:rPr>
            </w:pPr>
            <w:r>
              <w:rPr>
                <w:rFonts w:ascii="Arial" w:cs="Arial" w:eastAsia="Arial" w:hAnsi="Arial"/>
                <w:sz w:val="17"/>
                <w:szCs w:val="17"/>
                <w:color w:val="0000FF"/>
              </w:rPr>
              <w:t>800</w:t>
            </w:r>
          </w:p>
        </w:tc>
        <w:tc>
          <w:tcPr>
            <w:tcW w:w="48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740" w:type="dxa"/>
            <w:vAlign w:val="bottom"/>
            <w:gridSpan w:val="4"/>
            <w:vMerge w:val="restart"/>
          </w:tcPr>
          <w:p>
            <w:pPr>
              <w:ind w:left="40"/>
              <w:spacing w:after="0"/>
              <w:rPr>
                <w:sz w:val="20"/>
                <w:szCs w:val="20"/>
                <w:color w:val="auto"/>
              </w:rPr>
            </w:pPr>
            <w:r>
              <w:rPr>
                <w:rFonts w:ascii="Arial" w:cs="Arial" w:eastAsia="Arial" w:hAnsi="Arial"/>
                <w:sz w:val="17"/>
                <w:szCs w:val="17"/>
                <w:color w:val="auto"/>
                <w:w w:val="97"/>
              </w:rPr>
              <w:t>$</w:t>
            </w:r>
            <w:r>
              <w:rPr>
                <w:rFonts w:ascii="Arial" w:cs="Arial" w:eastAsia="Arial" w:hAnsi="Arial"/>
                <w:sz w:val="17"/>
                <w:szCs w:val="17"/>
                <w:color w:val="0000FF"/>
                <w:w w:val="97"/>
              </w:rPr>
              <w:t>30.15</w:t>
            </w:r>
            <w:r>
              <w:rPr>
                <w:rFonts w:ascii="Arial" w:cs="Arial" w:eastAsia="Arial" w:hAnsi="Arial"/>
                <w:sz w:val="22"/>
                <w:szCs w:val="22"/>
                <w:color w:val="008000"/>
                <w:w w:val="97"/>
                <w:vertAlign w:val="superscript"/>
              </w:rPr>
              <w:t>(2)</w:t>
            </w:r>
          </w:p>
        </w:tc>
        <w:tc>
          <w:tcPr>
            <w:tcW w:w="20" w:type="dxa"/>
            <w:vAlign w:val="bottom"/>
          </w:tcPr>
          <w:p>
            <w:pPr>
              <w:spacing w:after="0"/>
              <w:rPr>
                <w:sz w:val="22"/>
                <w:szCs w:val="22"/>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1,101,283</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82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$30.03 to $30.25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620" w:firstLine="7"/>
        <w:spacing w:after="0" w:line="280"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of record by Nextech V Oncology S.C.S., SICAV-SIF. The Reporting Person is a partner at Nextech Invest AG and in the Investment Committee of Nextech Invest AG, with significant influence over Nextech V Oncology S.C.S., SICAV-SIF in terms of investment decisions, selling strategy of shares and voting power and as a result, may be deemed to have beneficial ownership over such securities. The Reporting Person disclaims beneficial ownership over the shares reported herein except to the extent of his pecuniary interest therein, if any.</w:t>
      </w: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Darren DeStefano,</w:t>
            </w:r>
          </w:p>
        </w:tc>
        <w:tc>
          <w:tcPr>
            <w:tcW w:w="5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10/08/2021</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6412"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2021-10-08T17:00:27Z</dcterms:created>
  <dcterms:modified xsi:type="dcterms:W3CDTF">2021-10-08T17:00:27Z</dcterms:modified>
</cp:coreProperties>
</file>