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6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92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92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3"/>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8"/>
              </w:rPr>
              <w:t>One Research Way</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2"/>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920" w:type="dxa"/>
            <w:vAlign w:val="bottom"/>
          </w:tcPr>
          <w:p>
            <w:pPr>
              <w:spacing w:after="0"/>
              <w:rPr>
                <w:sz w:val="21"/>
                <w:szCs w:val="21"/>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88"/>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20" w:type="dxa"/>
            <w:vAlign w:val="bottom"/>
          </w:tcPr>
          <w:p>
            <w:pPr>
              <w:spacing w:after="0"/>
              <w:rPr>
                <w:sz w:val="16"/>
                <w:szCs w:val="16"/>
                <w:color w:val="auto"/>
              </w:rPr>
            </w:pP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7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May 9, 2024, PMV Pharmaceuticals, Inc. issued a press release announcing its financial results for the first quarter ended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attached as Exhibit 99.1 to this Current Report on Form 8-K and is incorporated herein by reference.</w:t>
      </w:r>
    </w:p>
    <w:p>
      <w:pPr>
        <w:spacing w:after="0" w:line="20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20" w:type="dxa"/>
            <w:vAlign w:val="bottom"/>
            <w:gridSpan w:val="2"/>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PMV Pharmaceuticals, Inc., dated May 9, 2024.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8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08"/>
        </w:trPr>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52"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(Principal Financial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PMV Pharmaceuticals Reports First Quarter 2024 Financial Results and Corporate Highlights</w:t>
      </w:r>
    </w:p>
    <w:p>
      <w:pPr>
        <w:spacing w:after="0" w:line="353" w:lineRule="exact"/>
        <w:rPr>
          <w:sz w:val="20"/>
          <w:szCs w:val="20"/>
          <w:color w:val="auto"/>
        </w:rPr>
      </w:pPr>
    </w:p>
    <w:p>
      <w:pPr>
        <w:ind w:left="1020" w:hanging="503"/>
        <w:spacing w:after="0" w:line="268"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First patient dosed in Phase 2 portion of the PYNNACLE trial which will assess rezatapopt as monotherapy in patients with TP53 Y220C and KRAS wild-type advanced solid tumors</w:t>
      </w:r>
    </w:p>
    <w:p>
      <w:pPr>
        <w:spacing w:after="0" w:line="252"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1 data of rezatapopt in advanced ovarian cancer featured in late-breaking oral presentation at 2024 SGO Annual Meeting on Women’s Cancer</w:t>
      </w:r>
    </w:p>
    <w:p>
      <w:pPr>
        <w:spacing w:after="0" w:line="252"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Cash, cash equivalents, and marketable securities of $213.1 million as of March 31, 2024, providing expected cash runway to end of 2026</w:t>
      </w:r>
    </w:p>
    <w:p>
      <w:pPr>
        <w:spacing w:after="0" w:line="15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PRINCETON, N.J.,</w:t>
      </w:r>
      <w:r>
        <w:rPr>
          <w:rFonts w:ascii="Arial" w:cs="Arial" w:eastAsia="Arial" w:hAnsi="Arial"/>
          <w:sz w:val="18"/>
          <w:szCs w:val="18"/>
          <w:color w:val="auto"/>
        </w:rPr>
        <w:t>May 9, 2024 (GLOBE NEWSWIRE) - PMV Pharmaceuticals, Inc. (Nasdaq: PMVP), a precision oncology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pioneering the discovery and development of small molecule, tumor-agnostic therapies targeting p53, today reported financial results for the first quarter ended March 31, 2024, and provided a corporate update.</w:t>
      </w:r>
    </w:p>
    <w:p>
      <w:pPr>
        <w:spacing w:after="0" w:line="155" w:lineRule="exact"/>
        <w:rPr>
          <w:sz w:val="20"/>
          <w:szCs w:val="20"/>
          <w:color w:val="auto"/>
        </w:rPr>
      </w:pPr>
    </w:p>
    <w:p>
      <w:pPr>
        <w:jc w:val="both"/>
        <w:ind w:right="220"/>
        <w:spacing w:after="0" w:line="247" w:lineRule="auto"/>
        <w:rPr>
          <w:sz w:val="20"/>
          <w:szCs w:val="20"/>
          <w:color w:val="auto"/>
        </w:rPr>
      </w:pPr>
      <w:r>
        <w:rPr>
          <w:rFonts w:ascii="Arial" w:cs="Arial" w:eastAsia="Arial" w:hAnsi="Arial"/>
          <w:sz w:val="18"/>
          <w:szCs w:val="18"/>
          <w:color w:val="auto"/>
        </w:rPr>
        <w:t>“Dosing the first patient in the registrational, tumor-agnostic Phase 2 portion of the PYNNACLE trial is an important milestone for PMV. Our team has worked diligently to initiate this global trial and I would like to thank them for their efforts,” said David Mack, Ph.D., President and Chief Executive Officer of PMV Pharma. “Rezatapopt offers the potential to provide a new treatment option for patients with a TP53 Y220C mutation and KRAS wild-type advanced solid tumors.”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w:t>
      </w:r>
    </w:p>
    <w:p>
      <w:pPr>
        <w:spacing w:after="0" w:line="104" w:lineRule="exact"/>
        <w:rPr>
          <w:sz w:val="20"/>
          <w:szCs w:val="20"/>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First patient dosed in Phase 2 portion of the PYNNACLE trial. The multi-center, single-arm, registrational, tumor-agnostic Phase 2 trial will assess rezatapopt as monotherapy at a dose of 2000 mg once-daily in patients with TP53 Y220C and KRAS wild-type advanced solid tumors. The primary endpoint of the trial is overall response rate per blinded independent central review. The trial is designed to enroll 114 patients across five cohorts at approximately 60 sites across the U.S., Europe, and Asia-Pacific.</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Phase 1 data of rezatapopt in advanced ovarian cancer was featured in a late-breaking oral presentation at the 2024 SGO Annual Meeting on Women’s Cancer. Of the 15 heavily pre-treated patients with advanced ovarian cancer harboring a TP53 Y220C mutation, seven patients achieved a confirmed partial response with a seven-month median duration of response and a favorable safety profile.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2024 Financial Results</w:t>
      </w:r>
    </w:p>
    <w:p>
      <w:pPr>
        <w:spacing w:after="0" w:line="104" w:lineRule="exact"/>
        <w:rPr>
          <w:sz w:val="20"/>
          <w:szCs w:val="20"/>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PMV Pharma ended the first quarter with $213.1 million in cash, cash equivalents, and marketable securities, compared to $228.6 million as of December 31, 2023. Net cash used in operations was $16.2 million for the three months ended March 31, 2024, compared to $15.0 million for the three months ended March 31, 2023.</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quarter ended March 31, 2024, was $15.3 million compared to $19.1 million for the quarter ended March 31, 2023.</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$13.2 million for the quarter ended March 31, 2024, compared to $15.1 million for the quarter ended March 31, 2023. The decrease in R&amp;D expenses was primarily related to decreased contractual research organization costs, offset by increased personnel related costs and stock-based compensation.</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(G&amp;A) expenses were $5.0 million for the quarter ended March 31, 2024, compared to $6.4 million for the quarter ended March 31, 2023. The decrease in G&amp;A expenses was primarily due to reduced spend for facility and operational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Rezatapopt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Rezatapopt (PC14586) is a first-in-class, small molecule, p53 reactivator designed to selectively bind to the pocket in the p53 Y220C mutant protein, restoring the wild-type tumor-suppressor function. The U.S. Food and Drug Administration (FDA) granted Fast Track designation to rezatapopt for the treatment of patients with locally advanced or metastatic solid tumors with a p53 Y220C mutation.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PYNNACLE Clinical Trial</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ongoing Phase 1/2 PYNNACLE clinical trial is evaluating rezatapopt in patients with advanced solid tumors harboring a TP53 Y220C mutation. The primary objective of the Phase 1 portion of the trial was to determine the maximum tolerated dose and recommended Phase 2 dose (RP2D) of rezatapopt when administered orally to patients. Safety, tolerability, pharmacokinetics and effects on biomarkers were also assessed. The Phase 2 portion is a registrational, single arm, expansion basket clinical trial comprising five cohorts (ovarian, lung, breast, and endometrial cancers, and other solid tumors) with the primary objective of evaluating the efficacy of rezatapopt at the RP2D in patients with TP53 Y220C and KRAS wild-type advanced solid tumors. For more information about the Phase 1/2 PYNNACLE clinical trial, refer to www.clinicaltrials.gov (NCT trial identifier NCT04585750).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PMV Pharma is a precision oncology company pioneering the discovery and development of small molecule, tumor-agnostic therapies targeting p53. TP53 mutations are found in approximately half of all cancers. Our co-founder, Dr. Arnold Levine, established the field of p53 biology when he discovered the p53 protein in 1979. Bringing together leaders in the field to utilize over four decades of p53 biology, PMV Pharma combines unique biological understanding with a pharmaceutical development focus. PMV Pharma is headquartered in Princeton, New Jersey. For more information, please visit </w:t>
      </w:r>
      <w:r>
        <w:rPr>
          <w:rFonts w:ascii="Arial" w:cs="Arial" w:eastAsia="Arial" w:hAnsi="Arial"/>
          <w:sz w:val="18"/>
          <w:szCs w:val="18"/>
          <w:u w:val="single" w:color="auto"/>
          <w:color w:val="0057A8"/>
        </w:rPr>
        <w:t>www.pmvpharma.com</w:t>
      </w:r>
      <w:r>
        <w:rPr>
          <w:rFonts w:ascii="Arial" w:cs="Arial" w:eastAsia="Arial" w:hAnsi="Arial"/>
          <w:sz w:val="18"/>
          <w:szCs w:val="18"/>
          <w:color w:val="0057A8"/>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 -looking statements. Such statements include, but are not limited to, statements regarding the Company’s future plans or expectations for rezatapopt, including our ability to obtain approval as a treatment option on a tumor-agnostic basis and as a monotherapy, expectations regarding timing and success of the Phase 2 portion of the current clinical trial for rezatapopt, and the timing and expectations with respect to our projected cash runway.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 clinical stage company, the potential for clinical trials of rezatapopt or any future clinical trials of other product candidates to differ from preclinical, preliminary or expected results, the Company’s ability to fund operations, and the impact that a global pandemic, other public health emergencies or geopolitical tensions or conflicts may have on the Company’s clinical trials, supply chain, and operations, as well as those risks and uncertainties set forth in the section entitled “Risk Factors” in the Company’s Annual Report on Form 10-K, filed with the Securities and Exchange Commission (the “SEC”) on February 29, 2024, and the Company’s Quarterly Report on Form 10 -Q for the three months ended March 31, 2024, filed with the SEC on May 9, 2024,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9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47,654</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100" w:type="dxa"/>
            <w:vAlign w:val="bottom"/>
            <w:shd w:val="clear" w:color="auto" w:fill="CFF0FC"/>
          </w:tcPr>
          <w:p>
            <w:pPr>
              <w:spacing w:after="0"/>
              <w:rPr>
                <w:sz w:val="21"/>
                <w:szCs w:val="21"/>
                <w:color w:val="auto"/>
              </w:rPr>
            </w:pP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150,285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165,351</w:t>
            </w:r>
          </w:p>
        </w:tc>
        <w:tc>
          <w:tcPr>
            <w:tcW w:w="100" w:type="dxa"/>
            <w:vAlign w:val="bottom"/>
            <w:shd w:val="clear" w:color="auto" w:fill="CFF0FC"/>
          </w:tcPr>
          <w:p>
            <w:pPr>
              <w:spacing w:after="0"/>
              <w:rPr>
                <w:sz w:val="21"/>
                <w:szCs w:val="21"/>
                <w:color w:val="auto"/>
              </w:rPr>
            </w:pP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20"/>
                <w:szCs w:val="20"/>
                <w:color w:val="auto"/>
              </w:rPr>
            </w:pPr>
          </w:p>
        </w:tc>
      </w:tr>
      <w:tr>
        <w:trPr>
          <w:trHeight w:val="241"/>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202,460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207,409</w:t>
            </w:r>
          </w:p>
        </w:tc>
        <w:tc>
          <w:tcPr>
            <w:tcW w:w="100" w:type="dxa"/>
            <w:vAlign w:val="bottom"/>
            <w:shd w:val="clear" w:color="auto" w:fill="CFF0FC"/>
          </w:tcPr>
          <w:p>
            <w:pPr>
              <w:spacing w:after="0"/>
              <w:rPr>
                <w:sz w:val="20"/>
                <w:szCs w:val="20"/>
                <w:color w:val="auto"/>
              </w:rPr>
            </w:pP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shd w:val="clear" w:color="auto" w:fill="CFF0FC"/>
          </w:tcPr>
          <w:p>
            <w:pPr>
              <w:spacing w:after="0"/>
              <w:rPr>
                <w:sz w:val="21"/>
                <w:szCs w:val="21"/>
                <w:color w:val="auto"/>
              </w:rPr>
            </w:pP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20"/>
                <w:szCs w:val="20"/>
                <w:color w:val="auto"/>
              </w:rPr>
            </w:pPr>
          </w:p>
        </w:tc>
      </w:tr>
      <w:tr>
        <w:trPr>
          <w:trHeight w:val="243"/>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236,876</w:t>
            </w: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100" w:type="dxa"/>
            <w:vAlign w:val="bottom"/>
          </w:tcPr>
          <w:p>
            <w:pPr>
              <w:spacing w:after="0"/>
              <w:rPr>
                <w:sz w:val="20"/>
                <w:szCs w:val="20"/>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shd w:val="clear" w:color="auto" w:fill="CFF0FC"/>
          </w:tcPr>
          <w:p>
            <w:pPr>
              <w:spacing w:after="0"/>
              <w:rPr>
                <w:sz w:val="21"/>
                <w:szCs w:val="21"/>
                <w:color w:val="auto"/>
              </w:rPr>
            </w:pP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20"/>
                <w:szCs w:val="20"/>
                <w:color w:val="auto"/>
              </w:rPr>
            </w:pPr>
          </w:p>
        </w:tc>
      </w:tr>
      <w:tr>
        <w:trPr>
          <w:trHeight w:val="243"/>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100" w:type="dxa"/>
            <w:vAlign w:val="bottom"/>
          </w:tcPr>
          <w:p>
            <w:pPr>
              <w:spacing w:after="0"/>
              <w:rPr>
                <w:sz w:val="20"/>
                <w:szCs w:val="20"/>
                <w:color w:val="auto"/>
              </w:rPr>
            </w:pPr>
          </w:p>
        </w:tc>
      </w:tr>
      <w:tr>
        <w:trPr>
          <w:trHeight w:val="243"/>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100" w:type="dxa"/>
            <w:vAlign w:val="bottom"/>
          </w:tcPr>
          <w:p>
            <w:pPr>
              <w:spacing w:after="0"/>
              <w:rPr>
                <w:sz w:val="20"/>
                <w:szCs w:val="20"/>
                <w:color w:val="auto"/>
              </w:rPr>
            </w:pPr>
          </w:p>
        </w:tc>
      </w:tr>
      <w:tr>
        <w:trPr>
          <w:trHeight w:val="234"/>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538,078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545,468</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(325,273 )</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(310,003 )</w:t>
            </w: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(129 )</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r>
      <w:tr>
        <w:trPr>
          <w:trHeight w:val="237"/>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212,676</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236,876</w:t>
            </w: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100" w:type="dxa"/>
            <w:vAlign w:val="bottom"/>
          </w:tcPr>
          <w:p>
            <w:pPr>
              <w:spacing w:after="0"/>
              <w:rPr>
                <w:sz w:val="20"/>
                <w:szCs w:val="20"/>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-2451100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-2262505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-2245360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-1464945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-1148080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-976630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3064510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77"/>
        </w:trPr>
        <w:tc>
          <w:tcPr>
            <w:tcW w:w="77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r>
        <w:trPr>
          <w:trHeight w:val="169"/>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(18,221 )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(21,480 )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(15,270 )</w:t>
            </w: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(19,128 )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(15,270 )</w:t>
            </w: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(19,128 )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gain on available for sale investments, net of tax</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(319 )</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3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3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38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(353 )</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FF0FC"/>
          </w:tcPr>
          <w:p>
            <w:pPr>
              <w:spacing w:after="0"/>
              <w:rPr>
                <w:sz w:val="22"/>
                <w:szCs w:val="22"/>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(15,623 )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(18,799 )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(0.42 )</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51,445,862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45,773,357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-2411095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-2411095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-1459865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-1459865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-1142365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-1142365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-508000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-490855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Investors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Smith</w:t>
      </w:r>
    </w:p>
    <w:p>
      <w:pPr>
        <w:ind w:right="4980"/>
        <w:spacing w:after="0" w:line="250" w:lineRule="auto"/>
        <w:rPr>
          <w:sz w:val="20"/>
          <w:szCs w:val="20"/>
          <w:color w:val="auto"/>
        </w:rPr>
      </w:pPr>
      <w:r>
        <w:rPr>
          <w:rFonts w:ascii="Arial" w:cs="Arial" w:eastAsia="Arial" w:hAnsi="Arial"/>
          <w:sz w:val="18"/>
          <w:szCs w:val="18"/>
          <w:color w:val="auto"/>
        </w:rPr>
        <w:t xml:space="preserve">Senior Vice President, Head of Corporate Development and Investor Relations </w:t>
      </w:r>
      <w:r>
        <w:rPr>
          <w:rFonts w:ascii="Arial" w:cs="Arial" w:eastAsia="Arial" w:hAnsi="Arial"/>
          <w:sz w:val="18"/>
          <w:szCs w:val="18"/>
          <w:u w:val="single" w:color="auto"/>
          <w:color w:val="0057A8"/>
        </w:rPr>
        <w:t>investors@pmvpharma.com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234" w:lineRule="auto"/>
        <w:rPr>
          <w:sz w:val="20"/>
          <w:szCs w:val="20"/>
          <w:color w:val="auto"/>
        </w:rPr>
      </w:pPr>
      <w:r>
        <w:rPr>
          <w:rFonts w:ascii="Arial" w:cs="Arial" w:eastAsia="Arial" w:hAnsi="Arial"/>
          <w:sz w:val="18"/>
          <w:szCs w:val="18"/>
          <w:color w:val="auto"/>
        </w:rPr>
        <w:t>Greig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57A8"/>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2024-05-09T07:06:41Z</dcterms:created>
  <dcterms:modified xsi:type="dcterms:W3CDTF">2024-05-09T07:06:41Z</dcterms:modified>
</cp:coreProperties>
</file>