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mvp-20260630.htm"/>
      <w:bookmarkStart w:id="1" w:name="kspmvp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001-39539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48"/>
        </w:rPr>
      </w:pPr>
      <w:r>
        <w:rPr>
          <w:rFonts w:ascii="Times New Roman" w:hAnsi="Times New Roman"/>
          <w:b/>
          <w:color w:val="000000"/>
          <w:sz w:val="48"/>
        </w:rPr>
        <w:t>PMV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712" w:type="dxa"/>
        <w:jc w:val="left"/>
        <w:tblInd w:w="0" w:type="dxa"/>
        <w:tblLayout w:type="fixed"/>
        <w:tblCellMar>
          <w:top w:w="28" w:type="dxa"/>
          <w:left w:w="28" w:type="dxa"/>
          <w:bottom w:w="28" w:type="dxa"/>
          <w:right w:w="28" w:type="dxa"/>
        </w:tblCellMar>
      </w:tblPr>
      <w:tblGrid>
        <w:gridCol w:w="3226"/>
        <w:gridCol w:w="1486"/>
      </w:tblGrid>
      <w:tr>
        <w:trPr/>
        <w:tc>
          <w:tcPr>
            <w:tcW w:w="32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46-3218129</w:t>
            </w:r>
          </w:p>
        </w:tc>
      </w:tr>
      <w:tr>
        <w:trPr/>
        <w:tc>
          <w:tcPr>
            <w:tcW w:w="32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400 Alexander Park Drive,</w:t>
            </w:r>
            <w:r>
              <w:rPr>
                <w:rFonts w:ascii="Times New Roman" w:hAnsi="Times New Roman"/>
                <w:color w:val="000000"/>
                <w:sz w:val="20"/>
              </w:rPr>
              <w:t xml:space="preserve"> </w:t>
            </w:r>
            <w:r>
              <w:rPr>
                <w:rFonts w:ascii="Times New Roman" w:hAnsi="Times New Roman"/>
                <w:b/>
                <w:color w:val="000000"/>
                <w:sz w:val="20"/>
              </w:rPr>
              <w:t>Suite 301</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Princeton, NJ</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08540</w:t>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(609) 642-6670</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9"/>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450" w:type="dxa"/>
        <w:jc w:val="left"/>
        <w:tblInd w:w="0" w:type="dxa"/>
        <w:tblLayout w:type="fixed"/>
        <w:tblCellMar>
          <w:top w:w="28" w:type="dxa"/>
          <w:left w:w="28" w:type="dxa"/>
          <w:bottom w:w="28" w:type="dxa"/>
          <w:right w:w="28" w:type="dxa"/>
        </w:tblCellMar>
      </w:tblPr>
      <w:tblGrid>
        <w:gridCol w:w="3016"/>
        <w:gridCol w:w="146"/>
        <w:gridCol w:w="826"/>
        <w:gridCol w:w="146"/>
        <w:gridCol w:w="331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0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PMVP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As of August 14, 2026, the registrant had 53,458,058</w:t>
      </w:r>
      <w:r>
        <w:rPr>
          <w:rFonts w:ascii="Times New Roman" w:hAnsi="Times New Roman"/>
          <w:color w:val="000000"/>
          <w:sz w:val="20"/>
        </w:rPr>
        <w:t xml:space="preserve"> </w:t>
      </w:r>
      <w:r>
        <w:rPr>
          <w:rFonts w:ascii="Times New Roman" w:hAnsi="Times New Roman"/>
          <w:color w:val="000000"/>
          <w:sz w:val="19"/>
        </w:rPr>
        <w:t>shares of common stock, $0.00001 par value per share, outstanding.</w:t>
      </w:r>
    </w:p>
    <w:p>
      <w:pPr>
        <w:pStyle w:val="TextBody"/>
        <w:pBdr>
          <w:bottom w:val="double" w:sz="6" w:space="1" w:color="000000"/>
        </w:pBdr>
        <w:bidi w:val="0"/>
        <w:jc w:val="left"/>
        <w:rPr/>
      </w:pPr>
      <w:r>
        <w:rPr/>
        <w:t> </w:t>
      </w:r>
    </w:p>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Consolidated Balance Sheets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_comprehe">
              <w:r>
                <w:rPr>
                  <w:rStyle w:val="InternetLink"/>
                  <w:rFonts w:ascii="Times New Roman" w:hAnsi="Times New Roman"/>
                  <w:color w:val="0000FF"/>
                  <w:sz w:val="20"/>
                  <w:u w:val="single"/>
                </w:rPr>
                <w:t>Condensed Consolidated Statements of Operations and Comprehensive Loss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stockholders_defici">
              <w:r>
                <w:rPr>
                  <w:rStyle w:val="InternetLink"/>
                  <w:rFonts w:ascii="Times New Roman" w:hAnsi="Times New Roman"/>
                  <w:color w:val="0000FF"/>
                  <w:sz w:val="20"/>
                  <w:u w:val="single"/>
                </w:rPr>
                <w:t>Condensed Consolidated Statements of Stockholders’ Equity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Consolidated Statements of Cash Flows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pecial_note_regarding_forwardlooking_st"/>
      <w:bookmarkEnd w:id="2"/>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and approvals, timing and likelihood of success, as well as plans and objectives of management for future operations, are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cash, cash equivalents, and marketable securities to fund our future operating expenses and capital expenditure requirements, and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raise additional funding before we can expect to generate any revenues from product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additional funding for our operations, when needed, including funding necessary to complete further development and commercialization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cash, cash equivalents, and marketable securities and any proceeds from the ATM Program (as defined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market opportunity for our product candidates and our ability to maximize those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and results of our research and development programs, preclinical studies, clinical trials and investigational new drug applications, or IND, and other regulatory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beneficial characteristics, safety, efficacy and therapeutic effects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the number of patients for each of our programs including patients expected to have certain p53 mutations and the number of patients that will enroll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clinical trials to demonstrate safety and efficacy of our product candidates, and other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clinical development of our product candidates, including the disease areas to be evaluated;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progress and focus of our clinical trials, and the reporting of data from those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commercializing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expected benefits of our existing and any potential future strategic collaborations with third parties and our ability to attract collaborators with development, regulatory and commercialization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including our expectation to seek accelerated reviews or special designations, such as breakthrough therapy and orphan drug designation, for our product candidates,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including our intention to seek accelerated approval for rezatapopt, our lead product candidate, for a platinum-resistant/refractory ovarian cancer harboring a TP53 Y220C mutation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further development and manufacturing of our product candidates, including for additional indications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other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obtain or protect intellectual property rights, including extensions of existing patent terms where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rely on third parties to conduct and support preclinical and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the continued service of our key personnel and to identify, hire and then retain additional qualified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geopolitical tensions, such as the Ukraine-Russia war and the conflict in the Middle East, the impact of other disruptions resulting from public health epidemics, macroeconomic events such as future changes in trade regulations, tariff structures, global supply chain challenges, elevated inflation and interest rates and monetary policy changes (including the impact of changes to U.S. federal income tax law), instability in the global banking system, or other related disruptions on our business and the execution of our clinical trials.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2025, filed with the United States Securities and Exchange Commission, or the SEC, on March 6, 2026, our Quarterly Report on Form 10-Q for the quarter ended March 31, 2026, filed with the SEC on May 12, 2026,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Condensed Consolidated Financial Statements (Unaudited).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bookmarkStart w:id="5" w:name="condens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5"/>
        <w:gridCol w:w="146"/>
        <w:gridCol w:w="211"/>
        <w:gridCol w:w="841"/>
        <w:gridCol w:w="166"/>
        <w:gridCol w:w="146"/>
        <w:gridCol w:w="214"/>
        <w:gridCol w:w="854"/>
        <w:gridCol w:w="592"/>
      </w:tblGrid>
      <w:tr>
        <w:trPr/>
        <w:tc>
          <w:tcPr>
            <w:tcW w:w="7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 xml:space="preserve">2026 </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115,227</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116,562</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$0.00001 par value, 5,000,000 shares authorized at June 30, 2026 and December 31, 2025. No shares issued or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$0.00001 par value, 1,000,000,000 shares authorized; 53,460,432 and 53,331,766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551,082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(446,454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104,712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116,562</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bookmarkStart w:id="6" w:name="condensed_statements_operations_comprehe"/>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 for sale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53,386,909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52,010,827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53,359,490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51,981,607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bookmarkStart w:id="7" w:name="condensed_statements_stockholders_defici"/>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6"/>
        <w:gridCol w:w="146"/>
        <w:gridCol w:w="146"/>
        <w:gridCol w:w="146"/>
        <w:gridCol w:w="916"/>
        <w:gridCol w:w="146"/>
        <w:gridCol w:w="146"/>
        <w:gridCol w:w="206"/>
        <w:gridCol w:w="365"/>
        <w:gridCol w:w="146"/>
        <w:gridCol w:w="146"/>
        <w:gridCol w:w="196"/>
        <w:gridCol w:w="691"/>
        <w:gridCol w:w="146"/>
        <w:gridCol w:w="146"/>
        <w:gridCol w:w="349"/>
        <w:gridCol w:w="672"/>
        <w:gridCol w:w="166"/>
        <w:gridCol w:w="146"/>
        <w:gridCol w:w="196"/>
        <w:gridCol w:w="751"/>
        <w:gridCol w:w="166"/>
        <w:gridCol w:w="146"/>
        <w:gridCol w:w="198"/>
        <w:gridCol w:w="699"/>
        <w:gridCol w:w="212"/>
      </w:tblGrid>
      <w:tr>
        <w:trP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 xml:space="preserve">Other </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51,935,134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176,080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51,954,135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160,107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 common stock issued under the 2020 ESPP, and release of 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52,993,238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547,942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(407,358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140,605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6"/>
        <w:gridCol w:w="146"/>
        <w:gridCol w:w="146"/>
        <w:gridCol w:w="146"/>
        <w:gridCol w:w="916"/>
        <w:gridCol w:w="146"/>
        <w:gridCol w:w="146"/>
        <w:gridCol w:w="206"/>
        <w:gridCol w:w="365"/>
        <w:gridCol w:w="146"/>
        <w:gridCol w:w="146"/>
        <w:gridCol w:w="196"/>
        <w:gridCol w:w="691"/>
        <w:gridCol w:w="146"/>
        <w:gridCol w:w="146"/>
        <w:gridCol w:w="316"/>
        <w:gridCol w:w="705"/>
        <w:gridCol w:w="166"/>
        <w:gridCol w:w="146"/>
        <w:gridCol w:w="196"/>
        <w:gridCol w:w="751"/>
        <w:gridCol w:w="166"/>
        <w:gridCol w:w="146"/>
        <w:gridCol w:w="198"/>
        <w:gridCol w:w="699"/>
        <w:gridCol w:w="212"/>
      </w:tblGrid>
      <w:tr>
        <w:trP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 xml:space="preserve">Other </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53,331,766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104,712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 for 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53,331,766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552,474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87,967</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 common stock issued under the 2020 ESPP, and release of 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53,460,432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554,160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(482,578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71,500</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bookmarkStart w:id="8" w:name="condensed_statements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2"/>
        <w:gridCol w:w="146"/>
        <w:gridCol w:w="211"/>
        <w:gridCol w:w="736"/>
        <w:gridCol w:w="166"/>
        <w:gridCol w:w="146"/>
        <w:gridCol w:w="211"/>
        <w:gridCol w:w="736"/>
        <w:gridCol w:w="791"/>
      </w:tblGrid>
      <w:tr>
        <w:trPr/>
        <w:tc>
          <w:tcPr>
            <w:tcW w:w="7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termination of lease,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sales and disposals of fixed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(46,689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86,374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stock options and common stock issued under the 2020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Impact of exchange rates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bookmarkStart w:id="9" w:name="notes_to_condensed_financial_statements"/>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 Formation and Business of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The Company’s headquarters are located at 400 Alexander Park Drive, Suite 301, Princeton, New Jersey.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risks and uncertainties common to clinical 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incurred net losses and negative cash flows from operations since its inception. During the three and six months ended June 30, 2026, the Company incurred a net loss of $18,086 and $36,124, respectively. For the six months ended June 30, 2026, the Company used $34,256 of cash for operations. At June 30, 2026, the Company had an accumulated deficit of $482,578. Cash, cash equivalents, and marketable securities were $79,431 as of June 30, 2026. Management expects to incur substantial additional operating losses for the next several years and may need to obtain additional debt or equity financings in order to complete development of its products, obtain regulatory approvals, launch and commercialize its products.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determined that the Company’s current available cash, cash equivalents and marketable securities may not be sufficient to fund its planned operations for at least one year from the date of this Quarterly Report, and there is substantial doubt as to the Company’s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ability to continue as a going concern will depend on, among other things, its ability to obtain additional funding and appropriately manage the amount of cash used to fund its operations. The Company plans to address this condition through public or private equity, convertible or debt financing or capital obtained in connection with strategic collaborations or licensing or other sources. There are inherent uncertainties as the outcome of these potential transactions are outside management’s control, and therefore there are no assurances that any of these potential transactions will occur. In addition, there can be no assurances that these transactions will sufficiently improve the Company’s liquidity or that the Company will otherwise realize the anticipated benefits. If the Company is not able to secure adequate additional funding, the Company may be forced to make reductions in spending, extend payment terms with suppliers, liquidate assets where possible, suspend or curtail planned programs, or pursue strategic alternatives. Any of these actions could materially harm the Company’s business, results of operations and future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do not include any adjustments that might result from the outcome of this uncertainty. Accordingly, the unaudited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 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disclosed in the audited consolidated financial statements for the year ended December 31, 2025, included in the Company’s Annual Report on Form 10-K filed with the United States Securities and Exchange Commission (the “SEC”) on March 6, 2026. Since the date of those consolidated financial statements, there have been no changes to its significant accounting policies.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(“GAAP”) for interim financial information and with the interim period reporting requirements of Form 10-Q and Article 10 of Regulation S-X. The condensed consolidated balance sheet as of June 30, 2026, the condensed consolidated statements of operations and comprehensive loss, condensed consolidated statements of stockholders’ equity and condensed consolidated statements of cash flows for the three and six months ended June 30, 2026 and 2025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2026, or for any other subsequent interim period. The condensed consolidated balance sheet as of December 31, 2025, has been derived from the Company’s audited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Company’s accounts and the accounts of its wholly owned subsidiary, PMV Pharma Australia Pvt Ltd. All significant intercompany transactions and balances have been eliminated upon consolidation. These condensed consolidated financial statements are presented in United States (“U.S.”) Dollars, which is also the functional currency of the Company.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condensed consolidated financial statements include, but are not limited to, research and development costs, accrued research and development costs and related prepaid expenses, and stock-based compensation. Actual results could differ materially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Inputs that reflect unadjusted quoted prices in active markets for identical assets or liabilities that the Company has the ability to access at the measurement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quoted prices that are observable for the asset or liability either directly or indirectly, including inputs in markets that are not considered to be active.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Inputs are unobservable in which there is little or no market data available, which require the reporting entity to develop its own assumptions that are unobservable.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and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considers all highly liquid investments with original maturities of three months or less to be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marketable debt securities have been classified and accounted for as available-for-sale. The Company classifies its marketable debt securities as either short-term or long-term based on each instrument’s underlying contractual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six months ended June 30, 2026 and 2025, the Company recorded $767 and $1,564 of accretion,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recorded at cost net of accumulated depreciation. Property and equipment are depreciated using the straight</w:t>
        <w:noBreakHyphen/>
        <w:t>line method over the estimated useful lives of the assets, generally five years, except for leasehold improvements, which are amortized over the shorter of the useful life of the asset or the remaining term of the lease. Upon retirement or sale of assets, the cost and related accumulated depreciation are removed from the balance sheet and the resulting gain or loss is reflected in operations. Repairs and maintenance costs are charged to operations as incurred.</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Loss and Accumulated Other Comprehensive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comprehensive income (loss) is defined as the change in equity during a period from transactions and other events and circumstances from non-owner sources, including unrealized gains and losses on investments and foreign currency translation gains and losses.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certain to exercise. The Company’s policy is to not record leases with a lease term of 12 months or less on its balance sheets. The Company's only existing lease recorded on the balance sheet is for office space.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Lease expense for operating leases is recognized on a straight-line basis over the reasonably assured lease term based on the total lease payments and is included in operating expense in the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of cash, cash equivalents, and marketable securities. Cash and cash equivalents were held at primarily two financial institutions. At times, such deposits may be in excess of insured limits. The Company has not experienced any losses on its deposits of cash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cash equivalents. The Company’s marketable securities are carried at fair value and include any unrealized gains and losses. Any investments with unrealized losses are considered to be temporarily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risks and uncertainties. Factors that could affect the Company’s future operating results and cause actual results to vary materially from expectations include, but are not limited to, rapid technological change, cost of development, uncertainty of market acceptance of the product, competition from substitute products and larger companies, protection of proprietary technology, any future strategic relationships and dependence on key individuals.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The amended guidance enhances income tax disclosures primarily related to the effective tax rate reconciliation and income taxes paid information. This guidance requires disclosure of specific categories in the effective tax rate reconciliation and additional information on reconciling items meeting a quantitative threshold. In addition, the amended guidance requires disaggregating income taxes paid (net of refunds received) by federal, state, and foreign taxes. It also requires disaggregating individual jurisdictions in which income taxes paid (net of refunds received) are equal to or greater than 5 percent of total income taxes paid (net of refunds received). The amended guidance is effective for annual periods beginning after December 15, 2024. The Company adopted this guidance prospectively for the annual period ending December 31, 2025. For additional information, see “Note 9 — Income Taxes.”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This amended guidance requires disaggregation of specific expense categories in the notes to the financial statements and a qualitative description of the remaining expense amounts not separately disaggregated. This standard becomes effective for reporting companies with annual reporting periods beginning after December 15, 2026, and requires prospective application with an option to apply it retrospectively. The Company anticipates adopting this standard in its Annual Report on Form 10-K for the year ending December 31, 2027. The Company is currently evaluating the impact that the adoption of this standard will have on its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In September 2025, the FASB issued ASU 2025-07 (“ASU 2025-07”), Derivatives and Hedging (Topic 815) and Revenue from Contracts with Customers (Topic 606). The guidance refines the scope of Topic 815 to clarify which contracts are subject to derivative accounting. The guidance also provides clarification under Topic 606 for share-based payments from a customer in a revenue contract. The amendments in ASU 2025-07 are effective for fiscal years beginning after December 15, 2026, and interim reporting periods, with early adoption permitted. The Company is currently evaluating the impact that the adoption of this standard will have on its condensed consolidated financial statement</w:t>
      </w:r>
      <w:r>
        <w:rPr>
          <w:rFonts w:ascii="Times New Roman" w:hAnsi="Times New Roman"/>
          <w:b/>
          <w:i/>
          <w:color w:val="000000"/>
          <w:sz w:val="20"/>
        </w:rPr>
        <w:t>s.</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instruments consist of money market funds, U.S. government debt securities and corporate debt securities. Cash and cash equivalents includes money market funds, corporate securities, and government securities, which are measured at fair value on a recurring basis using quoted prices and are classified as Level 1. Marketable securities are measured at fair value based on inputs other than quoted prices that are derived from observable market data and are classified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Level 2 inputs, except for investments in U.S. treasury securities and certificates of deposit which are classified as Level 1. There were no Level 3 assets or liabilities at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show the Company’s cash equivalents and available-for-sale securities’ carrying amounts and fair values as of June 30, 2026, and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64"/>
        <w:gridCol w:w="146"/>
        <w:gridCol w:w="211"/>
        <w:gridCol w:w="676"/>
        <w:gridCol w:w="146"/>
        <w:gridCol w:w="146"/>
        <w:gridCol w:w="343"/>
        <w:gridCol w:w="564"/>
        <w:gridCol w:w="146"/>
        <w:gridCol w:w="146"/>
        <w:gridCol w:w="326"/>
        <w:gridCol w:w="582"/>
        <w:gridCol w:w="166"/>
        <w:gridCol w:w="146"/>
        <w:gridCol w:w="211"/>
        <w:gridCol w:w="676"/>
        <w:gridCol w:w="146"/>
        <w:gridCol w:w="146"/>
        <w:gridCol w:w="211"/>
        <w:gridCol w:w="676"/>
        <w:gridCol w:w="146"/>
        <w:gridCol w:w="146"/>
        <w:gridCol w:w="211"/>
        <w:gridCol w:w="676"/>
        <w:gridCol w:w="146"/>
        <w:gridCol w:w="146"/>
        <w:gridCol w:w="403"/>
        <w:gridCol w:w="663"/>
        <w:gridCol w:w="594"/>
      </w:tblGrid>
      <w:tr>
        <w:trPr/>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1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1"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priced in</w:t>
              <w:br/>
              <w:t>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420" w:type="dxa"/>
        <w:jc w:val="left"/>
        <w:tblInd w:w="0" w:type="dxa"/>
        <w:tblLayout w:type="fixed"/>
        <w:tblCellMar>
          <w:top w:w="28" w:type="dxa"/>
          <w:left w:w="28" w:type="dxa"/>
          <w:bottom w:w="28" w:type="dxa"/>
          <w:right w:w="28" w:type="dxa"/>
        </w:tblCellMar>
      </w:tblPr>
      <w:tblGrid>
        <w:gridCol w:w="1241"/>
        <w:gridCol w:w="146"/>
        <w:gridCol w:w="211"/>
        <w:gridCol w:w="781"/>
        <w:gridCol w:w="146"/>
        <w:gridCol w:w="146"/>
        <w:gridCol w:w="335"/>
        <w:gridCol w:w="551"/>
        <w:gridCol w:w="146"/>
        <w:gridCol w:w="146"/>
        <w:gridCol w:w="335"/>
        <w:gridCol w:w="551"/>
        <w:gridCol w:w="166"/>
        <w:gridCol w:w="146"/>
        <w:gridCol w:w="211"/>
        <w:gridCol w:w="781"/>
        <w:gridCol w:w="146"/>
        <w:gridCol w:w="146"/>
        <w:gridCol w:w="211"/>
        <w:gridCol w:w="676"/>
        <w:gridCol w:w="146"/>
        <w:gridCol w:w="146"/>
        <w:gridCol w:w="221"/>
        <w:gridCol w:w="710"/>
        <w:gridCol w:w="146"/>
        <w:gridCol w:w="146"/>
        <w:gridCol w:w="415"/>
        <w:gridCol w:w="681"/>
        <w:gridCol w:w="591"/>
      </w:tblGrid>
      <w:tr>
        <w:trPr/>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2"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Priced in</w:t>
              <w:br/>
              <w:t>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Cash Equivalents</w:t>
      </w:r>
      <w:r>
        <w:rPr>
          <w:rFonts w:ascii="Times New Roman" w:hAnsi="Times New Roman"/>
          <w:color w:val="000000"/>
          <w:sz w:val="20"/>
        </w:rPr>
        <w:t xml:space="preserve"> — As of June 30, 2026, the Company had aggregate cash and cash equivalents of $12,469, including cash equivalents of $12,436, consisting of money market funds and government securities. As of December 31, 2025, the Company had aggregate cash and cash equivalents of $37,983, including cash equivalents of $29,909, consisting of money market funds, and $7,981 in corporate securities.</w:t>
      </w:r>
    </w:p>
    <w:p>
      <w:pPr>
        <w:pStyle w:val="TextBody"/>
        <w:bidi w:val="0"/>
        <w:spacing w:before="120" w:after="283"/>
        <w:jc w:val="left"/>
        <w:rPr>
          <w:rFonts w:ascii="Times New Roman" w:hAnsi="Times New Roman"/>
          <w:sz w:val="20"/>
        </w:rPr>
      </w:pPr>
      <w:r>
        <w:rPr>
          <w:rFonts w:ascii="Times New Roman" w:hAnsi="Times New Roman"/>
          <w:b/>
          <w:i/>
          <w:color w:val="000000"/>
          <w:sz w:val="20"/>
        </w:rPr>
        <w:t>Marketable Securities</w:t>
      </w:r>
      <w:r>
        <w:rPr>
          <w:rFonts w:ascii="Times New Roman" w:hAnsi="Times New Roman"/>
          <w:color w:val="000000"/>
          <w:sz w:val="20"/>
        </w:rPr>
        <w:t xml:space="preserve"> — Marketable securities of $66,962 as of June 30, 2026, consisted of corporate debt securities of $44,802 and government debt securities of $22,160. All marketable securities were classified as current, and the Company held no noncurrent marketable securities, as of June 30, 2026. Marketable securities of $74,960 as of December 31, 2025, consisted of corporate debt securities of $22,663 and government debt securities of $52,298. There were $74,960 of current marketable</w:t>
        <w:br/>
        <w:t>securities and no noncurrent marketable securities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aggregated gross unrealized losses of available-for-sale investments were not material, and accordingly, no allowance for credit losses was recorded.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4. Property and Equipment, Net</w:t>
      </w:r>
    </w:p>
    <w:p>
      <w:pPr>
        <w:pStyle w:val="TextBody"/>
        <w:bidi w:val="0"/>
        <w:jc w:val="left"/>
        <w:rPr/>
      </w:pPr>
      <w:r>
        <w:rPr/>
        <w:t> </w:t>
      </w:r>
    </w:p>
    <w:tbl>
      <w:tblPr>
        <w:tblW w:w="5337" w:type="dxa"/>
        <w:jc w:val="left"/>
        <w:tblInd w:w="0" w:type="dxa"/>
        <w:tblLayout w:type="fixed"/>
        <w:tblCellMar>
          <w:top w:w="28" w:type="dxa"/>
          <w:left w:w="28" w:type="dxa"/>
          <w:bottom w:w="28" w:type="dxa"/>
          <w:right w:w="28" w:type="dxa"/>
        </w:tblCellMar>
      </w:tblPr>
      <w:tblGrid>
        <w:gridCol w:w="2731"/>
        <w:gridCol w:w="146"/>
        <w:gridCol w:w="211"/>
        <w:gridCol w:w="631"/>
        <w:gridCol w:w="166"/>
        <w:gridCol w:w="146"/>
        <w:gridCol w:w="274"/>
        <w:gridCol w:w="821"/>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&amp;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the three months ended June 30, 2026 and 2025 was $24 and $32, respectively. Depreciation expense for the six months ended June 30, 2026 and 2025 was $58 and $69,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5.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consist of the following:</w:t>
      </w:r>
    </w:p>
    <w:tbl>
      <w:tblPr>
        <w:tblW w:w="5912" w:type="dxa"/>
        <w:jc w:val="left"/>
        <w:tblInd w:w="0" w:type="dxa"/>
        <w:tblLayout w:type="fixed"/>
        <w:tblCellMar>
          <w:top w:w="28" w:type="dxa"/>
          <w:left w:w="28" w:type="dxa"/>
          <w:bottom w:w="28" w:type="dxa"/>
          <w:right w:w="28" w:type="dxa"/>
        </w:tblCellMar>
      </w:tblPr>
      <w:tblGrid>
        <w:gridCol w:w="3406"/>
        <w:gridCol w:w="146"/>
        <w:gridCol w:w="211"/>
        <w:gridCol w:w="571"/>
        <w:gridCol w:w="146"/>
        <w:gridCol w:w="146"/>
        <w:gridCol w:w="294"/>
        <w:gridCol w:w="801"/>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6.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2021, the Company signed a lease for 50,581 square feet of office and laboratory space (the “One Research Way Lease”) at One Research Way in Princeton, New Jersey (the “Premises”). The lease term initially extended through 2032, had a five-year extension option, and replaced the Company’s two prior facilities as the Company’s headquarters in March 2023. The Company estimated that payments under the One Research Way Lease would be $19,889 through May 2032. The Company received a lease incentive of $4,046 from the lessor for a buildout of laboratory, vivarium, and office space. Management estimated the timing and amounts of reimbursements and included them as a reduction of lease payments when initially measuring the lease liability and right-of-use asset upon commencement. Since the inception date of the lease, $4,046 reimbursements were received from the lessor.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2024, the Company entered into a Lease Termination Agreement with BMR-One Research Way LLC (the “Landlord”), in connection with the termination of the One Research Way Lease (the “Termination Agreement”). The Termination Agreement was contingent on the sale of the Premises by the Landlord to a prospective new buyer, which was met on October 1, 2024, and, as a result, there was no modification in August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Termination Agreement, the Company surrendered the Premises in October 2024 and paid a total termination fee of approximately $1,420, consisting of (i) a cash payment in the amount of approximately $798 and (ii) a release of a security deposit from the Company’s existing letter of credit in the amount of approximately $622. The transaction was accounted for as an immediate termination of an operating lease before the expiration of the lease term in accordance with ASC 842. The Company derecognized the lease-related asset and liability resulting in a gain of $4,850. Since the termination fee of $1,420 was not already included in the lease payments, the termination fee was recognized as a loss on termination of the lease. Further, the Company abandoned and wrote-off all the related leasehold improvements totaling $9,454 held at the Premises. This net activity totaling $6,024 was recorded as a loss within General and Administrative expense in the Statement of Operations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2024, the Company signed a sublease for 14,201 square feet of office space at 400 Alexander Park Drive, Suite 301, in Princeton, New Jersey, to be used as its new headquarters (the “400 Alexander Sublease”). The 400 Alexander Sublease commenced on October 1, 2024 and extends until February 28, 2027. Payment under the 400 Alexander Sublease will total $789 through February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signed a sublease agreement for 3,205 square feet of office and laboratory space at 311 Pennington Rocky Hill Road in Hopewell, New Jersey (the “311 Pennington Sublease”). The Company utilized the premises as laboratory space for research and development activities. The term of the 311 Pennington Sublease extended through 2029 and provided the Company with the option to extend the term for an additional three year period. Payment under the 311 Pennington Sublease totaled $192 through February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the 311 Pennington Sublease was terminated effective March 4, 2026, upon the termination of the primary lease between the master landlord and the tenant, in accordance with the terms of the sublease agreement. As a result, the Company accounted for the 311 Pennington Sublease termination as an immediate termination of an operating lease before the expiration of the lease term in accordance with ASC 842. Upon termination, the Company derecognized the related operating lease right</w:t>
        <w:noBreakHyphen/>
        <w:t>of</w:t>
        <w:noBreakHyphen/>
        <w:t>use asset and lease liabilities and recorded a net gain of approximately $24, which was recognized in General and Administrative expense in the accompanying Statement of Operations for the three months ended March 31,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lease cost for the three and six months ended June 30, 2026 and 2025, were as follows:</w:t>
      </w:r>
    </w:p>
    <w:p>
      <w:pPr>
        <w:pStyle w:val="TextBody"/>
        <w:bidi w:val="0"/>
        <w:jc w:val="left"/>
        <w:rPr/>
      </w:pPr>
      <w:r>
        <w:rPr/>
        <w:t> </w:t>
      </w:r>
    </w:p>
    <w:tbl>
      <w:tblPr>
        <w:tblW w:w="6470" w:type="dxa"/>
        <w:jc w:val="left"/>
        <w:tblInd w:w="0" w:type="dxa"/>
        <w:tblLayout w:type="fixed"/>
        <w:tblCellMar>
          <w:top w:w="28" w:type="dxa"/>
          <w:left w:w="28" w:type="dxa"/>
          <w:bottom w:w="28" w:type="dxa"/>
          <w:right w:w="28" w:type="dxa"/>
        </w:tblCellMar>
      </w:tblPr>
      <w:tblGrid>
        <w:gridCol w:w="1801"/>
        <w:gridCol w:w="146"/>
        <w:gridCol w:w="258"/>
        <w:gridCol w:w="516"/>
        <w:gridCol w:w="179"/>
        <w:gridCol w:w="179"/>
        <w:gridCol w:w="258"/>
        <w:gridCol w:w="516"/>
        <w:gridCol w:w="179"/>
        <w:gridCol w:w="179"/>
        <w:gridCol w:w="280"/>
        <w:gridCol w:w="560"/>
        <w:gridCol w:w="194"/>
        <w:gridCol w:w="194"/>
        <w:gridCol w:w="280"/>
        <w:gridCol w:w="560"/>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7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Amounts reported in the balance sheet for leases where the Company is the lessee as of June 30, 2026, and December 31, 2025, are as follows:</w:t>
      </w:r>
    </w:p>
    <w:p>
      <w:pPr>
        <w:pStyle w:val="TextBody"/>
        <w:bidi w:val="0"/>
        <w:jc w:val="left"/>
        <w:rPr/>
      </w:pPr>
      <w:r>
        <w:rPr/>
        <w:t> </w:t>
      </w:r>
    </w:p>
    <w:tbl>
      <w:tblPr>
        <w:tblW w:w="6672" w:type="dxa"/>
        <w:jc w:val="left"/>
        <w:tblInd w:w="0" w:type="dxa"/>
        <w:tblLayout w:type="fixed"/>
        <w:tblCellMar>
          <w:top w:w="28" w:type="dxa"/>
          <w:left w:w="28" w:type="dxa"/>
          <w:bottom w:w="28" w:type="dxa"/>
          <w:right w:w="28" w:type="dxa"/>
        </w:tblCellMar>
      </w:tblPr>
      <w:tblGrid>
        <w:gridCol w:w="3916"/>
        <w:gridCol w:w="146"/>
        <w:gridCol w:w="211"/>
        <w:gridCol w:w="571"/>
        <w:gridCol w:w="271"/>
        <w:gridCol w:w="146"/>
        <w:gridCol w:w="294"/>
        <w:gridCol w:w="801"/>
        <w:gridCol w:w="31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information related to leases for the six months ended June 30, 2026 and 2025, respectively, are as follows:</w:t>
      </w:r>
    </w:p>
    <w:p>
      <w:pPr>
        <w:pStyle w:val="TextBody"/>
        <w:bidi w:val="0"/>
        <w:jc w:val="left"/>
        <w:rPr/>
      </w:pPr>
      <w:r>
        <w:rPr/>
        <w:t> </w:t>
      </w:r>
    </w:p>
    <w:tbl>
      <w:tblPr>
        <w:tblW w:w="9656" w:type="dxa"/>
        <w:jc w:val="left"/>
        <w:tblInd w:w="0" w:type="dxa"/>
        <w:tblLayout w:type="fixed"/>
        <w:tblCellMar>
          <w:top w:w="28" w:type="dxa"/>
          <w:left w:w="28" w:type="dxa"/>
          <w:bottom w:w="28" w:type="dxa"/>
          <w:right w:w="28" w:type="dxa"/>
        </w:tblCellMar>
      </w:tblPr>
      <w:tblGrid>
        <w:gridCol w:w="7231"/>
        <w:gridCol w:w="146"/>
        <w:gridCol w:w="257"/>
        <w:gridCol w:w="587"/>
        <w:gridCol w:w="202"/>
        <w:gridCol w:w="178"/>
        <w:gridCol w:w="257"/>
        <w:gridCol w:w="587"/>
        <w:gridCol w:w="211"/>
      </w:tblGrid>
      <w:tr>
        <w:trPr/>
        <w:tc>
          <w:tcPr>
            <w:tcW w:w="7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Leased assets (derecognized) in exchange for new or modified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minimum lease payments, net of reimbursements, remaining as of June 30, 2026, under operating leases by fiscal year were as follows:</w:t>
      </w:r>
    </w:p>
    <w:p>
      <w:pPr>
        <w:pStyle w:val="TextBody"/>
        <w:bidi w:val="0"/>
        <w:jc w:val="left"/>
        <w:rPr/>
      </w:pPr>
      <w:r>
        <w:rPr/>
        <w:t> </w:t>
      </w:r>
    </w:p>
    <w:tbl>
      <w:tblPr>
        <w:tblW w:w="4725" w:type="dxa"/>
        <w:jc w:val="left"/>
        <w:tblInd w:w="0" w:type="dxa"/>
        <w:tblLayout w:type="fixed"/>
        <w:tblCellMar>
          <w:top w:w="28" w:type="dxa"/>
          <w:left w:w="28" w:type="dxa"/>
          <w:bottom w:w="28" w:type="dxa"/>
          <w:right w:w="28" w:type="dxa"/>
        </w:tblCellMar>
      </w:tblPr>
      <w:tblGrid>
        <w:gridCol w:w="3736"/>
        <w:gridCol w:w="146"/>
        <w:gridCol w:w="211"/>
        <w:gridCol w:w="421"/>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representing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Rent expense recorded during the three months ended June 30, 2026 and 2025 was $157 and $118, respectively. Rent expense recorded during the six months ended June 30, 2026 and 2025 was $287 and $235,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have certain contingent liabilities that arise in the ordinary course of its business activities. The Company accrues a liability for such matters when future expenditures are probable and such expenditures can be reasonably estimated.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7. Stockholders’ Equity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 authorized to issue up to 1,000,000,000 shares of common stock with a par value of $0.00001 per share and 5,000,000 shares of preferred stock with a par value of $0.00001 per share. At June 30, 2026 and December 31, 2025, there were </w:t>
      </w:r>
      <w:r>
        <w:rPr>
          <w:rFonts w:ascii="Times New Roman" w:hAnsi="Times New Roman"/>
          <w:color w:val="000000"/>
          <w:sz w:val="19"/>
        </w:rPr>
        <w:t>53,460,432</w:t>
      </w:r>
      <w:r>
        <w:rPr>
          <w:rFonts w:ascii="Times New Roman" w:hAnsi="Times New Roman"/>
          <w:color w:val="000000"/>
          <w:sz w:val="20"/>
        </w:rPr>
        <w:t xml:space="preserve"> and 53,331,766 shares of common stock issued and outstanding,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stockholders are entitled to receive dividends if and when declared by the board of directors subject to the rights of any preferred stockholders. As of June 30, 2026, no dividends on common stock had been declared by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4, 2021, the Company entered into an at-the-market offering program (the “ATM Program”). Pursuant to the ATM Program, the Company may offer and sell shares of its common stock having aggregate gross sales proceeds of up to $150.0 million from time to time. During the three and six months ended June 30, 2026, the Company did not sell any shares of its common stock under the ATM Program. As of June 30, 2026, the Company has approximately $113.8 million remaining in gross proceeds available for future issuances of common stock under the ATM Program.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8. Stock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2020 Equity Incentive Plan (the “2020 Plan”) was approved by the Company’s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Company’s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2026, the compensation committee of the Company’s board of directors, as the 2020 Plan administrator, exercised its discretion under clause (ii) to increase the number of shares of common stock reserved for issuance under the 2020 Plan by 2,666,470 shares, effective as of January 1, 2026. As of June 30, 2026, there were 3,185,748 shares available for issuance under the 2020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18, 2024, the Company granted 952,665 RSUs to employees VP-level or higher, pursuant to an employee retention program approved by the compensation committee of the Company’s board of directors. As of June 30, 2025 such RSUs were fully vested and common stock was issued upon settlement of the RSUs.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2020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2020 Employee Stock Purchase Plan (the “2020 ESPP”) was approved by the Company’s board of directors on September 24, 2020. A total of 400,752 shares of common stock were initially reserved for issuance under this plan, which shall be increased, upon approval by the Company’s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2026, the Company’s board of directors waived the annual increase to the shares reserved under the 2020 ESPP. As of June 30, 2026, 740,081 shares are issued or outstanding, and there were 1,033,530 shares available for issuance, under the 2020 ESPP.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16, 2024, the Company filed with the Securities and Exchange Commission a Tender Offer Statement on Schedule TO defining the terms and conditions of a one-time voluntary stock option exchange to its employees of certain options to purchase up to an aggregate of 2,820,491 shares of the Company’s common stock (the “Option Exchange”). On August 13, 2024, the completion date of the Option Exchange, stock options covering an aggregate of 2,786,691 shares of common stock were tendered by eligible employees, and the Company granted new options at an exercise price of $1.48, the Company’s closing stock price on August 13, 2024, covering an aggregate of 2,786,691 shares of common stock under the 2020 Plan in exchange for the tendered options. The new options are subject to a new three or four-year vesting schedule,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vesting in equal annual installments over the vesting term. Each new option has a maximum term of ten years. The Option Exchange was treated as a modification for accounting purposes. As a result of the Option Exchange, the Company will recognize incremental stock-based compensation expense of $1,370 over the requisite service period of the new stock options, which is three or four years. The Company will recognize the sum of the incremental stock-based compensation expense and the remaining unrecognized compensation expense for the original awards on the modification date, over the requisite service period of the new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option activity for the six-month period ended June 30, 2026:</w:t>
      </w:r>
    </w:p>
    <w:p>
      <w:pPr>
        <w:pStyle w:val="TextBody"/>
        <w:bidi w:val="0"/>
        <w:jc w:val="left"/>
        <w:rPr/>
      </w:pPr>
      <w:r>
        <w:rPr/>
        <w:t> </w:t>
      </w:r>
    </w:p>
    <w:tbl>
      <w:tblPr>
        <w:tblW w:w="8608" w:type="dxa"/>
        <w:jc w:val="left"/>
        <w:tblInd w:w="0" w:type="dxa"/>
        <w:tblLayout w:type="fixed"/>
        <w:tblCellMar>
          <w:top w:w="28" w:type="dxa"/>
          <w:left w:w="28" w:type="dxa"/>
          <w:bottom w:w="28" w:type="dxa"/>
          <w:right w:w="28" w:type="dxa"/>
        </w:tblCellMar>
      </w:tblPr>
      <w:tblGrid>
        <w:gridCol w:w="3106"/>
        <w:gridCol w:w="146"/>
        <w:gridCol w:w="146"/>
        <w:gridCol w:w="1036"/>
        <w:gridCol w:w="166"/>
        <w:gridCol w:w="146"/>
        <w:gridCol w:w="248"/>
        <w:gridCol w:w="548"/>
        <w:gridCol w:w="146"/>
        <w:gridCol w:w="146"/>
        <w:gridCol w:w="311"/>
        <w:gridCol w:w="1009"/>
        <w:gridCol w:w="146"/>
        <w:gridCol w:w="146"/>
        <w:gridCol w:w="290"/>
        <w:gridCol w:w="581"/>
        <w:gridCol w:w="2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000s)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11,990,688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 / 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June 30, 2026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15,809,535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 and expected to vest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15,809,535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June 30, 2026, the total compensation cost related to nonvested awards not yet recognized was $12,278. The weighted-average period over which the nonvested awards is expected to be recognized was 2.7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pStyle w:val="TextBody"/>
        <w:bidi w:val="0"/>
        <w:jc w:val="left"/>
        <w:rPr/>
      </w:pPr>
      <w:r>
        <w:rPr/>
        <w:t> </w:t>
      </w:r>
    </w:p>
    <w:tbl>
      <w:tblPr>
        <w:tblW w:w="5949" w:type="dxa"/>
        <w:jc w:val="left"/>
        <w:tblInd w:w="0" w:type="dxa"/>
        <w:tblLayout w:type="fixed"/>
        <w:tblCellMar>
          <w:top w:w="28" w:type="dxa"/>
          <w:left w:w="28" w:type="dxa"/>
          <w:bottom w:w="28" w:type="dxa"/>
          <w:right w:w="28" w:type="dxa"/>
        </w:tblCellMar>
      </w:tblPr>
      <w:tblGrid>
        <w:gridCol w:w="1996"/>
        <w:gridCol w:w="146"/>
        <w:gridCol w:w="146"/>
        <w:gridCol w:w="1516"/>
        <w:gridCol w:w="146"/>
        <w:gridCol w:w="146"/>
        <w:gridCol w:w="146"/>
        <w:gridCol w:w="1516"/>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3.82% - 4.27%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3.89% - 4.48%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77.29% - 77.77%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78.67% - 80.22%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assumptions used to estimate the fair value of stock purchase rights under the ESPP are as follows:</w:t>
      </w:r>
    </w:p>
    <w:p>
      <w:pPr>
        <w:pStyle w:val="TextBody"/>
        <w:bidi w:val="0"/>
        <w:jc w:val="left"/>
        <w:rPr/>
      </w:pPr>
      <w:r>
        <w:rPr/>
        <w:t> </w:t>
      </w:r>
    </w:p>
    <w:tbl>
      <w:tblPr>
        <w:tblW w:w="4985" w:type="dxa"/>
        <w:jc w:val="left"/>
        <w:tblInd w:w="0" w:type="dxa"/>
        <w:tblLayout w:type="fixed"/>
        <w:tblCellMar>
          <w:top w:w="28" w:type="dxa"/>
          <w:left w:w="28" w:type="dxa"/>
          <w:bottom w:w="28" w:type="dxa"/>
          <w:right w:w="28" w:type="dxa"/>
        </w:tblCellMar>
      </w:tblPr>
      <w:tblGrid>
        <w:gridCol w:w="1996"/>
        <w:gridCol w:w="146"/>
        <w:gridCol w:w="188"/>
        <w:gridCol w:w="950"/>
        <w:gridCol w:w="188"/>
        <w:gridCol w:w="188"/>
        <w:gridCol w:w="188"/>
        <w:gridCol w:w="950"/>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77.77%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Risk Free Interest Rate: The risk-free rate is based on the U.S. Treasury yields in effect at the time of grant for periods corresponding with the expected term of the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Term: The Company uses the simplified method to calculate expected term described in the SEC’s Staff Accounting Bulletin No. 107, which takes into account vesting term and expiration date of the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Dividend Yield: The Company has never declared or paid any cash dividends and does not plan to pay cash dividends in the foreseeable future, and therefore, used an expected dividend yield of zero in the valuation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Volatility is based on the historical volatility of the Company’s publicly traded shares for the expected term.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jc w:val="left"/>
        <w:rPr>
          <w:rFonts w:ascii="Times New Roman" w:hAnsi="Times New Roman"/>
          <w:color w:val="000000"/>
          <w:sz w:val="20"/>
        </w:rPr>
      </w:pPr>
      <w:r>
        <w:rPr>
          <w:rFonts w:ascii="Times New Roman" w:hAnsi="Times New Roman"/>
          <w:color w:val="000000"/>
          <w:sz w:val="20"/>
        </w:rPr>
        <w:t>For the quarter ending June 30, 2026, no RSU awards were granted, vested, or unvested. As of June 30, 2026 there was no unrecognized compensation cost related to RSUs that are expected to vest.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recorded under ASC 718 related to stock options granted and common stock issued under the 2020 ESPP were allocated to research and development and general and administrative expense as follows:</w:t>
      </w:r>
    </w:p>
    <w:p>
      <w:pPr>
        <w:pStyle w:val="TextBody"/>
        <w:bidi w:val="0"/>
        <w:jc w:val="left"/>
        <w:rPr/>
      </w:pPr>
      <w:r>
        <w:rPr/>
        <w:t> </w:t>
      </w:r>
    </w:p>
    <w:tbl>
      <w:tblPr>
        <w:tblW w:w="9277" w:type="dxa"/>
        <w:jc w:val="left"/>
        <w:tblInd w:w="0" w:type="dxa"/>
        <w:tblLayout w:type="fixed"/>
        <w:tblCellMar>
          <w:top w:w="28" w:type="dxa"/>
          <w:left w:w="28" w:type="dxa"/>
          <w:bottom w:w="28" w:type="dxa"/>
          <w:right w:w="28" w:type="dxa"/>
        </w:tblCellMar>
      </w:tblPr>
      <w:tblGrid>
        <w:gridCol w:w="2946"/>
        <w:gridCol w:w="146"/>
        <w:gridCol w:w="324"/>
        <w:gridCol w:w="877"/>
        <w:gridCol w:w="224"/>
        <w:gridCol w:w="224"/>
        <w:gridCol w:w="324"/>
        <w:gridCol w:w="877"/>
        <w:gridCol w:w="146"/>
        <w:gridCol w:w="146"/>
        <w:gridCol w:w="301"/>
        <w:gridCol w:w="817"/>
        <w:gridCol w:w="208"/>
        <w:gridCol w:w="208"/>
        <w:gridCol w:w="301"/>
        <w:gridCol w:w="817"/>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Stock-based compensation expense by award type included within the condensed consolidated statements of operations is as follows:</w:t>
      </w:r>
    </w:p>
    <w:p>
      <w:pPr>
        <w:pStyle w:val="TextBody"/>
        <w:bidi w:val="0"/>
        <w:jc w:val="left"/>
        <w:rPr/>
      </w:pPr>
      <w:r>
        <w:rPr/>
        <w:t> </w:t>
      </w:r>
    </w:p>
    <w:tbl>
      <w:tblPr>
        <w:tblW w:w="9277" w:type="dxa"/>
        <w:jc w:val="left"/>
        <w:tblInd w:w="0" w:type="dxa"/>
        <w:tblLayout w:type="fixed"/>
        <w:tblCellMar>
          <w:top w:w="28" w:type="dxa"/>
          <w:left w:w="28" w:type="dxa"/>
          <w:bottom w:w="28" w:type="dxa"/>
          <w:right w:w="28" w:type="dxa"/>
        </w:tblCellMar>
      </w:tblPr>
      <w:tblGrid>
        <w:gridCol w:w="2946"/>
        <w:gridCol w:w="146"/>
        <w:gridCol w:w="324"/>
        <w:gridCol w:w="877"/>
        <w:gridCol w:w="224"/>
        <w:gridCol w:w="224"/>
        <w:gridCol w:w="324"/>
        <w:gridCol w:w="877"/>
        <w:gridCol w:w="146"/>
        <w:gridCol w:w="146"/>
        <w:gridCol w:w="301"/>
        <w:gridCol w:w="817"/>
        <w:gridCol w:w="208"/>
        <w:gridCol w:w="208"/>
        <w:gridCol w:w="301"/>
        <w:gridCol w:w="817"/>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9.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effective tax rates were 0% and 0% for the three months ended June 30, 2026 and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and 2025, the Company recorded a full valuation allowance on federal and state net deferred tax assets since management does not forecast the Company to be in a taxable position in the near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 of New Jersey’s Technology Business Tax Certificate Program allows certain high technology and biotechnology companies to sell unused net-operating loss (“NOL”) carryforwards and R&amp;D tax credits to other New Jersey-based corporate taxpayers. For the six months ended June 30, 2025, we received a benefit for income taxes of $2,196. As of June 30, 2025, the Company received $18,372 of cash for the NOL and R&amp;D tax credit sales related to the tax years ended December 31, 2015 to 2023. For the six months ended June 30, 2026, the Company did not receive any benefit for income taxes.</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10.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excluded all outstanding stock options and RSUs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pStyle w:val="TextBody"/>
        <w:bidi w:val="0"/>
        <w:jc w:val="left"/>
        <w:rPr/>
      </w:pPr>
      <w:r>
        <w:rPr/>
        <w:t> </w:t>
      </w:r>
    </w:p>
    <w:tbl>
      <w:tblPr>
        <w:tblW w:w="7194" w:type="dxa"/>
        <w:jc w:val="left"/>
        <w:tblInd w:w="0" w:type="dxa"/>
        <w:tblLayout w:type="fixed"/>
        <w:tblCellMar>
          <w:top w:w="28" w:type="dxa"/>
          <w:left w:w="28" w:type="dxa"/>
          <w:bottom w:w="28" w:type="dxa"/>
          <w:right w:w="28" w:type="dxa"/>
        </w:tblCellMar>
      </w:tblPr>
      <w:tblGrid>
        <w:gridCol w:w="4201"/>
        <w:gridCol w:w="146"/>
        <w:gridCol w:w="146"/>
        <w:gridCol w:w="1036"/>
        <w:gridCol w:w="146"/>
        <w:gridCol w:w="146"/>
        <w:gridCol w:w="146"/>
        <w:gridCol w:w="1036"/>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12,211,331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shares to be purchased under 2020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15,816,380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12,218,176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PMV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11.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consulting agreements with two members of its board of directors. Total consulting fees paid during the three months ended June 30, 2026 and 2025 were $30 and $50, respectively. Total consulting fees paid during the six months ended June 30, 2026 and 2025 were $60 and $100, respectively. There were no amounts owed under the consulting agreements as of June 30, 2026.</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12.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viewed its operations and manages its business as one operating and reporting segment. Operating segments are identified as components of an enterprise for which separate discrete financial information is available for evaluation by the Company’s CODM to make decisions with respect to resource allocation and assessment of performance. The Company’s CODM is its Chief Executive Officer (the “CEO”), who reviews and evaluates consolidated net loss for purposes of assessing performance, making operating decisions, allocating resources, and planning and forecasting for future periods. The determination of a single segment is consistent with the financial information regularly reviewed by the CEO.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CEO regularly reviews the condensed consolidated statement of operations and a disaggregation of operating expenses, of which the significant expenses are related to research and development. The following table represents the significant segment expenses regularly provided to the CEO: </w:t>
      </w:r>
    </w:p>
    <w:p>
      <w:pPr>
        <w:pStyle w:val="TextBody"/>
        <w:bidi w:val="0"/>
        <w:jc w:val="left"/>
        <w:rPr/>
      </w:pPr>
      <w:r>
        <w:rPr/>
        <w:t> </w:t>
      </w:r>
    </w:p>
    <w:tbl>
      <w:tblPr>
        <w:tblW w:w="5852" w:type="dxa"/>
        <w:jc w:val="left"/>
        <w:tblInd w:w="0" w:type="dxa"/>
        <w:tblLayout w:type="fixed"/>
        <w:tblCellMar>
          <w:top w:w="28" w:type="dxa"/>
          <w:left w:w="28" w:type="dxa"/>
          <w:bottom w:w="28" w:type="dxa"/>
          <w:right w:w="28" w:type="dxa"/>
        </w:tblCellMar>
      </w:tblPr>
      <w:tblGrid>
        <w:gridCol w:w="2761"/>
        <w:gridCol w:w="146"/>
        <w:gridCol w:w="271"/>
        <w:gridCol w:w="869"/>
        <w:gridCol w:w="187"/>
        <w:gridCol w:w="187"/>
        <w:gridCol w:w="271"/>
        <w:gridCol w:w="869"/>
        <w:gridCol w:w="2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13. Subsequent Event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evaluated subsequent events through August 14, 2026, the date these financial statements were issued. The Company determined that there were no subsequent events that required adjustment to or disclosure in the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in conjunction with our unaudited condensed consolidated financial statements and the related notes and other financial information included in this Quarterly Report on Form 10-Q and our audited consolidated financial statements and notes thereto as of and for the years ended December 31, 2025 and 2024 and the related “Management’s Discussion and Analysis of Financial Condition and Results of Operations,” including “Contractual Obligations and Commitments” and “Critical Accounting Policies and Estimates,” included in our Annual Report on Form 10-K for the fiscal year ended December 31, 2025 filed with the Securities and Exchange Commission, or the SEC, on March 6, 2026. Unless the context requires otherwise, references in this Quarterly Report on Form 10-Q to “we,” “us,” and “our” refer to PMV Pharmaceuticals, Inc.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2025, as updated by our subsequent filings under the Securities Exchange Act of 1934, as amended. Furthermore, past operating results are not necessarily indicative of results that may occur in future periods.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formation in March 2013, we have devoted substantially all of our time and efforts to performing research and development activities, advancing our lead product candidate toward regulatory approval, and raising capital. We are not profitable and have incurred losses in each year since our inception. During the three and six months ended June 30, 2026, we incurred net losses of $18.1 million and $36.1 million, respectively. As of June 30, 2026, we had an accumulated deficit of $482.6 million. We do not currently have any product candidates approved for sale, and we continue to incur significant research and development and general and administrative expenses related to our operations. We initiated a Phase 1/2 clinical trial, PYNNACLE, in October 2020 for our lead product candidate, rezatapopt. Our strategy is to seek approval under an accelerated pathway, and we believe the Phase 2 portion of the PYNNACLE clinical trial has the potential to serve as a pivotal study. In October 2020, we were granted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Annual Meeting. We dosed our first patient in the pivotal Phase 2 monotherapy portion of the PYNNACLE study in the first quarter of 2024.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In March 2026, rezatapopt was granted Orphan Drug Designation, or ODD, from the FDA for the treatment of TP53 Y220C positive ovarian cancer, fallopian tube cancer, and primary peritoneal cancer. In April 2026, we presented interim ovarian cancer data from the Phase 2 pivotal portion of the PYNNACLE clinical trial, in an oral presentation at the 2026 Society of Gynecologic Oncology Meeting. Enrollment of platinum-resistant/refractory ovarian cancer patients for the primary analysis in the Phase 2 monotherapy portion of the study has been completed. We plan to submit our initial New Drug Application, or NDA, via accelerated approval for platinum resistant/refractory ovarian cancer in the first quarter of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We expect to continue to incur significant losses for the foreseeable future.</w:t>
      </w:r>
    </w:p>
    <w:p>
      <w:pPr>
        <w:pStyle w:val="TextBody"/>
        <w:bidi w:val="0"/>
        <w:spacing w:before="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determined that our current available cash, cash equivalents and marketable securities may not be sufficient to fund our planned operations for at least one year from the date of this Quarterly Report, and there is substantial doubt as to our ability to continue as a going concern. For additional information, see “Note 1 — Formation and Business of the Company— Liquidity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continue to use third-party service providers, including clinical research organizations, or CROs, and contract manufacturing organizations, or CMOs, to carry out our preclinical and clinical development and to manufacture and supply the materials to be used during the development and commercialization of our product candidates. We do not currently have a sales force or commercial infrastructure, and we will need to develop these capabilities, or contract with third parties to perform these functions, to commercialize any product candidate that receives regulatory approval. </w:t>
      </w:r>
    </w:p>
    <w:p>
      <w:pPr>
        <w:pStyle w:val="TextBody"/>
        <w:bidi w:val="0"/>
        <w:spacing w:before="120" w:after="283"/>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result in license agreements with third parties, we may generate revenue in the future from product sales or license agreements. However, there can be no assurance as to when we will generate such revenue, if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and depreciation and maintenance of research equipment. We expense research and development costs as they are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rezatapopt. We initiated our Phase 1/2 PYNNACLE clinical trial in October 2020, and on that date, we were granted FDA Fast Track designation of rezatapopt for the treatment of patients with locally advanced or metastatic solid tumors that have a p53 Y220C mutation. In October 2023, we presented our updated Phase 1 clinical data for rezatapopt at the 2023 AACR-NCI-EORTC International Conference on Molecular Targets and Cancer Therapeutics Meeting.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In March 2026, rezatapopt was granted ODD from the FDA for the treatment of TP53 Y220C positive ovarian cancer, fallopian tube cancer, and primary peritoneal cancer. Enrollment of platinum-resistant/refractory ovarian cancer patients for the primary analysis in the Phase 2 monotherapy portion of the study has been completed. We plan to submit our initial New Drug Application, or NDA, via accelerated approval for platinum resistant/refractory ovarian cancer in the first quarter of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substantial research and development expenses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clinical data, investment in our clinical program, the ability of any future collaborators to successfully develop our licensed product candidates, competition, manufacturing capability, and commercial viability. We may never succeed in achieving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approval for any of our product candidates. As a result of the uncertainties discussed above, we are unable to determine the duration and completion costs of our research and development projects.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expenses related to compliance with the rules and regulations of the SEC, and those of any national securities exchange on which our securities are traded, additional insurance expenses, investor relations activities and other administrative and professional services. We also expect to increase our general and administrative expenses as we advance our product candidates through preclinical research and development, manufacturing, clinical development, and commercialization.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primarily consists of interest income from our interest-bearing cash, cash equivalents, and marketable securities, and interest costs related to accretion and amortization of discounts and premiums on marketable securities.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p>
      <w:pPr>
        <w:pStyle w:val="TextBody"/>
        <w:bidi w:val="0"/>
        <w:jc w:val="left"/>
        <w:rPr/>
      </w:pPr>
      <w:r>
        <w:rPr/>
        <w:t> </w:t>
      </w:r>
    </w:p>
    <w:tbl>
      <w:tblPr>
        <w:tblW w:w="8344" w:type="dxa"/>
        <w:jc w:val="left"/>
        <w:tblInd w:w="0" w:type="dxa"/>
        <w:tblLayout w:type="fixed"/>
        <w:tblCellMar>
          <w:top w:w="28" w:type="dxa"/>
          <w:left w:w="28" w:type="dxa"/>
          <w:bottom w:w="28" w:type="dxa"/>
          <w:right w:w="28" w:type="dxa"/>
        </w:tblCellMar>
      </w:tblPr>
      <w:tblGrid>
        <w:gridCol w:w="4191"/>
        <w:gridCol w:w="146"/>
        <w:gridCol w:w="217"/>
        <w:gridCol w:w="758"/>
        <w:gridCol w:w="166"/>
        <w:gridCol w:w="146"/>
        <w:gridCol w:w="217"/>
        <w:gridCol w:w="758"/>
        <w:gridCol w:w="166"/>
        <w:gridCol w:w="146"/>
        <w:gridCol w:w="211"/>
        <w:gridCol w:w="631"/>
        <w:gridCol w:w="5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Statement of operations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during the periods indicated (in thousands):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229" w:type="dxa"/>
        <w:jc w:val="left"/>
        <w:tblInd w:w="0" w:type="dxa"/>
        <w:tblLayout w:type="fixed"/>
        <w:tblCellMar>
          <w:top w:w="28" w:type="dxa"/>
          <w:left w:w="28" w:type="dxa"/>
          <w:bottom w:w="28" w:type="dxa"/>
          <w:right w:w="28" w:type="dxa"/>
        </w:tblCellMar>
      </w:tblPr>
      <w:tblGrid>
        <w:gridCol w:w="2296"/>
        <w:gridCol w:w="146"/>
        <w:gridCol w:w="231"/>
        <w:gridCol w:w="744"/>
        <w:gridCol w:w="146"/>
        <w:gridCol w:w="146"/>
        <w:gridCol w:w="231"/>
        <w:gridCol w:w="744"/>
        <w:gridCol w:w="146"/>
        <w:gridCol w:w="146"/>
        <w:gridCol w:w="211"/>
        <w:gridCol w:w="631"/>
        <w:gridCol w:w="4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Statement of operations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b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$14.7 million for the three months ended June 30, 2026, compared to $18.4 million for the three months ended June 30, 2025. The decrease of $3.7 million, compared to the three months ended June 30, 2025, was primarily due to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$4.1 million decrease in research and development expenses largely driven by decreased contract research organization costs for advancing our lead product candidate, rezatapopt;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$0.5 million increase in personnel related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$4.2 million for the three months ended June 30, 2026, compared to $4.5 million for the three months ended June 30, 2025. The decrease of $0.3 million, compared to the three months ended June 30, 2025,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$0.1 million decrease in personnel expenses driven by a decrease in stock-based compensation costs and $0.2 million decrease in finance support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primarily consists of interest income from our interest-bearing cash, cash equivalents, and marketable securities and interest costs related to accretion and amortization of discounts and premiums on marketable securities. Interest income, net was $0.8 million for the three months ended June 30, 2026, compared to $1.7 million for the three months ended June 30, 2025. The decrease of $0.9 million was driven by decreased average invested balances in marketable securities and U.S. treasuries during the three months ended June 30,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tbl>
      <w:tblPr>
        <w:tblW w:w="7609" w:type="dxa"/>
        <w:jc w:val="left"/>
        <w:tblInd w:w="0" w:type="dxa"/>
        <w:tblLayout w:type="fixed"/>
        <w:tblCellMar>
          <w:top w:w="28" w:type="dxa"/>
          <w:left w:w="28" w:type="dxa"/>
          <w:bottom w:w="28" w:type="dxa"/>
          <w:right w:w="28" w:type="dxa"/>
        </w:tblCellMar>
      </w:tblPr>
      <w:tblGrid>
        <w:gridCol w:w="3456"/>
        <w:gridCol w:w="146"/>
        <w:gridCol w:w="217"/>
        <w:gridCol w:w="758"/>
        <w:gridCol w:w="166"/>
        <w:gridCol w:w="146"/>
        <w:gridCol w:w="217"/>
        <w:gridCol w:w="758"/>
        <w:gridCol w:w="166"/>
        <w:gridCol w:w="146"/>
        <w:gridCol w:w="211"/>
        <w:gridCol w:w="631"/>
        <w:gridCol w:w="5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Statement of operations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during the periods indicated (in thousands):</w:t>
      </w:r>
    </w:p>
    <w:tbl>
      <w:tblPr>
        <w:tblW w:w="6229" w:type="dxa"/>
        <w:jc w:val="left"/>
        <w:tblInd w:w="0" w:type="dxa"/>
        <w:tblLayout w:type="fixed"/>
        <w:tblCellMar>
          <w:top w:w="28" w:type="dxa"/>
          <w:left w:w="28" w:type="dxa"/>
          <w:bottom w:w="28" w:type="dxa"/>
          <w:right w:w="28" w:type="dxa"/>
        </w:tblCellMar>
      </w:tblPr>
      <w:tblGrid>
        <w:gridCol w:w="2296"/>
        <w:gridCol w:w="146"/>
        <w:gridCol w:w="231"/>
        <w:gridCol w:w="744"/>
        <w:gridCol w:w="146"/>
        <w:gridCol w:w="146"/>
        <w:gridCol w:w="231"/>
        <w:gridCol w:w="744"/>
        <w:gridCol w:w="146"/>
        <w:gridCol w:w="146"/>
        <w:gridCol w:w="211"/>
        <w:gridCol w:w="631"/>
        <w:gridCol w:w="4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Statement of operations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b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$30.0 million for the six months ended June 30, 2026, compared to $35.8 million for the six months ended June 30, 2025. The decrease of $5.8 million, compared to the six months ended June 30, 2025,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$6.5 million decrease in research and development expenses largely driven by decreased contract research organization costs for advancing our lead product candidate, rezatapopt;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$0.7 million increase in expenses for personnel related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$7.9 million for the six months ended June 30, 2026, compared to $8.6 million for the six months ended June 30, 2025. The decrease of $0.7 million, compared to the six months ended June 30, 2025,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$0.6 million decrease in finance and legal support costs, and $0.1 million decrease in personnel expenses driven by a decrease in stock-based compensation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net primarily consists of interest income from our interest-bearing cash, cash equivalents, and marketable securities and interest costs related to accretion and amortization of discounts and premiums on marketable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Interest income, net was $1.8 million for the six months ended June 30, 2026, compared to $3.6 million for the six months ended June 30, 2025. The decrease of $1.8 million compared to the six months ended June 30, 2025, was driven by decreased average invested balances in marketable securities and U.S. treasuries during the six months ended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 of New Jersey’s Technology Business Tax Certificate Program allows certain high technology and biotechnology companies to sell NOL carryforwards and R&amp;D tax credits to other New Jersey-based corporate taxpayers. As of June 30, 2025, we received $18.4 million of cash for the NOL and R&amp;D tax credit sales related to the tax years ended December 31, 2015 to 2023. The sale of the NOLs and R&amp;D tax credits have been recorded as an income tax benefit within the condensed consolidated statement of operations. For the six months ended June 30, 2025, we had reached the sale limit established by the program and received a benefit for income taxes of $2.2 million. We did not receive any benefit for income taxes for the six months ended June 30, 2026.</w:t>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condition is summarized as follows (in thousands):</w:t>
      </w:r>
    </w:p>
    <w:tbl>
      <w:tblPr>
        <w:tblW w:w="7784" w:type="dxa"/>
        <w:jc w:val="left"/>
        <w:tblInd w:w="0" w:type="dxa"/>
        <w:tblLayout w:type="fixed"/>
        <w:tblCellMar>
          <w:top w:w="28" w:type="dxa"/>
          <w:left w:w="28" w:type="dxa"/>
          <w:bottom w:w="28" w:type="dxa"/>
          <w:right w:w="28" w:type="dxa"/>
        </w:tblCellMar>
      </w:tblPr>
      <w:tblGrid>
        <w:gridCol w:w="3041"/>
        <w:gridCol w:w="146"/>
        <w:gridCol w:w="271"/>
        <w:gridCol w:w="869"/>
        <w:gridCol w:w="146"/>
        <w:gridCol w:w="146"/>
        <w:gridCol w:w="322"/>
        <w:gridCol w:w="1193"/>
        <w:gridCol w:w="146"/>
        <w:gridCol w:w="146"/>
        <w:gridCol w:w="211"/>
        <w:gridCol w:w="736"/>
        <w:gridCol w:w="411"/>
      </w:tblGrid>
      <w:tr>
        <w:trPr/>
        <w:tc>
          <w:tcPr>
            <w:tcW w:w="3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from any product sales or any other sources and have incurred significant operating losses and negative cash flows from our operations. We have not yet commercialized any of our product candidates. Even if the Company's drug development and commercialization efforts are successful, it is uncertain when, if ever, the Company will realize revenue from product sales. As of June 30, 2026, we had cash, cash equivalents, and marketable securities of $79.4 million and an accumulated deficit of $482.6 million. We have financed our operations primarily through issuance and sales of our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20, 2024 we filed a shelf registration statement on Form S-3 (File No. 333-283349) with the SEC and a prospectus supplement, which registered the offering, issuance and sale of up to $200.0 million of various equity and debt securities and up to $113.8 million of common stock pursuant to an at-the-market equity offering program with Jefferies LLC, dated October 4, 2021, or the ATM Program. The SEC declared the registration statement effective on November 27, 2024. During the three and six months ending June 30, 2026, we did not sell any shares of our common stock pursuant to the ATM Program. As of June 30, 2026, we had approximately $113.8 million remaining in gross proceeds available for future issuances of common stock under the ATM Program.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we signed two subleases, one for 14,201 square feet of office space at 400 Alexander Park Drive, Suite 301, in Princeton, New Jersey, to be used as our new headquarters, or the 400 Alexander Sublease, and the other for 3,205 square feet of office and laboratory space at 311 Pennington Rocky Hill in Hopewell, New Jersey, to be used for our new laboratory space, or the 311 Pennington Sublease. The 400 Alexander Sublease term extends until February 2027. Amounts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related to future lease payments for the 400 Alexander Sublease as of June 30, 2026, totaled $0.3 million with $0.3 million to be paid within the next 12 months. In March 2026, the 311 Pennington Sublease was terminated by the sublessor and we recorded a net gain of approximately $24 thousand, which was recognized in General and Administrative expense. </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Plan of Operation and 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our capital resources primarily to fund operating expenses, mainly research and development expenditures. At this time, due to the inherently unpredictable nature of preclinical and clinical development,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our significant research and development expenditures, we have generated substantial operating losses in each period since inception. We have incurred an accumulated deficit of $482.6 million through June 30, 2026. We expect to incur substantial additional losses in the future. For the six months ended June 30, 2026 and 2025, our cash operating expenditures were $34.3 million and $36.6 million, respectively. Based on our research and development plans, we expect that our cash, cash equivalents, and marketable securities as of June 30, 2026 will be sufficient to fund our planned operations through the second quarter of 2027, which is less than one year from the date of this Quarterly Report. As a result, management has determined that there is substantial doubt as to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will depend on, among other things, our ability to obtain additional funding and appropriately manage the amount of cash used to fund our operations. We plan to address this condition through public or private equity, convertible or debt financing or capital obtained in connection with strategic collaborations or licensing or other sources. There are inherent uncertainties as the outcome of these potential transactions are outside management’s control, and therefore there are no assurances that any of these potential transactions will occur. In addition, there can be no assurances that these transactions will sufficiently improve our liquidity or that we will otherwise realize the anticipated benefits. If we are not able to secure adequate additional funding, we may be forced to make reductions in spending, extend payment terms with suppliers, liquidate assets where possible, suspend or curtail planned programs, or pursue strategic alternatives. Any of these actions could materially harm our business, results of operations and future prospects.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this estimate on assumptions that may prove to be wrong, however, and we could use our capital resources sooner than we expect.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preclinical, clinical development and commercial preparatory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milestone payments we may receive under any future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future licenses and research and development programs and to establish new collaboration and/or in-licensing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prosecuting and enforcing patent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manage our office headquarters, enhance operational systems and hire additional personnel to support development and commercialization of our product candidates and satisfy our obligations as a public company.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 indicated (in thousands):</w:t>
      </w:r>
    </w:p>
    <w:tbl>
      <w:tblPr>
        <w:tblW w:w="7150" w:type="dxa"/>
        <w:jc w:val="left"/>
        <w:tblInd w:w="0" w:type="dxa"/>
        <w:tblLayout w:type="fixed"/>
        <w:tblCellMar>
          <w:top w:w="28" w:type="dxa"/>
          <w:left w:w="28" w:type="dxa"/>
          <w:bottom w:w="28" w:type="dxa"/>
          <w:right w:w="28" w:type="dxa"/>
        </w:tblCellMar>
      </w:tblPr>
      <w:tblGrid>
        <w:gridCol w:w="4531"/>
        <w:gridCol w:w="146"/>
        <w:gridCol w:w="217"/>
        <w:gridCol w:w="758"/>
        <w:gridCol w:w="166"/>
        <w:gridCol w:w="146"/>
        <w:gridCol w:w="217"/>
        <w:gridCol w:w="758"/>
        <w:gridCol w:w="21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(Unaudited)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2026, was $34.3 million, which consisted primarily of net loss of $36.1 million, partially offset by non-cash charges of $2.2 million. Changes in our net operating assets and liabilities decreased operating cash by $0.4 million. The non-cash charges primarily consisted of stock-based compensation of $2.9 million, accretion of discounts on marketable securities of $0.8 million, and depreciation of $0.1 million. The change in our net operating assets and liabilities was primarily due to a decrease in accounts payable, partially offset by an increase in accrued expenses and a decrease in prepaid expenses and other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2025, was $36.6 million, which consisted primarily of net loss of $38.6 million partially offset by non-cash charges of $1.8 million. Changes in our net operating assets increased operating cash by $0.4 million. The non-cash charges primarily consisted of stock-based compensation of $3.2 million, accretion of discounts on marketable securities of $1.6 million, and depreciation of $0.1 million. The change in our net operating assets and liabilities was primarily due to an increase in prepaid expenses and other assets, and a decrease in outstanding payables and accrued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investing activities provided $8.6 million of cash during the six months ended June 30, 2026, which consisted primarily of maturities of marketable securities of $46.0 million, partially offset by purchases of marketable securities of $37.4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investing activities provided $39.7 million of cash during the six months ended June 30, 2025, which consisted primarily of maturities of marketable securities of $86.4 million, partially offset by purchases of marketable securities of $46.7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financing activities provided $0.1 million and $0.1 million of cash during the six months ended June 30, 2026 and 2025, respectively. This consisted of $0.1 million of proceeds from the purchase of common stock under our 2020 ESPP during the six months ended June 30, 2026 and $0.1 million of proceeds from the exercise of stock options for the six months ended June 30, 2025.</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our condensed consolidated financial statements in conformity with accounting principles generally accepted in the United States requires us to make estimates and judgments that affect the amounts reported in those condensed consolidated financial statements and accompanying notes. Although we believe that the estimates we use are reasonable, due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inherent uncertainty involved in making those estimates, actual results reported in future periods could differ from those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six-month period ended June 30, 2026, there were no material changes to our critical accounting policies from those described in our audited consolidated financial statements for the year ended December 31, 2025, included in our Annual Report on Form 10-K filed with the SEC on March 6, 2026, except as noted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Costs, Accrued Research and Development Costs and Related Prepaid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process of preparing our condensed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condensed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vendors, including research laboratories, in connection with preclinical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CROs and investigative sites in connection with preclinical studies and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CMOs in connection with drug substance and drug product formulation of preclinical studies and clinical trial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recent accounting pronouncements, see Note 2 of the notes to our unaudited condensed consolidated financial statements for the six months ended June 30, 2026 included elsewhere in this Quarterly Report on Form 10-Q.</w:t>
      </w:r>
    </w:p>
    <w:p>
      <w:pPr>
        <w:pStyle w:val="TextBody"/>
        <w:bidi w:val="0"/>
        <w:spacing w:before="36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relate to interest rate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cash, cash equivalents, and marketable securities of $79.4 million as of June 30, 2026. The Company’s cash equivalents consist of interest-bearing U.S. government securities, money market funds, and corporate debt securities. Our exposure due to changes in interest rates is not material due to the nature and amount of our money-market funds and marketable securities.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provide reasonable assurance that information required to be disclosed in our Securities Exchange Act of 1934, as amended,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not been any changes in our internal control over financial reporting during our most recent fiscal quarter that have materially affected, or are reasonably likely to materially affect, our internal control over financial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or_information"/>
      <w:bookmarkEnd w:id="13"/>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currently involved in any litigation or legal proceedings that, in management’s opinion, are likely to have any material adverse effect on the Company. </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as described below, there have been no material changes to the Company’s risk factors as set forth in Part I, Item 1A of the Company’s Annual Report on Form 10-K for the fiscal year ended December 31, 2025, as filed with the SEC on March 6, 2026, as supplemented by our Quarterly Report on Form 10-Q for the quarter ended March 31, 2026, as filed with the SEC on May 12, 2026, which are hereby incorporated by reference. You should carefully review and consider the information regarding such risk factors and the risks and uncertainties described elsewhere in this report which could materially affect our business, financial condition or future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There is substantial doubt as to our ability to continue as a going concern. We may need additional financing to execute our business plan, to fund our operations, and to continue as a going concern. Our disclosure regarding the substantial doubt as to our ability to continue as a going concern may hinder our ability to obtain further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our recurring operating losses and negative cash flows from operations and our dependence on and uncertainty around our ability to obtain additional financing to fund our operations after our current resources are exhausted, management has determined that our present capital resources may not be sufficient to fund our planned operations for at least one year from the date of this Quarterly Report, and there is substantial doubt as to our ability to continue as a going concern. Our ability to continue as a going concern will depend on our ability to obtain additional funding, which may divert management’s attention, and no assurances can be given that additional funding will be available to us on commercially reasonable terms, or at all. If we are unable to raise sufficient capital when needed, our business, financial condition and results of operations will be materially adversely affected, and we will need to modify our operational plans to continue as a going concern. If we are unable to obtain sufficient financing, we may be required to delay, reduce the scope of, or cease some or all of our research and development programs, or pursue strategic alternatives. Moreover, the reaction of investors to the inclusion of a going concern statement in our financial statements and our potential inability to continue as a going concern could adversely affect the price of our common stock and our ability to raise new capital or enter into collaborative or other transactions.</w:t>
      </w:r>
    </w:p>
    <w:p>
      <w:pPr>
        <w:pStyle w:val="TextBody"/>
        <w:bidi w:val="0"/>
        <w:spacing w:before="36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 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initial public offering of our common stock was effected pursuant to a registration statement on Form S-1 (File No. 333-248627), which was declared effective by the SEC on September 24, 2020. There has been no material change in the planned use of proceeds from our initial public offering as described in our final prospectus filed with the SEC pursuant to Rule 424(b)(4) under the Securities Act on September 24, 2020.</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Rule 10b5-1 Trading Arrangements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June 30, 2026, none of our directors or officers adopted or terminated a "Rule 10b5-1 trading arrangement" or "non-Rule 10b5-1 trading arrangement," as each term is defined in Item 408(a)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3"/>
        <w:gridCol w:w="146"/>
        <w:gridCol w:w="6109"/>
        <w:gridCol w:w="511"/>
        <w:gridCol w:w="748"/>
        <w:gridCol w:w="691"/>
        <w:gridCol w:w="1247"/>
      </w:tblGrid>
      <w:tr>
        <w:trPr/>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753"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w:t>
              </w:r>
            </w:hyperlink>
            <w:r>
              <w:rPr>
                <w:rFonts w:ascii="Times New Roman" w:hAnsi="Times New Roman"/>
                <w:color w:val="000000"/>
                <w:sz w:val="20"/>
                <w:u w:val="single"/>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001-39539</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29, 2020</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w:t>
              </w:r>
            </w:hyperlink>
            <w:r>
              <w:rPr>
                <w:rFonts w:ascii="Times New Roman" w:hAnsi="Times New Roman"/>
                <w:color w:val="000000"/>
                <w:sz w:val="20"/>
                <w:u w:val="single"/>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001-39539</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10, 2023</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mvp-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mvp-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mvp-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mvp-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included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09" w:type="dxa"/>
        <w:jc w:val="left"/>
        <w:tblInd w:w="0" w:type="dxa"/>
        <w:tblLayout w:type="fixed"/>
        <w:tblCellMar>
          <w:top w:w="28" w:type="dxa"/>
          <w:left w:w="28" w:type="dxa"/>
          <w:bottom w:w="28" w:type="dxa"/>
          <w:right w:w="28" w:type="dxa"/>
        </w:tblCellMar>
      </w:tblPr>
      <w:tblGrid>
        <w:gridCol w:w="1951"/>
        <w:gridCol w:w="146"/>
        <w:gridCol w:w="406"/>
        <w:gridCol w:w="400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PMV Pharmaceuticals,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H. Mack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H. Mack,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PMV Pharmaceuticals,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Carulli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Carulli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bookmarkStart w:id="22" w:name="pmvp-ex31_1.htm"/>
      <w:bookmarkStart w:id="23" w:name="kspmvp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H. Mack,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PMV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27" w:type="dxa"/>
        <w:jc w:val="left"/>
        <w:tblInd w:w="0" w:type="dxa"/>
        <w:tblLayout w:type="fixed"/>
        <w:tblCellMar>
          <w:top w:w="28" w:type="dxa"/>
          <w:left w:w="28" w:type="dxa"/>
          <w:bottom w:w="28" w:type="dxa"/>
          <w:right w:w="28" w:type="dxa"/>
        </w:tblCellMar>
      </w:tblPr>
      <w:tblGrid>
        <w:gridCol w:w="1951"/>
        <w:gridCol w:w="109"/>
        <w:gridCol w:w="406"/>
        <w:gridCol w:w="306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H. Mack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H. Mack,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Chief Executive Officer,</w:t>
            </w:r>
          </w:p>
          <w:p>
            <w:pPr>
              <w:pStyle w:val="TableContents"/>
              <w:bidi w:val="0"/>
              <w:jc w:val="center"/>
              <w:rPr>
                <w:rFonts w:ascii="Times New Roman" w:hAnsi="Times New Roman"/>
                <w:b/>
                <w:color w:val="000000"/>
                <w:sz w:val="20"/>
              </w:rPr>
            </w:pPr>
            <w:r>
              <w:rPr>
                <w:rFonts w:ascii="Times New Roman" w:hAnsi="Times New Roman"/>
                <w:b/>
                <w:color w:val="000000"/>
                <w:sz w:val="20"/>
              </w:rPr>
              <w:t>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pmvp-ex31_2.htm"/>
      <w:bookmarkStart w:id="25" w:name="kspmvp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I, Michael Carulli, certify that:</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PMV Pharmaceuticals, Inc.;</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Carulli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Carulli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pmvp-ex32_1.htm"/>
      <w:bookmarkStart w:id="27" w:name="kspmvpex32_1"/>
      <w:bookmarkEnd w:id="26"/>
      <w:bookmarkEnd w:id="27"/>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period ended June 30, 2026, of PMV Pharmaceuticals, Inc. (the “Company”)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1951"/>
        <w:gridCol w:w="109"/>
        <w:gridCol w:w="406"/>
        <w:gridCol w:w="418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H. Mack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H. Mack,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pmvp-ex32_2.htm"/>
      <w:bookmarkStart w:id="29" w:name="kspmvp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period ended June 30, 2026, of PMV Pharmaceuticals, Inc. (the “Company”)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Carulli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Carulli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9382/000119312520257820/d95525dex31.htm" TargetMode="External"/><Relationship Id="rId3" Type="http://schemas.openxmlformats.org/officeDocument/2006/relationships/hyperlink" Target="https://www.sec.gov/Archives/edgar/data/1699382/000095017023020100/pmvp-ex3_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17131</Words>
  <Characters>94947</Characters>
  <CharactersWithSpaces>112834</CharactersWithSpaces>
  <Paragraphs>4538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