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October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PMV Pharmaceuticals,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22"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46-3218129</w:t>
      </w:r>
    </w:p>
    <w:p>
      <w:pPr>
        <w:spacing w:after="0" w:line="31" w:lineRule="exact"/>
        <w:rPr>
          <w:sz w:val="24"/>
          <w:szCs w:val="24"/>
          <w:color w:val="auto"/>
        </w:rPr>
      </w:pPr>
    </w:p>
    <w:p>
      <w:pPr>
        <w:sectPr>
          <w:pgSz w:w="11900" w:h="16838" w:orient="portrait"/>
          <w:cols w:equalWidth="0" w:num="3">
            <w:col w:w="4504" w:space="720"/>
            <w:col w:w="2880" w:space="720"/>
            <w:col w:w="2200"/>
          </w:cols>
          <w:pgMar w:left="436" w:top="422"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422" w:right="439" w:bottom="1440" w:gutter="0" w:footer="0" w:header="0"/>
          <w:type w:val="continuous"/>
        </w:sectPr>
      </w:pPr>
    </w:p>
    <w:p>
      <w:pPr>
        <w:spacing w:after="0" w:line="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8 Clarke Drive, Suite 3</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Cranbury, New Jersey 08512</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including zip code, of Registrant’s principal executive offices)</w:t>
      </w:r>
    </w:p>
    <w:p>
      <w:pPr>
        <w:spacing w:after="0" w:line="18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(609) 642-6670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22"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PMVP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22"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On October 4, 2021, PMV Pharmaceuticals, Inc. (the “Company”) entered into an Open Market Sale Agreement</w:t>
      </w:r>
      <w:r>
        <w:rPr>
          <w:rFonts w:ascii="Arial" w:cs="Arial" w:eastAsia="Arial" w:hAnsi="Arial"/>
          <w:sz w:val="15"/>
          <w:szCs w:val="15"/>
          <w:color w:val="auto"/>
        </w:rPr>
        <w:t>SM</w:t>
      </w:r>
      <w:r>
        <w:rPr>
          <w:rFonts w:ascii="Arial" w:cs="Arial" w:eastAsia="Arial" w:hAnsi="Arial"/>
          <w:sz w:val="18"/>
          <w:szCs w:val="18"/>
          <w:color w:val="auto"/>
        </w:rPr>
        <w:t xml:space="preserve"> (the “Sales Agreement”) with Jefferies LLC (“Jefferies”), pursuant to which the Company may offer and sell shares of the Company’s common stock, par value $0.00001 per share, having aggregate gross sales proceeds of up to $150.0 million from time to time, through an “at the market offering” program under which Jefferies will act as sales agent. Sales of the shares of common stock, if any, will be made at prevailing market prices at the time of sale, or as otherwise agreed with Jefferies.</w:t>
      </w:r>
    </w:p>
    <w:p>
      <w:pPr>
        <w:spacing w:after="0" w:line="188"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Under the Sales Agreement, the Company will set the parameters for the sale of shares, including the number or dollar value of shares to be issued, the time period during which sales are requested to be made, limitation on the number of shares that may be sold in any one trading day and any minimum price below which sales may not be made. Subject to the terms and conditions of the Sales Agreement, Jefferies may sell the shares by methods deemed to be an “at the market offering” as defined in Rule 415 promulgated under the Securities Act of 1933, as amended (the “Securities Act”). Jefferies will use commercially reasonable efforts in conducting such sales activities consistent with its normal trading and sales practices, on mutually agreed terms between Jefferies and the Company. No assurance can be given that the Company will sell any shares of common stock under the Sales Agreement, or, if it does, as to the price or amount of shares of common stock that it sells or the dates when such sales will take place. The Sales Agreement may be terminated by either party by ten trading days’ written notice to the other party for any reason, subject to further qualifications as described in the Sales Agreement.</w:t>
      </w:r>
    </w:p>
    <w:p>
      <w:pPr>
        <w:spacing w:after="0" w:line="18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Sales Agreement provides that Jefferies will be entitled to compensation for its services equal to 3.0% of the gross proceeds of any shares sold through Jefferies under the Sales Agreement. Jefferies and the Company have no obligation to sell any shares under the Sales Agreement and may at any time, upon notice to the other party, suspend solicitation and offers under the Sales Agreement.</w:t>
      </w:r>
    </w:p>
    <w:p>
      <w:pPr>
        <w:spacing w:after="0" w:line="18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In the Sales Agreement, the Company agreed to indemnify Jefferies against certain liabilities, including under the Securities Act or to contribute payments that Jefferies may be required to make because of such liabilities. Further, Jefferies agreed to indemnify the Company, the Company’s board of directors and its executive officers against certain liabilities, including under the Securities Act.</w:t>
      </w:r>
    </w:p>
    <w:p>
      <w:pPr>
        <w:spacing w:after="0" w:line="18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shares of common stock sold pursuant to the Sales Agreement will be issued pursuant to the Company’s shelf registration statement on Form S-3, including the prospectus supplement contained therein, filed with the Securities and Exchange Commission (the “SEC”) on October 4, 2021, which was automatically effective upon filing with the SEC.</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description of the Sales Agreement is not complete and is qualified in its entirety by reference to the full text of such agreement, a copy of which is filed herewith as Exhibit 1.1 to this Current Report on Form 8-K and is incorporated herein by reference.</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This Current Report shall not constitute an offer to sell or the solicitation of an offer to buy the securities discussed herein, nor shall there be any sale of such securities in any state or jurisdiction in which such offer, solicitation or sale would be unlawful prior to registration or qualification under the securities laws of any such state or jurisdiction.</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25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Exhibit</w:t>
      </w:r>
    </w:p>
    <w:p>
      <w:pPr>
        <w:ind w:left="320"/>
        <w:spacing w:after="0"/>
        <w:tabs>
          <w:tab w:leader="none" w:pos="10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-3175</wp:posOffset>
            </wp:positionV>
            <wp:extent cx="265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430" cy="8890"/>
                    </a:xfrm>
                    <a:prstGeom prst="rect">
                      <a:avLst/>
                    </a:prstGeom>
                    <a:noFill/>
                  </pic:spPr>
                </pic:pic>
              </a:graphicData>
            </a:graphic>
          </wp:anchor>
        </w:drawing>
      </w:r>
    </w:p>
    <w:p>
      <w:pPr>
        <w:spacing w:after="0" w:line="81" w:lineRule="exact"/>
        <w:rPr>
          <w:sz w:val="20"/>
          <w:szCs w:val="20"/>
          <w:color w:val="auto"/>
        </w:rPr>
      </w:pPr>
    </w:p>
    <w:p>
      <w:pPr>
        <w:ind w:left="220"/>
        <w:spacing w:after="0"/>
        <w:tabs>
          <w:tab w:leader="none" w:pos="104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6"/>
            <w:szCs w:val="16"/>
            <w:u w:val="single" w:color="auto"/>
            <w:color w:val="0000EE"/>
          </w:rPr>
          <w:t>Open Market Sale Agreement, between the Company and Jefferies LLC, dated as of October 4, 2021.</w:t>
        </w:r>
      </w:hyperlink>
    </w:p>
    <w:p>
      <w:pPr>
        <w:spacing w:after="0" w:line="117" w:lineRule="exact"/>
        <w:rPr>
          <w:sz w:val="20"/>
          <w:szCs w:val="20"/>
          <w:color w:val="auto"/>
        </w:rPr>
      </w:pPr>
    </w:p>
    <w:p>
      <w:pPr>
        <w:ind w:left="220"/>
        <w:spacing w:after="0"/>
        <w:tabs>
          <w:tab w:leader="none" w:pos="1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ectPr>
          <w:pgSz w:w="11900" w:h="16838" w:orient="portrait"/>
          <w:cols w:equalWidth="0" w:num="1">
            <w:col w:w="11020"/>
          </w:cols>
          <w:pgMar w:left="440" w:top="297" w:right="43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Winston Kung</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Chief Operating Officer and Chief Financial Officer</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October 5, 2021</w:t>
      </w:r>
    </w:p>
    <w:p>
      <w:pPr>
        <w:sectPr>
          <w:pgSz w:w="11900" w:h="16838" w:orient="portrait"/>
          <w:cols w:equalWidth="0" w:num="1">
            <w:col w:w="10720"/>
          </w:cols>
          <w:pgMar w:left="440" w:top="297"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OPEN MARKET SALE AGREEMENT</w:t>
      </w:r>
      <w:r>
        <w:rPr>
          <w:rFonts w:ascii="Arial" w:cs="Arial" w:eastAsia="Arial" w:hAnsi="Arial"/>
          <w:sz w:val="15"/>
          <w:szCs w:val="15"/>
          <w:b w:val="1"/>
          <w:bCs w:val="1"/>
          <w:color w:val="auto"/>
        </w:rPr>
        <w:t>SM</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PMV Pharmaceuticals,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subject to the terms and conditions stated herein, to issue and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sell from time to time through Jefferies LLC, as sales agent and/or principal (the “</w:t>
      </w:r>
      <w:r>
        <w:rPr>
          <w:rFonts w:ascii="Arial" w:cs="Arial" w:eastAsia="Arial" w:hAnsi="Arial"/>
          <w:sz w:val="16"/>
          <w:szCs w:val="16"/>
          <w:b w:val="1"/>
          <w:bCs w:val="1"/>
          <w:color w:val="auto"/>
        </w:rPr>
        <w:t>Agent</w:t>
      </w:r>
      <w:r>
        <w:rPr>
          <w:rFonts w:ascii="Arial" w:cs="Arial" w:eastAsia="Arial" w:hAnsi="Arial"/>
          <w:sz w:val="16"/>
          <w:szCs w:val="16"/>
          <w:color w:val="auto"/>
        </w:rPr>
        <w:t>”), shares of the Company’s common stock, par value $0.00001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 share (the “</w:t>
      </w:r>
      <w:r>
        <w:rPr>
          <w:rFonts w:ascii="Arial" w:cs="Arial" w:eastAsia="Arial" w:hAnsi="Arial"/>
          <w:sz w:val="18"/>
          <w:szCs w:val="18"/>
          <w:b w:val="1"/>
          <w:bCs w:val="1"/>
          <w:color w:val="auto"/>
        </w:rPr>
        <w:t>Common Shares</w:t>
      </w:r>
      <w:r>
        <w:rPr>
          <w:rFonts w:ascii="Arial" w:cs="Arial" w:eastAsia="Arial" w:hAnsi="Arial"/>
          <w:sz w:val="18"/>
          <w:szCs w:val="18"/>
          <w:color w:val="auto"/>
        </w:rPr>
        <w:t>”), having an aggregate offering price of up to $150.0 million on the terms set forth in this agreement (this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Unless the context otherwise requires, all references to the Company include the Company and each of its subsidiaries (whether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presently existing or hereinafter established).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w:t>
      </w:r>
    </w:p>
    <w:p>
      <w:pPr>
        <w:spacing w:after="0" w:line="121" w:lineRule="exact"/>
        <w:rPr>
          <w:sz w:val="20"/>
          <w:szCs w:val="20"/>
          <w:color w:val="auto"/>
        </w:rPr>
      </w:pPr>
    </w:p>
    <w:p>
      <w:pPr>
        <w:ind w:right="720" w:firstLine="436"/>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Agreement, capitalized terms used herein and not otherwise defined shall have the following respective meanings:</w:t>
      </w:r>
    </w:p>
    <w:p>
      <w:pPr>
        <w:spacing w:after="0" w:line="16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3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ectPr>
          <w:pgSz w:w="11900" w:h="16838" w:orient="portrait"/>
          <w:cols w:equalWidth="0" w:num="1">
            <w:col w:w="11020"/>
          </w:cols>
          <w:pgMar w:left="440" w:top="121" w:right="43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xml:space="preserve">” means a written notice delivered to the Agent by the Company in accordance with this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that is executed by its President and Chief Executive Officer or Chief Financial Officer.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Common Shares with an aggregate Sales Price of the lesser of (a) the number or dollar amount of Common Shares registered under the effective Registration Statement (as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(as defined below).</w:t>
      </w:r>
    </w:p>
    <w:p>
      <w:pPr>
        <w:spacing w:after="0" w:line="187"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Select Market or such other national securities exchange on which the Common Shares, including any Shares, are then listed.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three percent (3%) of the gross proceeds of Shares sold pursuant to this Agreement, or as otherwise agreed between the Company and the Agent with respect to any Shares sold pursuant to this Agreement.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5" w:name="page6"/>
    <w:bookmarkEnd w:id="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means the Common Shares issued or issuable pursuant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REPRESENTATIONS AND WARRANTIES OF THE COMPANY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w:t>
      </w:r>
    </w:p>
    <w:p>
      <w:pPr>
        <w:spacing w:after="0" w:line="46" w:lineRule="exact"/>
        <w:rPr>
          <w:sz w:val="20"/>
          <w:szCs w:val="20"/>
          <w:color w:val="auto"/>
        </w:rPr>
      </w:pPr>
    </w:p>
    <w:p>
      <w:pPr>
        <w:ind w:left="4" w:right="500" w:hanging="4"/>
        <w:spacing w:after="0" w:line="277"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Settlement Date, (4) each Triggering Event Date (as defined below) and (5) as of each Time of Sale (as defined below) (each of the times referenced above is referred to herein as a “</w:t>
      </w:r>
      <w:r>
        <w:rPr>
          <w:rFonts w:ascii="Arial" w:cs="Arial" w:eastAsia="Arial" w:hAnsi="Arial"/>
          <w:sz w:val="17"/>
          <w:szCs w:val="17"/>
          <w:b w:val="1"/>
          <w:bCs w:val="1"/>
          <w:color w:val="auto"/>
        </w:rPr>
        <w:t>Representation Date</w:t>
      </w:r>
      <w:r>
        <w:rPr>
          <w:rFonts w:ascii="Arial" w:cs="Arial" w:eastAsia="Arial" w:hAnsi="Arial"/>
          <w:sz w:val="17"/>
          <w:szCs w:val="17"/>
          <w:color w:val="auto"/>
        </w:rPr>
        <w:t>”), except as may be disclosed in the Prospectus (including any documents incorporated by reference therein and any supplements thereto) on or before a Representation Date:</w:t>
      </w:r>
    </w:p>
    <w:p>
      <w:pPr>
        <w:spacing w:after="0" w:line="64" w:lineRule="exact"/>
        <w:rPr>
          <w:rFonts w:ascii="Arial" w:cs="Arial" w:eastAsia="Arial" w:hAnsi="Arial"/>
          <w:sz w:val="17"/>
          <w:szCs w:val="17"/>
          <w:color w:val="auto"/>
        </w:rPr>
      </w:pPr>
    </w:p>
    <w:p>
      <w:pPr>
        <w:ind w:left="4" w:firstLine="436"/>
        <w:spacing w:after="0" w:line="285" w:lineRule="auto"/>
        <w:tabs>
          <w:tab w:leader="none" w:pos="689"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or will file with the Commission an automatic shelf registration statement on Form S-3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Shares under the Securities Act. The Company is concurrently filing with the Base Prospectus a sales agreement prospectus supplement and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(including the Base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w:t>
      </w:r>
    </w:p>
    <w:p>
      <w:pPr>
        <w:spacing w:after="0" w:line="174"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6" w:name="page7"/>
    <w:bookmarkEnd w:id="6"/>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the Commission’s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At the time the Original Registration Statement became effective and at the time the Company’s most recent annual report on Form 10-K was filed with the Commission, if later, the Company met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79" w:lineRule="exact"/>
        <w:rPr>
          <w:sz w:val="20"/>
          <w:szCs w:val="20"/>
          <w:color w:val="auto"/>
        </w:rPr>
      </w:pPr>
    </w:p>
    <w:p>
      <w:pPr>
        <w:ind w:right="100" w:firstLine="436"/>
        <w:spacing w:after="0" w:line="275" w:lineRule="auto"/>
        <w:tabs>
          <w:tab w:leader="none" w:pos="69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Compliance with Registration Requirements</w:t>
      </w:r>
      <w:r>
        <w:rPr>
          <w:rFonts w:ascii="Arial" w:cs="Arial" w:eastAsia="Arial" w:hAnsi="Arial"/>
          <w:sz w:val="17"/>
          <w:szCs w:val="17"/>
          <w:color w:val="auto"/>
        </w:rPr>
        <w:t>. The Original Registration Statement and any Rule 462(b) Registration Statement will have been declared or deemed effective by the Commission under the Securities Act prior to the date of their first use. The Company has complied to the Commission’s satisfaction with all requests of the Commission for additional or supplemental information, if any.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7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Prospectus, when filed, complied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left="-20" w:firstLine="436"/>
        <w:spacing w:after="0" w:line="269" w:lineRule="auto"/>
        <w:tabs>
          <w:tab w:leader="none" w:pos="665"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Ineligible Issuer Status</w:t>
      </w:r>
      <w:r>
        <w:rPr>
          <w:rFonts w:ascii="Arial" w:cs="Arial" w:eastAsia="Arial" w:hAnsi="Arial"/>
          <w:sz w:val="17"/>
          <w:szCs w:val="17"/>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which consent shall not be unreasonably withheld, conditioned or delayed, prepare, use or refer to, any Free Writing Prospectus.</w:t>
      </w:r>
    </w:p>
    <w:p>
      <w:pPr>
        <w:spacing w:after="0" w:line="73" w:lineRule="exact"/>
        <w:rPr>
          <w:rFonts w:ascii="Arial" w:cs="Arial" w:eastAsia="Arial" w:hAnsi="Arial"/>
          <w:sz w:val="17"/>
          <w:szCs w:val="17"/>
          <w:color w:val="auto"/>
        </w:rPr>
      </w:pPr>
    </w:p>
    <w:p>
      <w:pPr>
        <w:ind w:left="-20" w:right="60" w:firstLine="436"/>
        <w:spacing w:after="0" w:line="257"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Incorporated Documents</w:t>
      </w:r>
      <w:r>
        <w:rPr>
          <w:rFonts w:ascii="Arial" w:cs="Arial" w:eastAsia="Arial" w:hAnsi="Arial"/>
          <w:sz w:val="18"/>
          <w:szCs w:val="18"/>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79" w:lineRule="exact"/>
        <w:rPr>
          <w:rFonts w:ascii="Arial" w:cs="Arial" w:eastAsia="Arial" w:hAnsi="Arial"/>
          <w:sz w:val="18"/>
          <w:szCs w:val="18"/>
          <w:color w:val="auto"/>
        </w:rPr>
      </w:pPr>
    </w:p>
    <w:p>
      <w:pPr>
        <w:ind w:left="-20" w:right="20" w:firstLine="436"/>
        <w:spacing w:after="0" w:line="293" w:lineRule="auto"/>
        <w:tabs>
          <w:tab w:leader="none" w:pos="665"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56" w:lineRule="exact"/>
        <w:rPr>
          <w:rFonts w:ascii="Arial" w:cs="Arial" w:eastAsia="Arial" w:hAnsi="Arial"/>
          <w:sz w:val="16"/>
          <w:szCs w:val="16"/>
          <w:color w:val="auto"/>
        </w:rPr>
      </w:pPr>
    </w:p>
    <w:p>
      <w:pPr>
        <w:jc w:val="both"/>
        <w:ind w:left="-20" w:right="60" w:firstLine="436"/>
        <w:spacing w:after="0" w:line="263" w:lineRule="auto"/>
        <w:tabs>
          <w:tab w:leader="none" w:pos="645"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The statistical and market-related data included in the Registration Statement or the Prospectus are based on or derived from sources that the Company believes to be reliable and accurate. To the extent required, the Company has obtained the written consent for the use of such data from such sources.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60" w:top="274" w:right="479" w:bottom="1440" w:gutter="0" w:footer="0" w:header="0"/>
        </w:sectPr>
      </w:pPr>
    </w:p>
    <w:bookmarkStart w:id="8" w:name="page9"/>
    <w:bookmarkEnd w:id="8"/>
    <w:p>
      <w:pPr>
        <w:ind w:firstLine="436"/>
        <w:spacing w:after="0" w:line="269" w:lineRule="auto"/>
        <w:tabs>
          <w:tab w:leader="none" w:pos="695"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Controls and Procedures; Deficiencies in or Changes to Internal Control Over Financial Reporting</w:t>
      </w:r>
      <w:r>
        <w:rPr>
          <w:rFonts w:ascii="Arial" w:cs="Arial" w:eastAsia="Arial" w:hAnsi="Arial"/>
          <w:sz w:val="17"/>
          <w:szCs w:val="17"/>
          <w:color w:val="auto"/>
        </w:rPr>
        <w:t>. The Company has established and maintains disclosure controls and procedures (as defined in Rules 13a-15 and 15d-15 under the Exchange Act), which (i) are designed to ensure that material information relating to the Company, including any of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73" w:lineRule="exact"/>
        <w:rPr>
          <w:rFonts w:ascii="Arial" w:cs="Arial" w:eastAsia="Arial" w:hAnsi="Arial"/>
          <w:sz w:val="17"/>
          <w:szCs w:val="17"/>
          <w:color w:val="auto"/>
        </w:rPr>
      </w:pP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right="240" w:firstLine="436"/>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Authorization of the Shares</w:t>
      </w:r>
      <w:r>
        <w:rPr>
          <w:rFonts w:ascii="Arial" w:cs="Arial" w:eastAsia="Arial" w:hAnsi="Arial"/>
          <w:sz w:val="16"/>
          <w:szCs w:val="16"/>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40" w:lineRule="exact"/>
        <w:rPr>
          <w:rFonts w:ascii="Arial" w:cs="Arial" w:eastAsia="Arial" w:hAnsi="Arial"/>
          <w:sz w:val="16"/>
          <w:szCs w:val="16"/>
          <w:color w:val="auto"/>
        </w:rPr>
      </w:pPr>
    </w:p>
    <w:p>
      <w:pPr>
        <w:ind w:right="140" w:firstLine="436"/>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rights or other similar rights to have any securities registered pursuant to the Registration Statement, included in the offering contemplated by this Agreement or otherwise registered by the Company under the Securities Act except as have been validly waived or complied with.</w:t>
      </w:r>
    </w:p>
    <w:p>
      <w:pPr>
        <w:spacing w:after="0" w:line="75" w:lineRule="exact"/>
        <w:rPr>
          <w:rFonts w:ascii="Arial" w:cs="Arial" w:eastAsia="Arial" w:hAnsi="Arial"/>
          <w:sz w:val="18"/>
          <w:szCs w:val="18"/>
          <w:color w:val="auto"/>
        </w:rPr>
      </w:pPr>
    </w:p>
    <w:p>
      <w:pPr>
        <w:ind w:right="20" w:firstLine="436"/>
        <w:spacing w:after="0" w:line="253"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could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8"/>
          <w:szCs w:val="18"/>
          <w:b w:val="1"/>
          <w:bCs w:val="1"/>
          <w:color w:val="auto"/>
        </w:rPr>
        <w:t>Material Adverse Change</w:t>
      </w:r>
      <w:r>
        <w:rPr>
          <w:rFonts w:ascii="Arial" w:cs="Arial" w:eastAsia="Arial" w:hAnsi="Arial"/>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9" w:name="page10"/>
    <w:bookmarkEnd w:id="9"/>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considered as one entity, and have not entered into any transactions not in the ordinary course of business; and (iii) there has not been any material change in the capital stock (other than the issuance of shares of Common Stock upon exercise of stock options and warrants described as outstanding in, and the grant of options and awards under equity incentive plans described in, and the issuance of any stock upon conversion of Company securities described in the Registration Statement and the Prospectus, and the repurchase of shares of capital stock pursuant to the agreements providing for an option to repurchase or a right of first refusal on behalf of the Company pursuant to the Company’s repurchase rights), any material increase in short-term or long-term indebtedness of the Company or its subsidiaries, or any dividend or distribution of any kind declared, paid or made by the Company on any class of capital stock, or any repurchase or redemption by the Company of any class of capital stock (other than the repurchase of shares of capital stock pursuant to the agreements providing for an option to repurchase or a right of first refusal on behalf of the Company pursuant to the Company’s repurchase rights).</w:t>
      </w:r>
    </w:p>
    <w:p>
      <w:pPr>
        <w:spacing w:after="0" w:line="73" w:lineRule="exact"/>
        <w:rPr>
          <w:sz w:val="20"/>
          <w:szCs w:val="20"/>
          <w:color w:val="auto"/>
        </w:rPr>
      </w:pPr>
    </w:p>
    <w:p>
      <w:pPr>
        <w:ind w:right="100" w:firstLine="436"/>
        <w:spacing w:after="0" w:line="273"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Independent Accountants</w:t>
      </w:r>
      <w:r>
        <w:rPr>
          <w:rFonts w:ascii="Arial" w:cs="Arial" w:eastAsia="Arial" w:hAnsi="Arial"/>
          <w:sz w:val="17"/>
          <w:szCs w:val="17"/>
          <w:color w:val="auto"/>
        </w:rPr>
        <w:t>. Ernst &amp; Young LLP, which has expressed its opinion with respect to the financial statements (which term as used in this Agreement includes the related notes thereto) and supporting schedules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Arial" w:cs="Arial" w:eastAsia="Arial" w:hAnsi="Arial"/>
          <w:sz w:val="17"/>
          <w:szCs w:val="17"/>
          <w:b w:val="1"/>
          <w:bCs w:val="1"/>
          <w:color w:val="auto"/>
        </w:rPr>
        <w:t>PCAOB</w:t>
      </w:r>
      <w:r>
        <w:rPr>
          <w:rFonts w:ascii="Arial" w:cs="Arial" w:eastAsia="Arial" w:hAnsi="Arial"/>
          <w:sz w:val="17"/>
          <w:szCs w:val="17"/>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69" w:lineRule="exact"/>
        <w:rPr>
          <w:rFonts w:ascii="Arial" w:cs="Arial" w:eastAsia="Arial" w:hAnsi="Arial"/>
          <w:sz w:val="17"/>
          <w:szCs w:val="17"/>
          <w:color w:val="auto"/>
        </w:rPr>
      </w:pPr>
    </w:p>
    <w:p>
      <w:pPr>
        <w:ind w:firstLine="436"/>
        <w:spacing w:after="0" w:line="285" w:lineRule="auto"/>
        <w:tabs>
          <w:tab w:leader="none" w:pos="745"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filed with the Commission as a part of the Registration Statement and the Prospectus present fairly, in all material respects, the consolidated financial position of the Company and its subsidiaries, as applicable, as of the dates indicated and the results of operations, changes in stockholders’ equity and cash flows for the periods specified. The supporting schedules included in the Registration Statement present fairly in all material respects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selected financial data and the summary financial information included or incorporated by reference in the Registration Statement and Prospectus fairly present, in all material respects, the information set forth therein on a basis consistent with that of the audited financial statements contained in the Registration Statement and the Prospectus. All disclosures contained in the Registration Statement and the Prospectus that constitute non-GAAP financial measures (as defined by the rules and regulations under the Securities Act and the Exchange Act) comply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right="20" w:firstLine="436"/>
        <w:spacing w:after="0" w:line="287"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Accounting System.</w:t>
      </w:r>
      <w:r>
        <w:rPr>
          <w:rFonts w:ascii="Arial" w:cs="Arial" w:eastAsia="Arial" w:hAnsi="Arial"/>
          <w:sz w:val="16"/>
          <w:szCs w:val="16"/>
          <w:color w:val="auto"/>
        </w:rPr>
        <w:t xml:space="preserve"> The Company maintains a system of internal control over financial reporting (as such term is defined the Exchange Act) that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is designed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The Company is not aware of any material weaknesses in its internal control over financial reporting (it being understood that this subsection shall not require the Company to comply with Section 404 of the Sarbanes Oxley Act of 2002 as of an earlier date than it would otherwise be required to so comply under applicable law).</w:t>
      </w:r>
    </w:p>
    <w:p>
      <w:pPr>
        <w:spacing w:after="0" w:line="59" w:lineRule="exact"/>
        <w:rPr>
          <w:rFonts w:ascii="Arial" w:cs="Arial" w:eastAsia="Arial" w:hAnsi="Arial"/>
          <w:sz w:val="16"/>
          <w:szCs w:val="16"/>
          <w:color w:val="auto"/>
        </w:rPr>
      </w:pPr>
    </w:p>
    <w:p>
      <w:pPr>
        <w:ind w:firstLine="436"/>
        <w:spacing w:after="0" w:line="255" w:lineRule="auto"/>
        <w:tabs>
          <w:tab w:leader="none" w:pos="69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Incorporation and Good Standing of the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has been (i) duly organized and is validly existing and in good standing under the laws of its jurisdiction of organization, with power and authority (corporate and other) to own and/or lease its properties and conduct its business as described in the Registration Statement and the Prospectus, and (ii) duly qualified as a foreign corporation for the transaction of business and is in good standing under the laws of each other jurisdiction in which it owns or leases properties or conducts any business so as to require such qualification, except, in the case of clause (ii), where the failure to be so qualified or in good standing would not, individually or in the aggregate, have a Material Adverse Change.</w:t>
      </w:r>
    </w:p>
    <w:p>
      <w:pPr>
        <w:spacing w:after="0" w:line="84" w:lineRule="exact"/>
        <w:rPr>
          <w:rFonts w:ascii="Arial" w:cs="Arial" w:eastAsia="Arial" w:hAnsi="Arial"/>
          <w:sz w:val="18"/>
          <w:szCs w:val="18"/>
          <w:color w:val="auto"/>
        </w:rPr>
      </w:pPr>
    </w:p>
    <w:p>
      <w:pPr>
        <w:ind w:right="60" w:firstLine="436"/>
        <w:spacing w:after="0" w:line="270" w:lineRule="auto"/>
        <w:tabs>
          <w:tab w:leader="none" w:pos="695"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Subsidiaries.</w:t>
      </w:r>
      <w:r>
        <w:rPr>
          <w:rFonts w:ascii="Arial" w:cs="Arial" w:eastAsia="Arial" w:hAnsi="Arial"/>
          <w:sz w:val="17"/>
          <w:szCs w:val="17"/>
          <w:color w:val="auto"/>
        </w:rPr>
        <w:t xml:space="preserve"> The Company has no subsidiaries. To the extent the Company forms any subsidiary after the date of this Agreement,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All of the issued and outstanding capital stock or other equity or ownership interests of each of the Company’s subsidiaries have been duly authorized and validly issued, are fully paid and nonassessable and are owned by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1" w:name="page12"/>
    <w:bookmarkEnd w:id="11"/>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 incorporated by reference into the Registration Statement and Prospectus.</w:t>
      </w:r>
    </w:p>
    <w:p>
      <w:pPr>
        <w:spacing w:after="0" w:line="84" w:lineRule="exact"/>
        <w:rPr>
          <w:sz w:val="20"/>
          <w:szCs w:val="20"/>
          <w:color w:val="auto"/>
        </w:rPr>
      </w:pPr>
    </w:p>
    <w:p>
      <w:pPr>
        <w:ind w:right="20" w:firstLine="436"/>
        <w:spacing w:after="0" w:line="287"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Capitalization and Other Capital Stock Matters</w:t>
      </w:r>
      <w:r>
        <w:rPr>
          <w:rFonts w:ascii="Arial" w:cs="Arial" w:eastAsia="Arial" w:hAnsi="Arial"/>
          <w:sz w:val="16"/>
          <w:szCs w:val="16"/>
          <w:color w:val="auto"/>
        </w:rPr>
        <w:t>. The authorized, issued and outstanding capital stock of the Company is as set forth in the Registration Statement and the Prospectus (other than for subsequent issuances, if any, pursuant to employee benefit plans described in the Prospectus or upon the exercise of outstanding options or warrants, in each case described in the Registration Statement and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all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in all material respects, presents the information required to be shown with respect to such plans, arrangements, options and rights.</w:t>
      </w:r>
    </w:p>
    <w:p>
      <w:pPr>
        <w:spacing w:after="0" w:line="63" w:lineRule="exact"/>
        <w:rPr>
          <w:rFonts w:ascii="Arial" w:cs="Arial" w:eastAsia="Arial" w:hAnsi="Arial"/>
          <w:sz w:val="16"/>
          <w:szCs w:val="16"/>
          <w:color w:val="auto"/>
        </w:rPr>
      </w:pPr>
    </w:p>
    <w:p>
      <w:pPr>
        <w:ind w:right="40" w:firstLine="436"/>
        <w:spacing w:after="0" w:line="257" w:lineRule="auto"/>
        <w:tabs>
          <w:tab w:leader="none" w:pos="66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r>
        <w:rPr>
          <w:rFonts w:ascii="Arial" w:cs="Arial" w:eastAsia="Arial" w:hAnsi="Arial"/>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79" w:lineRule="exact"/>
        <w:rPr>
          <w:rFonts w:ascii="Arial" w:cs="Arial" w:eastAsia="Arial" w:hAnsi="Arial"/>
          <w:sz w:val="18"/>
          <w:szCs w:val="18"/>
          <w:color w:val="auto"/>
        </w:rPr>
      </w:pPr>
    </w:p>
    <w:p>
      <w:pPr>
        <w:ind w:firstLine="436"/>
        <w:spacing w:after="0" w:line="254" w:lineRule="auto"/>
        <w:tabs>
          <w:tab w:leader="none" w:pos="6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Non-Contravention of Existing Instruments</w:t>
      </w:r>
      <w:r>
        <w:rPr>
          <w:rFonts w:ascii="Arial" w:cs="Arial" w:eastAsia="Arial" w:hAnsi="Arial"/>
          <w:sz w:val="18"/>
          <w:szCs w:val="18"/>
          <w:color w:val="auto"/>
        </w:rPr>
        <w:t>; No Further Authorizations or Approvals Required. The Company’s execution, delivery and performance of this Agreement, the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will not conflict with or result in a breach or violation of any of the terms or provisions of, or constitute a default under, (i) any indenture, mortgage, deed of trust, loan agreement or other agreement or instrument to which the Company is a party or by which the Company is bound or to which any of the property or assets of the Company is subject, (ii) the certificate of incorporation or by-laws (or other applicable organizational document)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2" w:name="page13"/>
    <w:bookmarkEnd w:id="12"/>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or (iii) any statute or any judgment, order, rule or regulation of any court or governmental agency or body having jurisdiction over the Company or any of its properties except, in the case of clauses (i) or (ii), for such defaults, breaches, or violations that would not, individually or in the aggregate, have a Material Adverse Change; and no consent, approval, authorization, order, registration or qualification of or with any such court or governmental agency or body is required for the Company’s execution, delivery and performance of this Agreement and the consummation of the transactions contemplated hereby and by the Registration Statement and the Prospectus, except for (i) the registration of the Shares under the Securities Act and (ii) such consents, approvals, authorizations, orders and registrations as have been obtained or made by the Company and are in full force and effect under the Securities Act and such as may be required under applicable state securities or blue sky laws or FINRA (as defined below).</w:t>
      </w:r>
    </w:p>
    <w:p>
      <w:pPr>
        <w:spacing w:after="0" w:line="58" w:lineRule="exact"/>
        <w:rPr>
          <w:sz w:val="20"/>
          <w:szCs w:val="20"/>
          <w:color w:val="auto"/>
        </w:rPr>
      </w:pPr>
    </w:p>
    <w:p>
      <w:pPr>
        <w:ind w:left="4" w:firstLine="436"/>
        <w:spacing w:after="0" w:line="273" w:lineRule="auto"/>
        <w:tabs>
          <w:tab w:leader="none" w:pos="659"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No Material Actions or Proceedings</w:t>
      </w:r>
      <w:r>
        <w:rPr>
          <w:rFonts w:ascii="Arial" w:cs="Arial" w:eastAsia="Arial" w:hAnsi="Arial"/>
          <w:sz w:val="17"/>
          <w:szCs w:val="17"/>
          <w:color w:val="auto"/>
        </w:rPr>
        <w:t>. Except as otherwise disclosed in the Prospectus, there is no action, suit, proceeding, inquiry or investigation brought by or before any legal or governmental entity now pending or, to the knowledge of the Company, threatened, against or affecting the Company, which could be expected, individually or in the aggregate, to result in a Material Adverse Change. No material labor disturbance by or dispute with the employees of the Company exists or, to the knowledge of the Company, is contemplated or threatened, and the Company is not aware of any existing or imminent labor disturbance by, or dispute with, the employees of any of its principal suppliers, manufacturers, customers or contractors, which, in either case, would, individually or in the aggregate, result in a Material Adverse Change.</w:t>
      </w:r>
    </w:p>
    <w:p>
      <w:pPr>
        <w:spacing w:after="0" w:line="69" w:lineRule="exact"/>
        <w:rPr>
          <w:rFonts w:ascii="Arial" w:cs="Arial" w:eastAsia="Arial" w:hAnsi="Arial"/>
          <w:sz w:val="17"/>
          <w:szCs w:val="17"/>
          <w:color w:val="auto"/>
        </w:rPr>
      </w:pPr>
    </w:p>
    <w:p>
      <w:pPr>
        <w:ind w:left="4" w:right="60" w:firstLine="436"/>
        <w:spacing w:after="0" w:line="284" w:lineRule="auto"/>
        <w:tabs>
          <w:tab w:leader="none" w:pos="699"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Except as otherwise disclosed in the Registration Statement or the Prospectus, the Company owns or has obtained valid and enforceable licenses for, the inventions, patent applications, patents, trademarks, trade names, service names, copyrights, trade secrets, domain names, technology, know-how and other intellectual property described in the Registration Statement and the Prospectus as being owned or licensed by it or which are necessary for the conduct of its business as currently conducted and as proposed to be conducted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To the Company’s knowledge: (i) there are no third parties who have rights to any Intellectual Property, except for customary reversionary rights of third-party licensors with respect to Intellectual Property that is disclosed in the Registration Statement and the Prospectus as licensed to the Company;</w:t>
      </w:r>
    </w:p>
    <w:p>
      <w:pPr>
        <w:spacing w:after="0" w:line="4" w:lineRule="exact"/>
        <w:rPr>
          <w:rFonts w:ascii="Arial" w:cs="Arial" w:eastAsia="Arial" w:hAnsi="Arial"/>
          <w:sz w:val="16"/>
          <w:szCs w:val="16"/>
          <w:color w:val="auto"/>
        </w:rPr>
      </w:pPr>
    </w:p>
    <w:p>
      <w:pPr>
        <w:ind w:left="4" w:right="20" w:hanging="4"/>
        <w:spacing w:after="0" w:line="268" w:lineRule="auto"/>
        <w:tabs>
          <w:tab w:leader="none" w:pos="2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is not infringing or misappropriating the intellectual property rights of third parties; and (iii) the Company is either the sole owner or the co-owner of the Intellectual Property owned by it and has the valid, enforceable right to use the Intellectual Property without the obligation to obtain consent to sublicense and without a duty of accounting to the co-owner, as applicable. There is no pending or, to the Company’s knowledge, threatened action, suit, proceeding or claim by others and the Company has not received notice of and is unaware of any facts which would form a reasonable basis for any such claim: (A) challenging the Company’s rights in or to any Intellectual Property; (B) challenging the validity, enforceability or scope of any Intellectual Property; or (C) asserting that the Company infringes, misappropriates or otherwise violates, or would, upon the manufacture or commercialization of any product or service described in the Registration Statement and the Prospectus as under development, infringe, misappropriate or violate, any patent, trademark, trade name, service name, copyright, trade secret or other proprietary rights of others. The Company has complied with the terms of each agreement pursuant to which Intellectual Property has been licensed to the Company, and all such agreements are in full force and effect. To the Company’s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4" w:right="439" w:bottom="1440" w:gutter="0" w:footer="0" w:header="0"/>
        </w:sectPr>
      </w:pPr>
    </w:p>
    <w:bookmarkStart w:id="13" w:name="page14"/>
    <w:bookmarkEnd w:id="13"/>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knowledge, no employee of the Company is or has been in violation of any term of any employment contract, patent disclosure agreement, invention assignment agreement, non-competition agreement, non-solicitation agreement, nondisclosure agreement or any restrictive covenant to or with a former employer where such violation has a Material Adverse Change on the Company. The Company has taken reasonable steps necessary to secure assignments to the Company of the Intellectual Property purported to be owned by the Company from any employees, consultants, agents or contractors that developed (in whole or in part) such Intellectual Property. No government funding, facilities or resources of a university, college, other educational institution or research center was used in the development of any Intellectual Property that is owned or purported to be owned by the Company that would confer upon any governmental agency or body, university, college, other educational institution or research center any claim or right of ownership to any such Intellectual Property.</w:t>
      </w:r>
    </w:p>
    <w:p>
      <w:pPr>
        <w:spacing w:after="0" w:line="70" w:lineRule="exact"/>
        <w:rPr>
          <w:sz w:val="20"/>
          <w:szCs w:val="20"/>
          <w:color w:val="auto"/>
        </w:rPr>
      </w:pPr>
    </w:p>
    <w:p>
      <w:pPr>
        <w:ind w:right="40" w:firstLine="436"/>
        <w:spacing w:after="0" w:line="289"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Patents</w:t>
      </w:r>
      <w:r>
        <w:rPr>
          <w:rFonts w:ascii="Arial" w:cs="Arial" w:eastAsia="Arial" w:hAnsi="Arial"/>
          <w:sz w:val="16"/>
          <w:szCs w:val="16"/>
          <w:color w:val="auto"/>
        </w:rPr>
        <w:t>. Except as described in the Registration Statement and the Prospectus, all patents and patent applications owned by or licensed to the Company or under which the Company has rights have, to the knowledge of the Company, been duly and properly filed and maintained and are valid and enforceable; the Company has, to the knowledge of the Company, complied with its duty of candor and disclosure to the U.S. Patent and Trademark Office (the “</w:t>
      </w:r>
      <w:r>
        <w:rPr>
          <w:rFonts w:ascii="Arial" w:cs="Arial" w:eastAsia="Arial" w:hAnsi="Arial"/>
          <w:sz w:val="16"/>
          <w:szCs w:val="16"/>
          <w:b w:val="1"/>
          <w:bCs w:val="1"/>
          <w:color w:val="auto"/>
        </w:rPr>
        <w:t>USPTO</w:t>
      </w:r>
      <w:r>
        <w:rPr>
          <w:rFonts w:ascii="Arial" w:cs="Arial" w:eastAsia="Arial" w:hAnsi="Arial"/>
          <w:sz w:val="16"/>
          <w:szCs w:val="16"/>
          <w:color w:val="auto"/>
        </w:rPr>
        <w:t>”) in connection with such patents and patent applications for which it has filing, prosecution, and/or maintenance responsibilities; to the knowledge of the Company, the parties having filing, prosecuting and/or maintenance responsibilities for such patents and patent applications have complied with their duty of candor and disclosure to the USPTO in connection with such patents and patent applications; and the Company is not aware of any prior art or public or commercial activity or other facts required to be disclosed to the USPTO that were not disclosed to the USPTO and which would preclude the grant of a patent in connection with any such application or would reasonably be expected to form the basis of a finding of invalidity with respect to any patents that have been issued with respect to such applications.</w:t>
      </w:r>
    </w:p>
    <w:p>
      <w:pPr>
        <w:spacing w:after="0" w:line="58" w:lineRule="exact"/>
        <w:rPr>
          <w:rFonts w:ascii="Arial" w:cs="Arial" w:eastAsia="Arial" w:hAnsi="Arial"/>
          <w:sz w:val="16"/>
          <w:szCs w:val="16"/>
          <w:color w:val="auto"/>
        </w:rPr>
      </w:pPr>
    </w:p>
    <w:p>
      <w:pPr>
        <w:ind w:right="220" w:firstLine="436"/>
        <w:spacing w:after="0" w:line="275" w:lineRule="auto"/>
        <w:tabs>
          <w:tab w:leader="none" w:pos="73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All Necessary Permits, etc</w:t>
      </w:r>
      <w:r>
        <w:rPr>
          <w:rFonts w:ascii="Arial" w:cs="Arial" w:eastAsia="Arial" w:hAnsi="Arial"/>
          <w:sz w:val="17"/>
          <w:szCs w:val="17"/>
          <w:color w:val="auto"/>
        </w:rPr>
        <w:t>. The Company possesses such material permits, licenses, clearances, approvals, consents, exemptions, registrations, and other authorizations as required by applicable law (collectively, “</w:t>
      </w:r>
      <w:r>
        <w:rPr>
          <w:rFonts w:ascii="Arial" w:cs="Arial" w:eastAsia="Arial" w:hAnsi="Arial"/>
          <w:sz w:val="17"/>
          <w:szCs w:val="17"/>
          <w:b w:val="1"/>
          <w:bCs w:val="1"/>
          <w:color w:val="auto"/>
        </w:rPr>
        <w:t>Governmental Licenses</w:t>
      </w:r>
      <w:r>
        <w:rPr>
          <w:rFonts w:ascii="Arial" w:cs="Arial" w:eastAsia="Arial" w:hAnsi="Arial"/>
          <w:sz w:val="17"/>
          <w:szCs w:val="17"/>
          <w:color w:val="auto"/>
        </w:rPr>
        <w:t>”) issued by applicable governmental entities necessary to conduct the business now operated by the Company. The Company is in material compliance with the terms and conditions of all such Governmental Licenses, and all Governmental Licenses are valid and in full force and effect. The Company has not received any notice of proceedings relating to the revocation material modification, or suspension of any Governmental Licenses.</w:t>
      </w:r>
    </w:p>
    <w:p>
      <w:pPr>
        <w:spacing w:after="0" w:line="68" w:lineRule="exact"/>
        <w:rPr>
          <w:rFonts w:ascii="Arial" w:cs="Arial" w:eastAsia="Arial" w:hAnsi="Arial"/>
          <w:sz w:val="17"/>
          <w:szCs w:val="17"/>
          <w:color w:val="auto"/>
        </w:rPr>
      </w:pPr>
    </w:p>
    <w:p>
      <w:pPr>
        <w:ind w:right="40" w:firstLine="436"/>
        <w:spacing w:after="0" w:line="272" w:lineRule="auto"/>
        <w:tabs>
          <w:tab w:leader="none" w:pos="69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Title to Properties</w:t>
      </w:r>
      <w:r>
        <w:rPr>
          <w:rFonts w:ascii="Arial" w:cs="Arial" w:eastAsia="Arial" w:hAnsi="Arial"/>
          <w:sz w:val="17"/>
          <w:szCs w:val="17"/>
          <w:color w:val="auto"/>
        </w:rPr>
        <w:t>. The Company has good and marketable title to all real and personal property owned by it (other than with respect to Intellectual Property, which is addressed exclusively in subsections (u) and (v) above) or has valid rights to lease or otherwise use, all real and personal property that are material to the business of the Company, in each case free and clear of all liens, encumbrances and defects except such as are described in the Prospectus or such as do not materially affect the value of such property and do not interfere with the use made and proposed to be made of such property by the Company; and any real property and buildings held under lease by the Company are, to the Company’s knowledge, held by the Company under valid, subsisting and enforceable leases with such exceptions as are, not material and do not materially interfere with the use made and proposed to be made of such property and buildings by the Company.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4" w:name="page15"/>
    <w:bookmarkEnd w:id="14"/>
    <w:p>
      <w:pPr>
        <w:jc w:val="both"/>
        <w:ind w:firstLine="436"/>
        <w:spacing w:after="0" w:line="259"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Law Compliance</w:t>
      </w:r>
      <w:r>
        <w:rPr>
          <w:rFonts w:ascii="Arial" w:cs="Arial" w:eastAsia="Arial" w:hAnsi="Arial"/>
          <w:sz w:val="18"/>
          <w:szCs w:val="18"/>
          <w:color w:val="auto"/>
        </w:rPr>
        <w:t>. Except as could not, individually or in the aggregate, reasonably be expected to result in a Material Adverse Change, the Company has filed all tax returns required to be filed through the date hereof, or have duly requested extensions thereof, all such tax returns are true and correct in all respects, and there is no tax deficiency that has been, or would reasonably expected to be, asserted against the Company or any of its properties or assets.</w:t>
      </w:r>
    </w:p>
    <w:p>
      <w:pPr>
        <w:spacing w:after="0" w:line="78" w:lineRule="exact"/>
        <w:rPr>
          <w:rFonts w:ascii="Arial" w:cs="Arial" w:eastAsia="Arial" w:hAnsi="Arial"/>
          <w:sz w:val="18"/>
          <w:szCs w:val="18"/>
          <w:color w:val="auto"/>
        </w:rPr>
      </w:pPr>
    </w:p>
    <w:p>
      <w:pPr>
        <w:jc w:val="both"/>
        <w:ind w:right="140" w:firstLine="436"/>
        <w:spacing w:after="0" w:line="263"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Company Not an “Investment Company.”</w:t>
      </w:r>
      <w:r>
        <w:rPr>
          <w:rFonts w:ascii="Arial" w:cs="Arial" w:eastAsia="Arial" w:hAnsi="Arial"/>
          <w:sz w:val="18"/>
          <w:szCs w:val="18"/>
          <w:color w:val="auto"/>
        </w:rPr>
        <w:t xml:space="preserve"> The Company is not, and immediately after giving effect to the offering and sale of the Shares and the application of the proceeds thereof as described in the Registration Statement and the Prospectus, will not be, required to register as an “investment company”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76" w:lineRule="exact"/>
        <w:rPr>
          <w:sz w:val="20"/>
          <w:szCs w:val="20"/>
          <w:color w:val="auto"/>
        </w:rPr>
      </w:pPr>
    </w:p>
    <w:p>
      <w:pPr>
        <w:ind w:right="100" w:firstLine="436"/>
        <w:spacing w:after="0" w:line="257" w:lineRule="auto"/>
        <w:tabs>
          <w:tab w:leader="none" w:pos="76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has insurance against such losses and risks and in such amounts as are prudent and customary for the size of the business and the industry in which it is engaged and the Company has not received notice from any insurer or agent of such insurer that capital improvements or other expenditures are required or necessary to be made in order to continue such insurance nor does the Company have any reason to believe that it will not be able to renew its existing insurance coverage as and when such coverage expires or to obtain similar coverage at reasonable cost from similar insurers as may be necessary to continue its business.</w:t>
      </w:r>
    </w:p>
    <w:p>
      <w:pPr>
        <w:spacing w:after="0" w:line="79" w:lineRule="exact"/>
        <w:rPr>
          <w:rFonts w:ascii="Arial" w:cs="Arial" w:eastAsia="Arial" w:hAnsi="Arial"/>
          <w:sz w:val="18"/>
          <w:szCs w:val="18"/>
          <w:color w:val="auto"/>
        </w:rPr>
      </w:pPr>
    </w:p>
    <w:p>
      <w:pPr>
        <w:ind w:right="20" w:firstLine="436"/>
        <w:spacing w:after="0" w:line="279" w:lineRule="auto"/>
        <w:tabs>
          <w:tab w:leader="none" w:pos="78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No Price Stabilization or Manipulation; Compliance with Regulation M</w:t>
      </w:r>
      <w:r>
        <w:rPr>
          <w:rFonts w:ascii="Arial" w:cs="Arial" w:eastAsia="Arial" w:hAnsi="Arial"/>
          <w:sz w:val="17"/>
          <w:szCs w:val="17"/>
          <w:color w:val="auto"/>
        </w:rPr>
        <w:t>. Neither the Company nor any of its subsidiaries has taken, directly or indirectly, any action designed to or that might cause or result in stabilization or manipulation of the price of the Common Shares or of any “reference security” (as defined in Rule 100 of Regulation M under the Exchange Act (</w:t>
      </w:r>
      <w:r>
        <w:rPr>
          <w:rFonts w:ascii="Arial" w:cs="Arial" w:eastAsia="Arial" w:hAnsi="Arial"/>
          <w:sz w:val="17"/>
          <w:szCs w:val="17"/>
          <w:b w:val="1"/>
          <w:bCs w:val="1"/>
          <w:color w:val="auto"/>
        </w:rPr>
        <w:t>“Regulation M”</w:t>
      </w:r>
      <w:r>
        <w:rPr>
          <w:rFonts w:ascii="Arial" w:cs="Arial" w:eastAsia="Arial" w:hAnsi="Arial"/>
          <w:sz w:val="17"/>
          <w:szCs w:val="17"/>
          <w:color w:val="auto"/>
        </w:rPr>
        <w:t>)) with respect to the Common Shares, whether to facilitate the sale or resale of the Shares or otherwise, and has taken no action which would directly or indirectly violate Regulation M.</w:t>
      </w:r>
    </w:p>
    <w:p>
      <w:pPr>
        <w:spacing w:after="0" w:line="63" w:lineRule="exact"/>
        <w:rPr>
          <w:rFonts w:ascii="Arial" w:cs="Arial" w:eastAsia="Arial" w:hAnsi="Arial"/>
          <w:sz w:val="17"/>
          <w:szCs w:val="17"/>
          <w:color w:val="auto"/>
        </w:rPr>
      </w:pPr>
    </w:p>
    <w:p>
      <w:pPr>
        <w:ind w:right="80" w:firstLine="436"/>
        <w:spacing w:after="0" w:line="342" w:lineRule="auto"/>
        <w:tabs>
          <w:tab w:leader="none" w:pos="76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5" w:lineRule="exact"/>
        <w:rPr>
          <w:rFonts w:ascii="Arial" w:cs="Arial" w:eastAsia="Arial" w:hAnsi="Arial"/>
          <w:sz w:val="16"/>
          <w:szCs w:val="16"/>
          <w:color w:val="auto"/>
        </w:rPr>
      </w:pPr>
    </w:p>
    <w:p>
      <w:pPr>
        <w:ind w:right="40" w:firstLine="436"/>
        <w:spacing w:after="0" w:line="257" w:lineRule="auto"/>
        <w:tabs>
          <w:tab w:leader="none" w:pos="785"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compliant with Financial Industry Regulatory Authority, Inc.’s (“</w:t>
      </w:r>
      <w:r>
        <w:rPr>
          <w:rFonts w:ascii="Arial" w:cs="Arial" w:eastAsia="Arial" w:hAnsi="Arial"/>
          <w:sz w:val="18"/>
          <w:szCs w:val="18"/>
          <w:b w:val="1"/>
          <w:bCs w:val="1"/>
          <w:color w:val="auto"/>
        </w:rPr>
        <w:t>FINRA</w:t>
      </w:r>
      <w:r>
        <w:rPr>
          <w:rFonts w:ascii="Arial" w:cs="Arial" w:eastAsia="Arial" w:hAnsi="Arial"/>
          <w:sz w:val="18"/>
          <w:szCs w:val="18"/>
          <w:color w:val="auto"/>
        </w:rPr>
        <w:t>”) rules and any letters, filings or other supplemental information provided to FINRA pursuant to FINRA Rules or NASD Conduct Rules is true, complete and correct. The Company meets the requirements for use of Form S-3 under the Securities Act specified in FINRA Rule 5110(b)(7)(C)(i).</w:t>
      </w:r>
    </w:p>
    <w:p>
      <w:pPr>
        <w:spacing w:after="0" w:line="79" w:lineRule="exact"/>
        <w:rPr>
          <w:rFonts w:ascii="Arial" w:cs="Arial" w:eastAsia="Arial" w:hAnsi="Arial"/>
          <w:sz w:val="18"/>
          <w:szCs w:val="18"/>
          <w:color w:val="auto"/>
        </w:rPr>
      </w:pPr>
    </w:p>
    <w:p>
      <w:pPr>
        <w:ind w:left="760" w:hanging="324"/>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No Unlawful Contributions or Other Payments</w:t>
      </w:r>
      <w:r>
        <w:rPr>
          <w:rFonts w:ascii="Arial" w:cs="Arial" w:eastAsia="Arial" w:hAnsi="Arial"/>
          <w:sz w:val="17"/>
          <w:szCs w:val="17"/>
          <w:color w:val="auto"/>
        </w:rPr>
        <w:t>. Except as otherwise disclosed in the Prospectus, neither the Company nor any of its</w:t>
      </w:r>
    </w:p>
    <w:p>
      <w:pPr>
        <w:spacing w:after="0" w:line="34" w:lineRule="exact"/>
        <w:rPr>
          <w:rFonts w:ascii="Arial" w:cs="Arial" w:eastAsia="Arial" w:hAnsi="Arial"/>
          <w:sz w:val="17"/>
          <w:szCs w:val="17"/>
          <w:color w:val="auto"/>
        </w:rPr>
      </w:pPr>
    </w:p>
    <w:p>
      <w:pPr>
        <w:spacing w:after="0" w:line="255" w:lineRule="auto"/>
        <w:rPr>
          <w:rFonts w:ascii="Arial" w:cs="Arial" w:eastAsia="Arial" w:hAnsi="Arial"/>
          <w:sz w:val="17"/>
          <w:szCs w:val="17"/>
          <w:color w:val="auto"/>
        </w:rPr>
      </w:pPr>
      <w:r>
        <w:rPr>
          <w:rFonts w:ascii="Arial" w:cs="Arial" w:eastAsia="Arial" w:hAnsi="Arial"/>
          <w:sz w:val="18"/>
          <w:szCs w:val="18"/>
          <w:color w:val="auto"/>
        </w:rPr>
        <w:t>subsidiaries and,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 w:name="page16"/>
    <w:bookmarkEnd w:id="15"/>
    <w:p>
      <w:pPr>
        <w:ind w:left="4" w:right="40" w:firstLine="436"/>
        <w:spacing w:after="0" w:line="283" w:lineRule="auto"/>
        <w:tabs>
          <w:tab w:leader="none" w:pos="726"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with Environmental Laws</w:t>
      </w:r>
      <w:r>
        <w:rPr>
          <w:rFonts w:ascii="Arial" w:cs="Arial" w:eastAsia="Arial" w:hAnsi="Arial"/>
          <w:sz w:val="16"/>
          <w:szCs w:val="16"/>
          <w:color w:val="auto"/>
        </w:rPr>
        <w:t>. (i) The Company (x) is in compliance with all, and has not violated any, applicable federal, state, local and foreign laws, rules, regulations, requirements, decisions, judgments, decrees, orders and other legally enforceable requirements relating to pollution or the protection of human health or safety, the environment, natural resources, hazardous or toxic substances or wastes, pollutants or contaminants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(y) has received and is in compliance with all, and have not violated any, permits, licenses, certificates or other authorizations or approvals required of it under any Environmental Laws to conduct its businesses, except where such non-compliance with Environmental Laws, failure to receive required permits, licenses or other approvals or failure to comply with such permits, licenses, certificates or approvals would not individually or in the aggregate, reasonably be expected to have a Material Adverse Change; (z) has not received written notice of any actual or potential liability by the Company or obligation of the Company under or relating to, or any material actual or potential violation of, any Environmental Laws by the Company, including for the investigation or remediation of any disposal or release of hazardous or toxic substances or wastes, pollutants or contaminants, and have no knowledge of any event or condition that would reasonably be expected to result in any such notice, and, (ii) there are no costs or liabilities associated with Environmental Laws of or relating to the Company; and (iii) (x) there is no proceeding that is pending, or that is known by the Company to be contemplated, against the Company under any Environmental Laws in which a governmental entity is also a party, other than such proceeding regarding which the Company reasonably believes no monetary sanctions of $100,000 or more will be imposed,</w:t>
      </w:r>
    </w:p>
    <w:p>
      <w:pPr>
        <w:spacing w:after="0" w:line="1" w:lineRule="exact"/>
        <w:rPr>
          <w:rFonts w:ascii="Arial" w:cs="Arial" w:eastAsia="Arial" w:hAnsi="Arial"/>
          <w:sz w:val="16"/>
          <w:szCs w:val="16"/>
          <w:color w:val="auto"/>
        </w:rPr>
      </w:pPr>
    </w:p>
    <w:p>
      <w:pPr>
        <w:ind w:left="4" w:right="560" w:hanging="4"/>
        <w:spacing w:after="0" w:line="255"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not aware of any facts or issues regarding compliance with Environmental Laws, or liabilities or other obligations under Environmental Laws or concerning hazardous or toxic substances or wastes, pollutants or contaminants, and (z) the Company does not anticipate material capital expenditures relating to any Environmental Laws.</w:t>
      </w:r>
    </w:p>
    <w:p>
      <w:pPr>
        <w:spacing w:after="0" w:line="81" w:lineRule="exact"/>
        <w:rPr>
          <w:rFonts w:ascii="Arial" w:cs="Arial" w:eastAsia="Arial" w:hAnsi="Arial"/>
          <w:sz w:val="18"/>
          <w:szCs w:val="18"/>
          <w:color w:val="auto"/>
        </w:rPr>
      </w:pPr>
    </w:p>
    <w:p>
      <w:pPr>
        <w:ind w:left="4" w:firstLine="436"/>
        <w:spacing w:after="0" w:line="273" w:lineRule="auto"/>
        <w:tabs>
          <w:tab w:leader="none" w:pos="789"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Periodic Review of Costs of Environmental Compliance</w:t>
      </w:r>
      <w:r>
        <w:rPr>
          <w:rFonts w:ascii="Arial" w:cs="Arial" w:eastAsia="Arial" w:hAnsi="Arial"/>
          <w:sz w:val="17"/>
          <w:szCs w:val="17"/>
          <w:color w:val="auto"/>
        </w:rPr>
        <w:t>. In the ordinary course of its business, the Company conducts a periodic review of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No facts or circumstances have come to the Company’s attention that could result in costs or liabilities that could be expected, individually or in the aggregate, to result in a Material Adverse Change.</w:t>
      </w:r>
    </w:p>
    <w:p>
      <w:pPr>
        <w:spacing w:after="0" w:line="69" w:lineRule="exact"/>
        <w:rPr>
          <w:rFonts w:ascii="Arial" w:cs="Arial" w:eastAsia="Arial" w:hAnsi="Arial"/>
          <w:sz w:val="17"/>
          <w:szCs w:val="17"/>
          <w:color w:val="auto"/>
        </w:rPr>
      </w:pPr>
    </w:p>
    <w:p>
      <w:pPr>
        <w:ind w:left="784" w:hanging="344"/>
        <w:spacing w:after="0"/>
        <w:tabs>
          <w:tab w:leader="none" w:pos="784"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color w:val="auto"/>
        </w:rPr>
        <w:t>. Except as would not, individually or in the aggregate, reasonably be expected to have a Material Adverse Change,</w:t>
      </w:r>
    </w:p>
    <w:p>
      <w:pPr>
        <w:spacing w:after="0" w:line="35" w:lineRule="exact"/>
        <w:rPr>
          <w:sz w:val="20"/>
          <w:szCs w:val="20"/>
          <w:color w:val="auto"/>
        </w:rPr>
      </w:pPr>
    </w:p>
    <w:p>
      <w:pPr>
        <w:ind w:left="4" w:right="20" w:hanging="4"/>
        <w:spacing w:after="0" w:line="252" w:lineRule="auto"/>
        <w:tabs>
          <w:tab w:leader="none" w:pos="2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employee benefit plan, within the meaning of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“Plan”) has been maintained in compliance with its terms and the requirements of any applicable statutes, orders, rules and regulations, including but not limited to ERISA and the Code and no prohibited transaction, within the meaning of Section 406 of ERISA or Section 4975 of the Code, has occurred with respect to</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16" w:name="page17"/>
    <w:bookmarkEnd w:id="1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Plan, excluding transactions effected pursuant to a statutory or administrative exemption; (ii) for each Plan that is subject to the funding rules of Section 412 of the Code or Section 302 of ERISA, no Plan has failed, or is reasonably expected to fail, to satisfy the minimum funding standards (within the meaning of Section 302 of ERISA or Section 412 of the Code) applicable to such Plan; (iii) none of the Plans are “multiemployer plans” within the meaning of Section 4001(a)(3) of ERISA, and (iv) each Plan that is intended to be qualified under Section 401(a) of the Code is so qualified, and nothing has occurred, whether by action or failure to act, which would cause the loss of such qualification.</w:t>
      </w:r>
    </w:p>
    <w:p>
      <w:pPr>
        <w:spacing w:after="0" w:line="68" w:lineRule="exact"/>
        <w:rPr>
          <w:sz w:val="20"/>
          <w:szCs w:val="20"/>
          <w:color w:val="auto"/>
        </w:rPr>
      </w:pPr>
    </w:p>
    <w:p>
      <w:pPr>
        <w:ind w:right="100" w:firstLine="436"/>
        <w:spacing w:after="0" w:line="277"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62" w:lineRule="exact"/>
        <w:rPr>
          <w:rFonts w:ascii="Arial" w:cs="Arial" w:eastAsia="Arial" w:hAnsi="Arial"/>
          <w:sz w:val="18"/>
          <w:szCs w:val="18"/>
          <w:color w:val="auto"/>
        </w:rPr>
      </w:pPr>
    </w:p>
    <w:p>
      <w:pPr>
        <w:ind w:right="360" w:firstLine="436"/>
        <w:spacing w:after="0" w:line="263"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Extensions of Credit</w:t>
      </w:r>
      <w:r>
        <w:rPr>
          <w:rFonts w:ascii="Arial" w:cs="Arial" w:eastAsia="Arial" w:hAnsi="Arial"/>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75" w:lineRule="exact"/>
        <w:rPr>
          <w:rFonts w:ascii="Arial" w:cs="Arial" w:eastAsia="Arial" w:hAnsi="Arial"/>
          <w:sz w:val="18"/>
          <w:szCs w:val="18"/>
          <w:color w:val="auto"/>
        </w:rPr>
      </w:pPr>
    </w:p>
    <w:p>
      <w:pPr>
        <w:ind w:right="160" w:firstLine="436"/>
        <w:spacing w:after="0" w:line="277" w:lineRule="auto"/>
        <w:tabs>
          <w:tab w:leader="none" w:pos="78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has been and is in compliance with all applicable laws, rules and regulations, except where failure to be so in compliance could not be expected, individually or in the aggregate, to result in a Material Adverse Change.</w:t>
      </w:r>
    </w:p>
    <w:p>
      <w:pPr>
        <w:spacing w:after="0" w:line="58" w:lineRule="exact"/>
        <w:rPr>
          <w:rFonts w:ascii="Arial" w:cs="Arial" w:eastAsia="Arial" w:hAnsi="Arial"/>
          <w:sz w:val="18"/>
          <w:szCs w:val="18"/>
          <w:color w:val="auto"/>
        </w:rPr>
      </w:pPr>
    </w:p>
    <w:p>
      <w:pPr>
        <w:ind w:right="160" w:firstLine="436"/>
        <w:spacing w:after="0" w:line="277" w:lineRule="auto"/>
        <w:tabs>
          <w:tab w:leader="none" w:pos="70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Anti-Corruption and Anti-Bribery Laws</w:t>
      </w:r>
      <w:r>
        <w:rPr>
          <w:rFonts w:ascii="Arial" w:cs="Arial" w:eastAsia="Arial" w:hAnsi="Arial"/>
          <w:sz w:val="17"/>
          <w:szCs w:val="17"/>
          <w:b w:val="1"/>
          <w:bCs w:val="1"/>
          <w:color w:val="auto"/>
        </w:rPr>
        <w:t>.</w:t>
      </w:r>
      <w:r>
        <w:rPr>
          <w:rFonts w:ascii="Arial" w:cs="Arial" w:eastAsia="Arial" w:hAnsi="Arial"/>
          <w:sz w:val="17"/>
          <w:szCs w:val="17"/>
          <w:color w:val="auto"/>
        </w:rPr>
        <w:t xml:space="preserve"> Neither the Company nor, to the knowledge of the Company, any director, officer, agent, employee, affiliate or other person associated with or acting on behalf of the Company has (i) made, offered, promised or authorized any unlawful contribution, gift, entertainment or other unlawful expense or taken any act in furtherance thereof); (ii) made, offered, promised or authorized any direct or indirect unlawful payment; or (iii) violated or is in violation of any applicable provision of the U.S. Foreign Corrupt Practices Act of 1977, as amended, the Bribery Act 2010 of the United Kingdom or any other applicable anti-bribery or anti-corruption law.</w:t>
      </w:r>
    </w:p>
    <w:p>
      <w:pPr>
        <w:spacing w:after="0" w:line="63" w:lineRule="exact"/>
        <w:rPr>
          <w:rFonts w:ascii="Arial" w:cs="Arial" w:eastAsia="Arial" w:hAnsi="Arial"/>
          <w:sz w:val="17"/>
          <w:szCs w:val="17"/>
          <w:color w:val="auto"/>
        </w:rPr>
      </w:pPr>
    </w:p>
    <w:p>
      <w:pPr>
        <w:ind w:right="60" w:firstLine="436"/>
        <w:spacing w:after="0" w:line="296" w:lineRule="auto"/>
        <w:tabs>
          <w:tab w:leader="none" w:pos="885"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the Company are, and have been conducted at all times in compliance with applicable anti-money laundering laws, including, but not limited to, the Bank Secrecy Act of 1970, as amended by the USA PATRIOT ACT of 2001, and the rules and regulations promulgated thereunder, and the anti-money laundering laws of the various jurisdictions in which the Company conducts business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53" w:lineRule="exact"/>
        <w:rPr>
          <w:rFonts w:ascii="Arial" w:cs="Arial" w:eastAsia="Arial" w:hAnsi="Arial"/>
          <w:sz w:val="16"/>
          <w:szCs w:val="16"/>
          <w:color w:val="auto"/>
        </w:rPr>
      </w:pPr>
    </w:p>
    <w:p>
      <w:pPr>
        <w:ind w:firstLine="436"/>
        <w:spacing w:after="0" w:line="257" w:lineRule="auto"/>
        <w:tabs>
          <w:tab w:leader="none" w:pos="78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 xml:space="preserve"> Neither the Company nor, to the knowledge of the Company, any director, officer, agent, employee or affiliate of the Company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European Union, Her Majesty’s Treasury, the United Nations Security Council,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nor is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7" w:name="page18"/>
    <w:bookmarkEnd w:id="17"/>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located, organized or resident in a country or territory that is the subject or target of Sanctions,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spacing w:after="0" w:line="68" w:lineRule="exact"/>
        <w:rPr>
          <w:sz w:val="20"/>
          <w:szCs w:val="20"/>
          <w:color w:val="auto"/>
        </w:rPr>
      </w:pPr>
    </w:p>
    <w:p>
      <w:pPr>
        <w:ind w:firstLine="436"/>
        <w:spacing w:after="0" w:line="284" w:lineRule="auto"/>
        <w:tabs>
          <w:tab w:leader="none" w:pos="785"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Health Care Laws</w:t>
      </w:r>
      <w:r>
        <w:rPr>
          <w:rFonts w:ascii="Arial" w:cs="Arial" w:eastAsia="Arial" w:hAnsi="Arial"/>
          <w:sz w:val="16"/>
          <w:szCs w:val="16"/>
          <w:color w:val="auto"/>
        </w:rPr>
        <w:t>. Except as described in the Registration Statement and the Prospectus, the Company: (i) has operated and currently operates its business in compliance in all material respects with applicable provisions of the Health Care Laws (as defined below) of the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the Department of Health and Human Services (“</w:t>
      </w:r>
      <w:r>
        <w:rPr>
          <w:rFonts w:ascii="Arial" w:cs="Arial" w:eastAsia="Arial" w:hAnsi="Arial"/>
          <w:sz w:val="16"/>
          <w:szCs w:val="16"/>
          <w:b w:val="1"/>
          <w:bCs w:val="1"/>
          <w:color w:val="auto"/>
        </w:rPr>
        <w:t>HHS</w:t>
      </w:r>
      <w:r>
        <w:rPr>
          <w:rFonts w:ascii="Arial" w:cs="Arial" w:eastAsia="Arial" w:hAnsi="Arial"/>
          <w:sz w:val="16"/>
          <w:szCs w:val="16"/>
          <w:color w:val="auto"/>
        </w:rPr>
        <w:t>”) and any comparable foreign or other regulatory authority to which they are subject (collectively, the “</w:t>
      </w:r>
      <w:r>
        <w:rPr>
          <w:rFonts w:ascii="Arial" w:cs="Arial" w:eastAsia="Arial" w:hAnsi="Arial"/>
          <w:sz w:val="16"/>
          <w:szCs w:val="16"/>
          <w:b w:val="1"/>
          <w:bCs w:val="1"/>
          <w:color w:val="auto"/>
        </w:rPr>
        <w:t>Applicable Regulatory Authorities</w:t>
      </w:r>
      <w:r>
        <w:rPr>
          <w:rFonts w:ascii="Arial" w:cs="Arial" w:eastAsia="Arial" w:hAnsi="Arial"/>
          <w:sz w:val="16"/>
          <w:szCs w:val="16"/>
          <w:color w:val="auto"/>
        </w:rPr>
        <w:t>”) applicable to the ownership, testing, development, manufacture, packaging, processing, use, distribution, storage, import, export or disposal of any of the Company’s product candidates or any product manufactured or distributed by the Company; (ii) has not received any FDA Form 483, written notice of adverse finding, warning letter, untitled letter or other correspondence or written notice from any court or arbitrator or the Applicable Regulatory Authorities alleging or asserting non-compliance with any Health Care Laws or the licenses, certificates, approvals, clearances, registrations, exemptions, authorizations, permits and supplements or amendments thereto as required by any such Health Care Laws (“</w:t>
      </w:r>
      <w:r>
        <w:rPr>
          <w:rFonts w:ascii="Arial" w:cs="Arial" w:eastAsia="Arial" w:hAnsi="Arial"/>
          <w:sz w:val="16"/>
          <w:szCs w:val="16"/>
          <w:b w:val="1"/>
          <w:bCs w:val="1"/>
          <w:color w:val="auto"/>
        </w:rPr>
        <w:t>Regulatory Authorizations</w:t>
      </w:r>
      <w:r>
        <w:rPr>
          <w:rFonts w:ascii="Arial" w:cs="Arial" w:eastAsia="Arial" w:hAnsi="Arial"/>
          <w:sz w:val="16"/>
          <w:szCs w:val="16"/>
          <w:color w:val="auto"/>
        </w:rPr>
        <w:t>”); (iii) possesses all Regulatory Authorizations required to conduct its business as currently conducted and such Regulatory Authorizations are valid and in full force and effect and the Company is not in violation, in any material respect, of any term of any such Regulatory Authorizations; (iv) has not received notice of any claim, action, suit, proceeding, hearing, enforcement, investigation, arbitration or other action from any court or arbitrator or the Applicable Regulatory Authorities or any other third party alleging that any product operation or activity is in material violation of any Health Care Laws and has no knowledge that the Applicable Regulatory Authorities or any other third party is considering any such claim, litigation, arbitration, action, suit, investigation or proceeding; (v) has not received notice that any of the Applicable Regulatory Authorities has taken, is taking or intends to take action to materially adversely limit, suspend or revoke any material Regulatory Authorizations and has no knowledge that any of the Applicable Regulatory Authorities is considering such action; (vi) has filed, obtained, maintained or submitted all material reports, documents, forms, notices, applications, records, claims, submissions and supplements or amendments as required by any Health Care Laws or Regulatory Authorizations and that all such required reports, documents, forms, notices, applications, records, claims, submissions and supplements or amendments were materially complete and correct on the date filed (or were materially corrected or supplemented by a subsequent submission); (vii) is not a party to or have any ongoing reporting obligations pursuant to any corporate integrity agreements, deferred prosecution agreements, monitoring agreements, consent decrees, settlement orders, plans of correction or similar agreements with or imposed by any Applicable Regulatory Authority; and (viii) along with its employees, officers and directors, has not been excluded, suspended or debarred from participation in any government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8" w:name="page19"/>
    <w:bookmarkEnd w:id="18"/>
    <w:p>
      <w:pPr>
        <w:ind w:right="10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“Health Care Laws” means Title XVIII of the Social Security Act, 42 U.S.C. §§ 1395-1395hhh (the Medicare statute); Title XIX of the Social Security Act, 42 U.S.C. §§ 1396-1396v (the Medicaid statute); the Federal Anti-Kickback Statute, 42 U.S.C. § 1320a-7b(b); the civil False Claims Act, 31 U.S.C. §§ 3729 et seq.; the criminal False Claims Act 42 U.S.C. 1320a-7b(a); any criminal laws relating to health care fraud and abuse, including but not limited to 18 U.S.C. Sections 286 and 287 and the health care fraud criminal provisions under the Health Insurance Portability and Accountability Act of 1996, 42 U.S.C. §§ 1320d et seq., (“HIPAA”); the Civil Monetary Penalties Law, 42 U.S.C. §§ 1320a-7a and 1320a-7b; the Exclusion Laws, 42 U.S.C. § 1320a-7; HIPAA, as amended by the Health Information Technology for Economic and Clinical Health Act, 42 U.S.C. §§ 17921 et seq.; the Federal Food, Drug, and Cosmetic Act, 21 U.S.C. §§ 301 et seq.; in each case as amended; the regulations promulgated pursuant to such laws; and any similar federal, state and local laws and regulations.</w:t>
      </w:r>
    </w:p>
    <w:p>
      <w:pPr>
        <w:spacing w:after="0" w:line="70" w:lineRule="exact"/>
        <w:rPr>
          <w:sz w:val="20"/>
          <w:szCs w:val="20"/>
          <w:color w:val="auto"/>
        </w:rPr>
      </w:pPr>
    </w:p>
    <w:p>
      <w:pPr>
        <w:ind w:right="240" w:firstLine="436"/>
        <w:spacing w:after="0" w:line="308" w:lineRule="auto"/>
        <w:tabs>
          <w:tab w:leader="none" w:pos="78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Manufacturing</w:t>
      </w:r>
      <w:r>
        <w:rPr>
          <w:rFonts w:ascii="Arial" w:cs="Arial" w:eastAsia="Arial" w:hAnsi="Arial"/>
          <w:sz w:val="17"/>
          <w:szCs w:val="17"/>
          <w:color w:val="auto"/>
        </w:rPr>
        <w:t>. To the Company’s knowledge, the manufacturing facilities and operations of its suppliers are operated in compliance in all material respects with all applicable statutes, rules, regulations and legal requirements of the Applicable Regulatory Authorities.</w:t>
      </w:r>
    </w:p>
    <w:p>
      <w:pPr>
        <w:spacing w:after="0" w:line="38" w:lineRule="exact"/>
        <w:rPr>
          <w:rFonts w:ascii="Arial" w:cs="Arial" w:eastAsia="Arial" w:hAnsi="Arial"/>
          <w:sz w:val="17"/>
          <w:szCs w:val="17"/>
          <w:color w:val="auto"/>
        </w:rPr>
      </w:pPr>
    </w:p>
    <w:p>
      <w:pPr>
        <w:ind w:firstLine="436"/>
        <w:spacing w:after="0" w:line="268" w:lineRule="auto"/>
        <w:tabs>
          <w:tab w:leader="none" w:pos="78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Clinical Data and Regulatory Compliance</w:t>
      </w:r>
      <w:r>
        <w:rPr>
          <w:rFonts w:ascii="Arial" w:cs="Arial" w:eastAsia="Arial" w:hAnsi="Arial"/>
          <w:sz w:val="17"/>
          <w:szCs w:val="17"/>
          <w:color w:val="auto"/>
        </w:rPr>
        <w:t>. None of the Company’s product candidates have received marketing approval from any Applicable Regulatory Authority. All clinical and pre-clinical studies and trials with respect to the Company’s product candidates conducted or sponsored by the Company (collectively, “</w:t>
      </w:r>
      <w:r>
        <w:rPr>
          <w:rFonts w:ascii="Arial" w:cs="Arial" w:eastAsia="Arial" w:hAnsi="Arial"/>
          <w:sz w:val="17"/>
          <w:szCs w:val="17"/>
          <w:b w:val="1"/>
          <w:bCs w:val="1"/>
          <w:color w:val="auto"/>
        </w:rPr>
        <w:t>Company Trials</w:t>
      </w:r>
      <w:r>
        <w:rPr>
          <w:rFonts w:ascii="Arial" w:cs="Arial" w:eastAsia="Arial" w:hAnsi="Arial"/>
          <w:sz w:val="17"/>
          <w:szCs w:val="17"/>
          <w:color w:val="auto"/>
        </w:rPr>
        <w:t>”), were, and if still pending are, to the Company’s knowledge, being conducted in all material respects in accordance with all applicable Health Care Laws of the Applicable Regulatory Authorities and current Good Clinical Practices and Good Laboratory Practices, unless exempt, study protocols, applicable rules and regulations in the jurisdiction in which such trials and studies are being conducted; the descriptions in the Registration Statement and the Prospectus of the results of any Company Trials are accurate and fair summaries in all material respects and fairly present the data derived therefrom; the Company has not received any written notices, correspondence or other communications from the Applicable Regulatory Authorities or any other governmental entity requiring or threatening the termination, material adverse modification or suspension of Company Trials, other than ordinary course communications in connection with the design and implementation of such studies or trials, and, to the Company’s knowledge, there are no reasonable grounds for the same. No investigational new drug application or comparable submission filed by or on behalf of the Company with the FDA has been terminated or suspended by the FDA or any other Applicable Regulatory Authority. To the Company’s knowledge, none of the Company Trials have involved any investigator who has been disqualified as a clinical investigator or has been found by the FDA to have engaged in scientific misconduct.</w:t>
      </w:r>
    </w:p>
    <w:p>
      <w:pPr>
        <w:spacing w:after="0" w:line="78" w:lineRule="exact"/>
        <w:rPr>
          <w:rFonts w:ascii="Arial" w:cs="Arial" w:eastAsia="Arial" w:hAnsi="Arial"/>
          <w:sz w:val="17"/>
          <w:szCs w:val="17"/>
          <w:color w:val="auto"/>
        </w:rPr>
      </w:pPr>
    </w:p>
    <w:p>
      <w:pPr>
        <w:ind w:firstLine="436"/>
        <w:spacing w:after="0" w:line="277" w:lineRule="auto"/>
        <w:tabs>
          <w:tab w:leader="none" w:pos="72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in all material respects, with all applicable provisions of the Sarbanes-Oxley Act of 2002 and the rules and regulations promulgated thereunder.</w:t>
      </w:r>
    </w:p>
    <w:p>
      <w:pPr>
        <w:spacing w:after="0" w:line="62" w:lineRule="exact"/>
        <w:rPr>
          <w:rFonts w:ascii="Arial" w:cs="Arial" w:eastAsia="Arial" w:hAnsi="Arial"/>
          <w:sz w:val="18"/>
          <w:szCs w:val="18"/>
          <w:color w:val="auto"/>
        </w:rPr>
      </w:pPr>
    </w:p>
    <w:p>
      <w:pPr>
        <w:jc w:val="both"/>
        <w:ind w:right="40" w:firstLine="436"/>
        <w:spacing w:after="0" w:line="263" w:lineRule="auto"/>
        <w:tabs>
          <w:tab w:leader="none" w:pos="74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Duties, Transfer Taxes, Etc</w:t>
      </w:r>
      <w:r>
        <w:rPr>
          <w:rFonts w:ascii="Arial" w:cs="Arial" w:eastAsia="Arial" w:hAnsi="Arial"/>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 w:name="page20"/>
    <w:bookmarkEnd w:id="19"/>
    <w:p>
      <w:pPr>
        <w:ind w:firstLine="436"/>
        <w:spacing w:after="0" w:line="286" w:lineRule="auto"/>
        <w:tabs>
          <w:tab w:leader="none" w:pos="70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Cybersecurity</w:t>
      </w:r>
      <w:r>
        <w:rPr>
          <w:rFonts w:ascii="Arial" w:cs="Arial" w:eastAsia="Arial" w:hAnsi="Arial"/>
          <w:sz w:val="16"/>
          <w:szCs w:val="16"/>
          <w:color w:val="auto"/>
        </w:rPr>
        <w:t>. Except as would not reasonably be expected to have a Material Adverse Change, the Company’s information technology assets and equipment, computers, systems, networks, hardware, software, websites, applications, and databases (collectively, “</w:t>
      </w:r>
      <w:r>
        <w:rPr>
          <w:rFonts w:ascii="Arial" w:cs="Arial" w:eastAsia="Arial" w:hAnsi="Arial"/>
          <w:sz w:val="16"/>
          <w:szCs w:val="16"/>
          <w:b w:val="1"/>
          <w:bCs w:val="1"/>
          <w:color w:val="auto"/>
        </w:rPr>
        <w:t>IT Systems</w:t>
      </w:r>
      <w:r>
        <w:rPr>
          <w:rFonts w:ascii="Arial" w:cs="Arial" w:eastAsia="Arial" w:hAnsi="Arial"/>
          <w:sz w:val="16"/>
          <w:szCs w:val="16"/>
          <w:color w:val="auto"/>
        </w:rPr>
        <w:t>”) are adequate in capacity and operation for, and operate and perform in all material respects as required in connection with the operation of the business of the Company as currently conducted, and to the Company’s knowledge, free and clear of all material Trojan horses, time bombs, malware and other malicious code. The Company has implemented and maintained commercially reasonable controls, policies, procedures, and safeguards to maintain and protect its material confidential information and the integrity, continuous operation, redundancy and security of all IT Systems and personal, sensitive, confidential, or regulated data (including all personal, personally identifiable, sensitive, confidential or regulated data (“</w:t>
      </w:r>
      <w:r>
        <w:rPr>
          <w:rFonts w:ascii="Arial" w:cs="Arial" w:eastAsia="Arial" w:hAnsi="Arial"/>
          <w:sz w:val="16"/>
          <w:szCs w:val="16"/>
          <w:b w:val="1"/>
          <w:bCs w:val="1"/>
          <w:color w:val="auto"/>
        </w:rPr>
        <w:t>Personal Data</w:t>
      </w:r>
      <w:r>
        <w:rPr>
          <w:rFonts w:ascii="Arial" w:cs="Arial" w:eastAsia="Arial" w:hAnsi="Arial"/>
          <w:sz w:val="16"/>
          <w:szCs w:val="16"/>
          <w:color w:val="auto"/>
        </w:rPr>
        <w:t>”)) in the Company’s possession or otherwise subject to its operational control, and there have been no breaches, violations, outages or known unauthorized uses of or known accesses to same, except for those that have been remedied without material cost or liability or the duty to notify any other person, and in each case except as would not reasonably be expected to have a Material Adverse Change. The Company is presently in material compliance with all applicable laws or statutes and all judgments, orders, rules and regulations of any court or arbitrator or governmental or regulatory authority of competent jurisdiction, and all of its internal policies and contractual obligations relating to the privacy and security of IT Systems and Personal Data and to the protection of such IT Systems and Personal Data from unauthorized use, access, misappropriation or modification, except where the failure to be in compliance would not reasonably be expected to have a Material Adverse Change.</w:t>
      </w:r>
    </w:p>
    <w:p>
      <w:pPr>
        <w:spacing w:after="0" w:line="62" w:lineRule="exact"/>
        <w:rPr>
          <w:rFonts w:ascii="Arial" w:cs="Arial" w:eastAsia="Arial" w:hAnsi="Arial"/>
          <w:sz w:val="16"/>
          <w:szCs w:val="16"/>
          <w:color w:val="auto"/>
        </w:rPr>
      </w:pPr>
    </w:p>
    <w:p>
      <w:pPr>
        <w:ind w:right="40" w:firstLine="436"/>
        <w:spacing w:after="0" w:line="285" w:lineRule="auto"/>
        <w:tabs>
          <w:tab w:leader="none" w:pos="785"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Compliance with Data Privacy Laws</w:t>
      </w:r>
      <w:r>
        <w:rPr>
          <w:rFonts w:ascii="Arial" w:cs="Arial" w:eastAsia="Arial" w:hAnsi="Arial"/>
          <w:sz w:val="16"/>
          <w:szCs w:val="16"/>
          <w:color w:val="auto"/>
        </w:rPr>
        <w:t>. The Company is, and at all prior times was, in material compliance with all applicable data privacy and security laws and regulations, including without limitation, as applicable, HIPAA, as amended, and the European Union General Data Protection Regulation (“</w:t>
      </w:r>
      <w:r>
        <w:rPr>
          <w:rFonts w:ascii="Arial" w:cs="Arial" w:eastAsia="Arial" w:hAnsi="Arial"/>
          <w:sz w:val="16"/>
          <w:szCs w:val="16"/>
          <w:b w:val="1"/>
          <w:bCs w:val="1"/>
          <w:color w:val="auto"/>
        </w:rPr>
        <w:t>GDPR</w:t>
      </w:r>
      <w:r>
        <w:rPr>
          <w:rFonts w:ascii="Arial" w:cs="Arial" w:eastAsia="Arial" w:hAnsi="Arial"/>
          <w:sz w:val="16"/>
          <w:szCs w:val="16"/>
          <w:color w:val="auto"/>
        </w:rPr>
        <w:t>”) (EU 2016/679) (and all other applicable laws and regulations with respect to Personal Data (as defined below) that have been announced as of the date hereof as becoming effective within 12 months after the date hereof, and for which any non-compliance with the same would be reasonably likely to create a material liability) as soon as they take effect (collectively, the “</w:t>
      </w:r>
      <w:r>
        <w:rPr>
          <w:rFonts w:ascii="Arial" w:cs="Arial" w:eastAsia="Arial" w:hAnsi="Arial"/>
          <w:sz w:val="16"/>
          <w:szCs w:val="16"/>
          <w:b w:val="1"/>
          <w:bCs w:val="1"/>
          <w:color w:val="auto"/>
        </w:rPr>
        <w:t>Privacy Laws</w:t>
      </w:r>
      <w:r>
        <w:rPr>
          <w:rFonts w:ascii="Arial" w:cs="Arial" w:eastAsia="Arial" w:hAnsi="Arial"/>
          <w:sz w:val="16"/>
          <w:szCs w:val="16"/>
          <w:color w:val="auto"/>
        </w:rPr>
        <w:t>”). To ensure material compliance with the Privacy Laws, the Company has in place and is in material compliance with commercially reasonable policies and procedures relating to data privacy and security and the collection, storage, use, disclosure, handling, and analysis of Personal Data (the “</w:t>
      </w:r>
      <w:r>
        <w:rPr>
          <w:rFonts w:ascii="Arial" w:cs="Arial" w:eastAsia="Arial" w:hAnsi="Arial"/>
          <w:sz w:val="16"/>
          <w:szCs w:val="16"/>
          <w:b w:val="1"/>
          <w:bCs w:val="1"/>
          <w:color w:val="auto"/>
        </w:rPr>
        <w:t>Policies</w:t>
      </w:r>
      <w:r>
        <w:rPr>
          <w:rFonts w:ascii="Arial" w:cs="Arial" w:eastAsia="Arial" w:hAnsi="Arial"/>
          <w:sz w:val="16"/>
          <w:szCs w:val="16"/>
          <w:color w:val="auto"/>
        </w:rPr>
        <w:t>”) as applicable. The Company has since inception made all disclosures to users or customers required by applicable laws and regulatory rules or requirements, and has provided accurate notice of its Policies then in effect to its customers, employees, third party vendors and representatives as required by applicable laws and regulatory rules or requirements, except where the failure to do so would not, individually or in the aggregate, have a Material Adverse Change. None of such disclosures made or contained in any of the Policies have been inaccurate, misleading, deceptive or in violation of any Privacy Laws or Policies in any material respect. The execution, delivery and performance of this Agreement or any other agreement referred to in this Agreement will not result in a breach of violation of any Privacy Laws or Policies. Except as would not, individually or in the aggregate, have a Material Adverse Change, the Company: (i) has not received notice of any actual or potential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or (iii) is not a party to any order, decree, or agreement that imposes any obligation or liability under any Privacy Law.</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0" w:name="page21"/>
    <w:bookmarkEnd w:id="20"/>
    <w:p>
      <w:pPr>
        <w:ind w:right="120" w:firstLine="436"/>
        <w:spacing w:after="0" w:line="286" w:lineRule="auto"/>
        <w:tabs>
          <w:tab w:leader="none" w:pos="78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Emerging Growth Company Status</w:t>
      </w:r>
      <w:r>
        <w:rPr>
          <w:rFonts w:ascii="Arial" w:cs="Arial" w:eastAsia="Arial" w:hAnsi="Arial"/>
          <w:sz w:val="17"/>
          <w:szCs w:val="17"/>
          <w:color w:val="auto"/>
        </w:rPr>
        <w:t>. On the date of the initial filing of the Registration Statement with the Commission, the Company has been and is an “emerging growth company,” as defined in Section 2(a) of the Securities Act (an “</w:t>
      </w:r>
      <w:r>
        <w:rPr>
          <w:rFonts w:ascii="Arial" w:cs="Arial" w:eastAsia="Arial" w:hAnsi="Arial"/>
          <w:sz w:val="17"/>
          <w:szCs w:val="17"/>
          <w:b w:val="1"/>
          <w:bCs w:val="1"/>
          <w:color w:val="auto"/>
        </w:rPr>
        <w:t>Emerging Growth Company</w:t>
      </w:r>
      <w:r>
        <w:rPr>
          <w:rFonts w:ascii="Arial" w:cs="Arial" w:eastAsia="Arial" w:hAnsi="Arial"/>
          <w:sz w:val="17"/>
          <w:szCs w:val="17"/>
          <w:color w:val="auto"/>
        </w:rPr>
        <w:t>”); provided, however, that the Company is expected to cease being an Emerging Growth Company as of December 31, 2021.</w:t>
      </w:r>
    </w:p>
    <w:p>
      <w:pPr>
        <w:spacing w:after="0" w:line="57" w:lineRule="exact"/>
        <w:rPr>
          <w:rFonts w:ascii="Arial" w:cs="Arial" w:eastAsia="Arial" w:hAnsi="Arial"/>
          <w:sz w:val="17"/>
          <w:szCs w:val="17"/>
          <w:color w:val="auto"/>
        </w:rPr>
      </w:pPr>
    </w:p>
    <w:p>
      <w:pPr>
        <w:ind w:right="60" w:firstLine="436"/>
        <w:spacing w:after="0" w:line="263" w:lineRule="auto"/>
        <w:tabs>
          <w:tab w:leader="none" w:pos="86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r>
        <w:rPr>
          <w:rFonts w:ascii="Arial" w:cs="Arial" w:eastAsia="Arial" w:hAnsi="Arial"/>
          <w:sz w:val="18"/>
          <w:szCs w:val="18"/>
          <w:color w:val="auto"/>
        </w:rPr>
        <w:t>. There are no off-balance sheet arrangements (as defined in Regulation S-K Item 303(a)(4)(ii) of the Act) that have or are reasonably likely to have a Material Adverse Change on the Company’s financial condition, changes in financial condition, results of operations, liquidity, capital expenditures or capital resources.</w:t>
      </w:r>
    </w:p>
    <w:p>
      <w:pPr>
        <w:spacing w:after="0" w:line="75" w:lineRule="exact"/>
        <w:rPr>
          <w:rFonts w:ascii="Arial" w:cs="Arial" w:eastAsia="Arial" w:hAnsi="Arial"/>
          <w:sz w:val="18"/>
          <w:szCs w:val="18"/>
          <w:color w:val="auto"/>
        </w:rPr>
      </w:pPr>
    </w:p>
    <w:p>
      <w:pPr>
        <w:ind w:right="220" w:firstLine="436"/>
        <w:spacing w:after="0" w:line="308" w:lineRule="auto"/>
        <w:tabs>
          <w:tab w:leader="none" w:pos="78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No Ratings</w:t>
      </w:r>
      <w:r>
        <w:rPr>
          <w:rFonts w:ascii="Arial" w:cs="Arial" w:eastAsia="Arial" w:hAnsi="Arial"/>
          <w:sz w:val="17"/>
          <w:szCs w:val="17"/>
          <w:color w:val="auto"/>
        </w:rPr>
        <w:t>. There are no debt securities, convertible securities or preferred stock issued or guaranteed by the Company that are rated by a “nationally recognized statistical rating organization”, as such term is defined in Section 3(a)(62) under the Exchange Act.</w:t>
      </w:r>
    </w:p>
    <w:p>
      <w:pPr>
        <w:spacing w:after="0" w:line="38" w:lineRule="exact"/>
        <w:rPr>
          <w:rFonts w:ascii="Arial" w:cs="Arial" w:eastAsia="Arial" w:hAnsi="Arial"/>
          <w:sz w:val="17"/>
          <w:szCs w:val="17"/>
          <w:color w:val="auto"/>
        </w:rPr>
      </w:pPr>
    </w:p>
    <w:p>
      <w:pPr>
        <w:ind w:right="40" w:firstLine="436"/>
        <w:spacing w:after="0" w:line="277" w:lineRule="auto"/>
        <w:tabs>
          <w:tab w:leader="none" w:pos="78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62"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Any certificate signed by any officer or representative of the Company and delivered to the Agent or counsel for the Agent in connection with an issuance of Shares shall be deemed a representation and warranty by the Company to the Agent as to the matters covered thereby on the date of such certificate.</w:t>
      </w:r>
    </w:p>
    <w:p>
      <w:pPr>
        <w:spacing w:after="0" w:line="76"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The Company acknowledges that the Agent and, for purposes of the opinions to be delivered pursuant to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5(a)(v)</w:t>
      </w:r>
      <w:r>
        <w:rPr>
          <w:rFonts w:ascii="Arial" w:cs="Arial" w:eastAsia="Arial" w:hAnsi="Arial"/>
          <w:sz w:val="18"/>
          <w:szCs w:val="18"/>
          <w:color w:val="auto"/>
        </w:rPr>
        <w:t xml:space="preserve"> hereof, counsel to the Company and counsel to the Agent, will rely upon the accuracy and truthfulness of the foregoing representations and hereby consents to such reliance.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ISSUANCE AND SALE OF COMMON SHARES</w:t>
      </w:r>
    </w:p>
    <w:p>
      <w:pPr>
        <w:spacing w:after="0" w:line="121" w:lineRule="exact"/>
        <w:rPr>
          <w:sz w:val="20"/>
          <w:szCs w:val="20"/>
          <w:color w:val="auto"/>
        </w:rPr>
      </w:pPr>
    </w:p>
    <w:p>
      <w:pPr>
        <w:ind w:firstLine="436"/>
        <w:spacing w:after="0" w:line="259" w:lineRule="auto"/>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117" w:lineRule="exact"/>
        <w:rPr>
          <w:sz w:val="20"/>
          <w:szCs w:val="20"/>
          <w:color w:val="auto"/>
        </w:rPr>
      </w:pPr>
    </w:p>
    <w:p>
      <w:pPr>
        <w:ind w:right="120" w:firstLine="436"/>
        <w:spacing w:after="0" w:line="301"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Issuance Notice</w:t>
      </w:r>
      <w:r>
        <w:rPr>
          <w:rFonts w:ascii="Arial" w:cs="Arial" w:eastAsia="Arial" w:hAnsi="Arial"/>
          <w:sz w:val="16"/>
          <w:szCs w:val="16"/>
          <w:color w:val="auto"/>
        </w:rPr>
        <w:t xml:space="preserve">. Upon the terms and subject to the conditions set forth herein, on any Trading Day during the Agency Period on which the conditions set forth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have been satisfied, the Company may exercise its right to request an issuance of Shares by delivering to the Agent an Issuance Notice;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(A) in no event may the Company deliver an Issuance Notice to the extent that the sum of (x) the aggregate Sales Price of the requested Issuance Amount, plus (y) the aggregate Sales Price of all Shares issued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40" w:top="274" w:right="519" w:bottom="1440" w:gutter="0" w:footer="0" w:header="0"/>
        </w:sectPr>
      </w:pPr>
    </w:p>
    <w:bookmarkStart w:id="21" w:name="page22"/>
    <w:bookmarkEnd w:id="21"/>
    <w:p>
      <w:pPr>
        <w:ind w:left="4"/>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80" w:lineRule="exact"/>
        <w:rPr>
          <w:sz w:val="20"/>
          <w:szCs w:val="20"/>
          <w:color w:val="auto"/>
        </w:rPr>
      </w:pPr>
    </w:p>
    <w:p>
      <w:pPr>
        <w:ind w:left="4" w:firstLine="436"/>
        <w:spacing w:after="0" w:line="296" w:lineRule="auto"/>
        <w:tabs>
          <w:tab w:leader="none" w:pos="709"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Agent Efforts</w:t>
      </w:r>
      <w:r>
        <w:rPr>
          <w:rFonts w:ascii="Arial" w:cs="Arial" w:eastAsia="Arial" w:hAnsi="Arial"/>
          <w:sz w:val="16"/>
          <w:szCs w:val="16"/>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53" w:lineRule="exact"/>
        <w:rPr>
          <w:rFonts w:ascii="Arial" w:cs="Arial" w:eastAsia="Arial" w:hAnsi="Arial"/>
          <w:sz w:val="16"/>
          <w:szCs w:val="16"/>
          <w:color w:val="auto"/>
        </w:rPr>
      </w:pPr>
    </w:p>
    <w:p>
      <w:pPr>
        <w:ind w:left="764" w:hanging="324"/>
        <w:spacing w:after="0"/>
        <w:tabs>
          <w:tab w:leader="none" w:pos="764"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Method of Offer and Sale</w:t>
      </w:r>
      <w:r>
        <w:rPr>
          <w:rFonts w:ascii="Arial" w:cs="Arial" w:eastAsia="Arial" w:hAnsi="Arial"/>
          <w:sz w:val="16"/>
          <w:szCs w:val="16"/>
          <w:color w:val="auto"/>
        </w:rPr>
        <w:t>. The Shares may be offered and sold (A) in privately negotiated transactions with the consent of the Company;</w:t>
      </w:r>
    </w:p>
    <w:p>
      <w:pPr>
        <w:spacing w:after="0" w:line="46" w:lineRule="exact"/>
        <w:rPr>
          <w:rFonts w:ascii="Arial" w:cs="Arial" w:eastAsia="Arial" w:hAnsi="Arial"/>
          <w:sz w:val="16"/>
          <w:szCs w:val="16"/>
          <w:color w:val="auto"/>
        </w:rPr>
      </w:pPr>
    </w:p>
    <w:p>
      <w:pPr>
        <w:ind w:left="4" w:right="100" w:hanging="4"/>
        <w:spacing w:after="0" w:line="295" w:lineRule="auto"/>
        <w:tabs>
          <w:tab w:leader="none" w:pos="2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53" w:lineRule="exact"/>
        <w:rPr>
          <w:rFonts w:ascii="Arial" w:cs="Arial" w:eastAsia="Arial" w:hAnsi="Arial"/>
          <w:sz w:val="16"/>
          <w:szCs w:val="16"/>
          <w:color w:val="auto"/>
        </w:rPr>
      </w:pPr>
    </w:p>
    <w:p>
      <w:pPr>
        <w:ind w:left="4" w:right="20" w:firstLine="436"/>
        <w:spacing w:after="0" w:line="286" w:lineRule="auto"/>
        <w:tabs>
          <w:tab w:leader="none" w:pos="749"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Confirmation to the Company</w:t>
      </w:r>
      <w:r>
        <w:rPr>
          <w:rFonts w:ascii="Arial" w:cs="Arial" w:eastAsia="Arial" w:hAnsi="Arial"/>
          <w:sz w:val="17"/>
          <w:szCs w:val="17"/>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57" w:lineRule="exact"/>
        <w:rPr>
          <w:rFonts w:ascii="Arial" w:cs="Arial" w:eastAsia="Arial" w:hAnsi="Arial"/>
          <w:sz w:val="17"/>
          <w:szCs w:val="17"/>
          <w:color w:val="auto"/>
        </w:rPr>
      </w:pPr>
    </w:p>
    <w:p>
      <w:pPr>
        <w:ind w:left="4" w:right="20" w:firstLine="436"/>
        <w:spacing w:after="0" w:line="291" w:lineRule="auto"/>
        <w:tabs>
          <w:tab w:leader="none" w:pos="699"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Settlement</w:t>
      </w:r>
      <w:r>
        <w:rPr>
          <w:rFonts w:ascii="Arial" w:cs="Arial" w:eastAsia="Arial" w:hAnsi="Arial"/>
          <w:sz w:val="16"/>
          <w:szCs w:val="16"/>
          <w:color w:val="auto"/>
        </w:rPr>
        <w:t xml:space="preserve">. Each issuance of Shares will be settled on the applicable Settlement Date for such issuance of Shares and, subject to the provisions of </w:t>
      </w:r>
      <w:r>
        <w:rPr>
          <w:rFonts w:ascii="Arial" w:cs="Arial" w:eastAsia="Arial" w:hAnsi="Arial"/>
          <w:sz w:val="16"/>
          <w:szCs w:val="16"/>
          <w:u w:val="single" w:color="auto"/>
          <w:color w:val="auto"/>
        </w:rPr>
        <w:t>Section 5</w:t>
      </w:r>
      <w:r>
        <w:rPr>
          <w:rFonts w:ascii="Arial" w:cs="Arial" w:eastAsia="Arial" w:hAnsi="Arial"/>
          <w:sz w:val="16"/>
          <w:szCs w:val="16"/>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6"/>
          <w:szCs w:val="16"/>
          <w:b w:val="1"/>
          <w:bCs w:val="1"/>
          <w:color w:val="auto"/>
        </w:rPr>
        <w:t>Time of Sale</w:t>
      </w:r>
      <w:r>
        <w:rPr>
          <w:rFonts w:ascii="Arial" w:cs="Arial" w:eastAsia="Arial" w:hAnsi="Arial"/>
          <w:sz w:val="16"/>
          <w:szCs w:val="16"/>
          <w:color w:val="auto"/>
        </w:rPr>
        <w:t>”).</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22" w:name="page23"/>
    <w:bookmarkEnd w:id="22"/>
    <w:p>
      <w:pPr>
        <w:ind w:left="-20" w:firstLine="436"/>
        <w:spacing w:after="0" w:line="287" w:lineRule="auto"/>
        <w:tabs>
          <w:tab w:leader="none" w:pos="72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Suspension or Termination of Sales</w:t>
      </w:r>
      <w:r>
        <w:rPr>
          <w:rFonts w:ascii="Arial" w:cs="Arial" w:eastAsia="Arial" w:hAnsi="Arial"/>
          <w:sz w:val="16"/>
          <w:szCs w:val="16"/>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6"/>
          <w:szCs w:val="16"/>
          <w:u w:val="single" w:color="auto"/>
          <w:color w:val="auto"/>
        </w:rPr>
        <w:t>Section 3(b)(v)</w:t>
      </w:r>
      <w:r>
        <w:rPr>
          <w:rFonts w:ascii="Arial" w:cs="Arial" w:eastAsia="Arial" w:hAnsi="Arial"/>
          <w:sz w:val="16"/>
          <w:szCs w:val="16"/>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6"/>
          <w:szCs w:val="16"/>
          <w:u w:val="single" w:color="auto"/>
          <w:color w:val="auto"/>
        </w:rPr>
        <w:t>Section 3(b)(i)</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ind w:left="-20" w:firstLine="436"/>
        <w:spacing w:after="0" w:line="259" w:lineRule="auto"/>
        <w:tabs>
          <w:tab w:leader="none" w:pos="77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78" w:lineRule="exact"/>
        <w:rPr>
          <w:rFonts w:ascii="Arial" w:cs="Arial" w:eastAsia="Arial" w:hAnsi="Arial"/>
          <w:sz w:val="18"/>
          <w:szCs w:val="18"/>
          <w:color w:val="auto"/>
        </w:rPr>
      </w:pPr>
    </w:p>
    <w:p>
      <w:pPr>
        <w:ind w:left="-20" w:right="220" w:firstLine="436"/>
        <w:spacing w:after="0" w:line="263" w:lineRule="auto"/>
        <w:tabs>
          <w:tab w:leader="none" w:pos="82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76" w:lineRule="exact"/>
        <w:rPr>
          <w:sz w:val="20"/>
          <w:szCs w:val="20"/>
          <w:color w:val="auto"/>
        </w:rPr>
      </w:pPr>
    </w:p>
    <w:p>
      <w:pPr>
        <w:jc w:val="both"/>
        <w:ind w:left="-20" w:right="20" w:firstLine="436"/>
        <w:spacing w:after="0" w:line="263" w:lineRule="auto"/>
        <w:tabs>
          <w:tab w:leader="none" w:pos="66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xml:space="preserve"> by the Agent deducting the Selling Commission from the applicable Issuance Amount.</w:t>
      </w:r>
    </w:p>
    <w:p>
      <w:pPr>
        <w:spacing w:after="0" w:line="75" w:lineRule="exact"/>
        <w:rPr>
          <w:rFonts w:ascii="Arial" w:cs="Arial" w:eastAsia="Arial" w:hAnsi="Arial"/>
          <w:sz w:val="18"/>
          <w:szCs w:val="18"/>
          <w:color w:val="auto"/>
        </w:rPr>
      </w:pPr>
    </w:p>
    <w:p>
      <w:pPr>
        <w:ind w:left="-20" w:firstLine="436"/>
        <w:spacing w:after="0" w:line="269" w:lineRule="auto"/>
        <w:tabs>
          <w:tab w:leader="none" w:pos="67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7"/>
          <w:szCs w:val="17"/>
          <w:b w:val="1"/>
          <w:bCs w:val="1"/>
          <w:color w:val="auto"/>
        </w:rPr>
        <w:t>Blue Sky Survey</w:t>
      </w:r>
      <w:r>
        <w:rPr>
          <w:rFonts w:ascii="Arial" w:cs="Arial" w:eastAsia="Arial" w:hAnsi="Arial"/>
          <w:sz w:val="17"/>
          <w:szCs w:val="17"/>
          <w:color w:val="auto"/>
        </w:rPr>
        <w:t>” or memorandum and a Canadian wrapper,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274" w:right="479" w:bottom="1440" w:gutter="0" w:footer="0" w:header="0"/>
        </w:sectPr>
      </w:pPr>
    </w:p>
    <w:bookmarkStart w:id="23" w:name="page24"/>
    <w:bookmarkEnd w:id="23"/>
    <w:p>
      <w:pPr>
        <w:jc w:val="both"/>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supplements thereto, advising the Agent of such qualifications, registrations, determinations and exemptions; (vii) the reasonable and documented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w:t>
      </w:r>
    </w:p>
    <w:p>
      <w:pPr>
        <w:spacing w:after="0" w:line="2" w:lineRule="exact"/>
        <w:rPr>
          <w:sz w:val="20"/>
          <w:szCs w:val="20"/>
          <w:color w:val="auto"/>
        </w:rPr>
      </w:pPr>
    </w:p>
    <w:p>
      <w:pPr>
        <w:ind w:left="4" w:right="40" w:hanging="4"/>
        <w:spacing w:after="0" w:line="268" w:lineRule="auto"/>
        <w:tabs>
          <w:tab w:leader="none" w:pos="309"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the execution of this Agreement and (B) $15,000 in connection with each Triggering Event Date (as defined below) on which the Company is required to provide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4. ADDITIONAL COVENANTS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left="4" w:right="60" w:firstLine="436"/>
        <w:spacing w:after="0" w:line="254" w:lineRule="auto"/>
        <w:tabs>
          <w:tab w:leader="none" w:pos="689"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Exchange Act Compliance</w:t>
      </w:r>
      <w:r>
        <w:rPr>
          <w:rFonts w:ascii="Arial" w:cs="Arial" w:eastAsia="Arial" w:hAnsi="Arial"/>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8"/>
          <w:szCs w:val="18"/>
          <w:b w:val="1"/>
          <w:bCs w:val="1"/>
          <w:color w:val="auto"/>
        </w:rPr>
        <w:t>Interim</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 Supplement”)</w:t>
      </w:r>
      <w:r>
        <w:rPr>
          <w:rFonts w:ascii="Arial" w:cs="Arial" w:eastAsia="Arial" w:hAnsi="Arial"/>
          <w:sz w:val="18"/>
          <w:szCs w:val="18"/>
          <w:color w:val="auto"/>
        </w:rPr>
        <w:t>, such summary information and, at least once a quarter and subject to this Section 4, file such Interim Prospectus</w:t>
      </w:r>
      <w:r>
        <w:rPr>
          <w:rFonts w:ascii="Arial" w:cs="Arial" w:eastAsia="Arial" w:hAnsi="Arial"/>
          <w:sz w:val="18"/>
          <w:szCs w:val="18"/>
          <w:b w:val="1"/>
          <w:bCs w:val="1"/>
          <w:color w:val="auto"/>
        </w:rPr>
        <w:t xml:space="preserve"> </w:t>
      </w:r>
      <w:r>
        <w:rPr>
          <w:rFonts w:ascii="Arial" w:cs="Arial" w:eastAsia="Arial" w:hAnsi="Arial"/>
          <w:sz w:val="18"/>
          <w:szCs w:val="18"/>
          <w:color w:val="auto"/>
        </w:rPr>
        <w:t>Supplement pursuant to Rule 424(b) under the Securities Act (and within the time periods required by Rule 424(b) and Rule 430B under the Securities Act)).</w:t>
      </w:r>
    </w:p>
    <w:p>
      <w:pPr>
        <w:spacing w:after="0" w:line="83" w:lineRule="exact"/>
        <w:rPr>
          <w:rFonts w:ascii="Arial" w:cs="Arial" w:eastAsia="Arial" w:hAnsi="Arial"/>
          <w:sz w:val="18"/>
          <w:szCs w:val="18"/>
          <w:color w:val="auto"/>
        </w:rPr>
      </w:pPr>
    </w:p>
    <w:p>
      <w:pPr>
        <w:ind w:left="4" w:firstLine="436"/>
        <w:spacing w:after="0" w:line="271" w:lineRule="auto"/>
        <w:tabs>
          <w:tab w:leader="none" w:pos="699"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Securities Act Compliance</w:t>
      </w:r>
      <w:r>
        <w:rPr>
          <w:rFonts w:ascii="Arial" w:cs="Arial" w:eastAsia="Arial" w:hAnsi="Arial"/>
          <w:sz w:val="17"/>
          <w:szCs w:val="17"/>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24" w:name="page25"/>
    <w:bookmarkEnd w:id="24"/>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49" w:lineRule="exact"/>
        <w:rPr>
          <w:sz w:val="20"/>
          <w:szCs w:val="20"/>
          <w:color w:val="auto"/>
        </w:rPr>
      </w:pPr>
    </w:p>
    <w:p>
      <w:pPr>
        <w:ind w:right="80" w:firstLine="436"/>
        <w:spacing w:after="0" w:line="288" w:lineRule="auto"/>
        <w:tabs>
          <w:tab w:leader="none" w:pos="68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Amendments and Supplements to the Prospectus and Other Securities Act Matters</w:t>
      </w:r>
      <w:r>
        <w:rPr>
          <w:rFonts w:ascii="Arial" w:cs="Arial" w:eastAsia="Arial" w:hAnsi="Arial"/>
          <w:sz w:val="16"/>
          <w:szCs w:val="16"/>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not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spacing w:after="0" w:line="60" w:lineRule="exact"/>
        <w:rPr>
          <w:rFonts w:ascii="Arial" w:cs="Arial" w:eastAsia="Arial" w:hAnsi="Arial"/>
          <w:sz w:val="16"/>
          <w:szCs w:val="16"/>
          <w:color w:val="auto"/>
        </w:rPr>
      </w:pPr>
    </w:p>
    <w:p>
      <w:pPr>
        <w:ind w:right="20" w:firstLine="436"/>
        <w:spacing w:after="0" w:line="254"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Agent’s Review of Proposed Amendments and Supplements</w:t>
      </w:r>
      <w:r>
        <w:rPr>
          <w:rFonts w:ascii="Arial" w:cs="Arial" w:eastAsia="Arial" w:hAnsi="Arial"/>
          <w:sz w:val="18"/>
          <w:szCs w:val="18"/>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such consent not to be unreasonably withheld, conditioned or delayed, and to file with the Commission within the applicable period specified in Rule 424(b) under the Securities Act any prospectus required to be filed pursuant to such Rule.</w:t>
      </w:r>
    </w:p>
    <w:p>
      <w:pPr>
        <w:spacing w:after="0" w:line="86" w:lineRule="exact"/>
        <w:rPr>
          <w:rFonts w:ascii="Arial" w:cs="Arial" w:eastAsia="Arial" w:hAnsi="Arial"/>
          <w:sz w:val="18"/>
          <w:szCs w:val="18"/>
          <w:color w:val="auto"/>
        </w:rPr>
      </w:pPr>
    </w:p>
    <w:p>
      <w:pPr>
        <w:jc w:val="both"/>
        <w:ind w:right="60" w:firstLine="436"/>
        <w:spacing w:after="0" w:line="259" w:lineRule="auto"/>
        <w:tabs>
          <w:tab w:leader="none" w:pos="68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firstLine="436"/>
        <w:spacing w:after="0" w:line="259"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Free Writing Prospectuses</w:t>
      </w:r>
      <w:r>
        <w:rPr>
          <w:rFonts w:ascii="Arial" w:cs="Arial" w:eastAsia="Arial" w:hAnsi="Arial"/>
          <w:sz w:val="18"/>
          <w:szCs w:val="18"/>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5" w:name="page26"/>
    <w:bookmarkEnd w:id="2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consent, such consent not to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such consent not to be unreasonably withheld, conditioned or delayed.</w:t>
      </w:r>
    </w:p>
    <w:p>
      <w:pPr>
        <w:spacing w:after="0" w:line="76" w:lineRule="exact"/>
        <w:rPr>
          <w:sz w:val="20"/>
          <w:szCs w:val="20"/>
          <w:color w:val="auto"/>
        </w:rPr>
      </w:pPr>
    </w:p>
    <w:p>
      <w:pPr>
        <w:ind w:right="220" w:firstLine="436"/>
        <w:spacing w:after="0" w:line="26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75" w:lineRule="exact"/>
        <w:rPr>
          <w:rFonts w:ascii="Arial" w:cs="Arial" w:eastAsia="Arial" w:hAnsi="Arial"/>
          <w:sz w:val="18"/>
          <w:szCs w:val="18"/>
          <w:color w:val="auto"/>
        </w:rPr>
      </w:pPr>
    </w:p>
    <w:p>
      <w:pPr>
        <w:jc w:val="both"/>
        <w:ind w:right="300" w:firstLine="436"/>
        <w:spacing w:after="0" w:line="286"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1" w:lineRule="exact"/>
        <w:rPr>
          <w:rFonts w:ascii="Arial" w:cs="Arial" w:eastAsia="Arial" w:hAnsi="Arial"/>
          <w:sz w:val="16"/>
          <w:szCs w:val="16"/>
          <w:color w:val="auto"/>
        </w:rPr>
      </w:pPr>
    </w:p>
    <w:p>
      <w:pPr>
        <w:ind w:right="60"/>
        <w:spacing w:after="0" w:line="286" w:lineRule="auto"/>
        <w:rPr>
          <w:rFonts w:ascii="Arial" w:cs="Arial" w:eastAsia="Arial" w:hAnsi="Arial"/>
          <w:sz w:val="16"/>
          <w:szCs w:val="16"/>
          <w:color w:val="auto"/>
        </w:rPr>
      </w:pPr>
      <w:r>
        <w:rPr>
          <w:rFonts w:ascii="Arial" w:cs="Arial" w:eastAsia="Arial" w:hAnsi="Arial"/>
          <w:sz w:val="16"/>
          <w:szCs w:val="16"/>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63" w:lineRule="exact"/>
        <w:rPr>
          <w:sz w:val="20"/>
          <w:szCs w:val="20"/>
          <w:color w:val="auto"/>
        </w:rPr>
      </w:pPr>
    </w:p>
    <w:p>
      <w:pPr>
        <w:ind w:right="120" w:firstLine="436"/>
        <w:spacing w:after="0" w:line="270"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Blue Sky Compliance</w:t>
      </w:r>
      <w:r>
        <w:rPr>
          <w:rFonts w:ascii="Arial" w:cs="Arial" w:eastAsia="Arial" w:hAnsi="Arial"/>
          <w:sz w:val="17"/>
          <w:szCs w:val="17"/>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as soon as practicable.</w:t>
      </w:r>
    </w:p>
    <w:p>
      <w:pPr>
        <w:spacing w:after="0" w:line="72" w:lineRule="exact"/>
        <w:rPr>
          <w:rFonts w:ascii="Arial" w:cs="Arial" w:eastAsia="Arial" w:hAnsi="Arial"/>
          <w:sz w:val="17"/>
          <w:szCs w:val="17"/>
          <w:color w:val="auto"/>
        </w:rPr>
      </w:pPr>
    </w:p>
    <w:p>
      <w:pPr>
        <w:ind w:right="80" w:firstLine="436"/>
        <w:spacing w:after="0" w:line="311"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40" w:lineRule="exact"/>
        <w:rPr>
          <w:rFonts w:ascii="Arial" w:cs="Arial" w:eastAsia="Arial" w:hAnsi="Arial"/>
          <w:sz w:val="16"/>
          <w:szCs w:val="16"/>
          <w:color w:val="auto"/>
        </w:rPr>
      </w:pPr>
    </w:p>
    <w:p>
      <w:pPr>
        <w:jc w:val="both"/>
        <w:ind w:right="300" w:firstLine="436"/>
        <w:spacing w:after="0" w:line="263"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117" w:lineRule="exact"/>
        <w:rPr>
          <w:rFonts w:ascii="Arial" w:cs="Arial" w:eastAsia="Arial" w:hAnsi="Arial"/>
          <w:sz w:val="18"/>
          <w:szCs w:val="18"/>
          <w:color w:val="auto"/>
        </w:rPr>
      </w:pPr>
    </w:p>
    <w:p>
      <w:pPr>
        <w:ind w:right="220" w:firstLine="436"/>
        <w:spacing w:after="0" w:line="259" w:lineRule="auto"/>
        <w:tabs>
          <w:tab w:leader="none" w:pos="74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78" w:lineRule="exact"/>
        <w:rPr>
          <w:rFonts w:ascii="Arial" w:cs="Arial" w:eastAsia="Arial" w:hAnsi="Arial"/>
          <w:sz w:val="18"/>
          <w:szCs w:val="18"/>
          <w:color w:val="auto"/>
        </w:rPr>
      </w:pPr>
    </w:p>
    <w:p>
      <w:pPr>
        <w:ind w:right="60" w:firstLine="436"/>
        <w:spacing w:after="0" w:line="301"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7" w:name="page28"/>
    <w:bookmarkEnd w:id="27"/>
    <w:p>
      <w:pPr>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79" w:lineRule="exact"/>
        <w:rPr>
          <w:sz w:val="20"/>
          <w:szCs w:val="20"/>
          <w:color w:val="auto"/>
        </w:rPr>
      </w:pPr>
    </w:p>
    <w:p>
      <w:pPr>
        <w:ind w:left="4" w:right="180" w:firstLine="436"/>
        <w:spacing w:after="0" w:line="277" w:lineRule="auto"/>
        <w:tabs>
          <w:tab w:leader="none" w:pos="69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xml:space="preserve"> The Company agrees that on or prior to the date of the first Issuance Notice and, during the term of this Agreement after the date of the first Issuance Notice, upon:</w:t>
      </w:r>
    </w:p>
    <w:p>
      <w:pPr>
        <w:spacing w:after="0" w:line="62" w:lineRule="exact"/>
        <w:rPr>
          <w:rFonts w:ascii="Arial" w:cs="Arial" w:eastAsia="Arial" w:hAnsi="Arial"/>
          <w:sz w:val="18"/>
          <w:szCs w:val="18"/>
          <w:color w:val="auto"/>
        </w:rPr>
      </w:pPr>
    </w:p>
    <w:p>
      <w:pPr>
        <w:ind w:left="4" w:right="20" w:firstLine="987"/>
        <w:spacing w:after="0" w:line="311" w:lineRule="auto"/>
        <w:tabs>
          <w:tab w:leader="none" w:pos="129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40" w:lineRule="exact"/>
        <w:rPr>
          <w:rFonts w:ascii="Arial" w:cs="Arial" w:eastAsia="Arial" w:hAnsi="Arial"/>
          <w:sz w:val="16"/>
          <w:szCs w:val="16"/>
          <w:color w:val="auto"/>
        </w:rPr>
      </w:pPr>
    </w:p>
    <w:p>
      <w:pPr>
        <w:ind w:left="4" w:right="40" w:firstLine="987"/>
        <w:spacing w:after="0" w:line="263" w:lineRule="auto"/>
        <w:tabs>
          <w:tab w:leader="none" w:pos="1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75" w:lineRule="exact"/>
        <w:rPr>
          <w:rFonts w:ascii="Arial" w:cs="Arial" w:eastAsia="Arial" w:hAnsi="Arial"/>
          <w:sz w:val="18"/>
          <w:szCs w:val="18"/>
          <w:color w:val="auto"/>
        </w:rPr>
      </w:pPr>
    </w:p>
    <w:p>
      <w:pPr>
        <w:ind w:left="4" w:right="60" w:firstLine="987"/>
        <w:spacing w:after="0" w:line="259" w:lineRule="auto"/>
        <w:tabs>
          <w:tab w:leader="none" w:pos="12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such event described in clauses (A) through (C) above, a “</w:t>
      </w:r>
      <w:r>
        <w:rPr>
          <w:rFonts w:ascii="Arial" w:cs="Arial" w:eastAsia="Arial" w:hAnsi="Arial"/>
          <w:sz w:val="16"/>
          <w:szCs w:val="16"/>
          <w:b w:val="1"/>
          <w:bCs w:val="1"/>
          <w:color w:val="auto"/>
        </w:rPr>
        <w:t>Triggering Event Date</w:t>
      </w:r>
      <w:r>
        <w:rPr>
          <w:rFonts w:ascii="Arial" w:cs="Arial" w:eastAsia="Arial" w:hAnsi="Arial"/>
          <w:sz w:val="16"/>
          <w:szCs w:val="16"/>
          <w:color w:val="auto"/>
        </w:rPr>
        <w:t>”), the Company shall furnish the Agent (but in the case of clause</w:t>
      </w:r>
    </w:p>
    <w:p>
      <w:pPr>
        <w:spacing w:after="0" w:line="50" w:lineRule="exact"/>
        <w:rPr>
          <w:sz w:val="20"/>
          <w:szCs w:val="20"/>
          <w:color w:val="auto"/>
        </w:rPr>
      </w:pPr>
    </w:p>
    <w:p>
      <w:pPr>
        <w:ind w:left="4" w:hanging="4"/>
        <w:spacing w:after="0" w:line="267" w:lineRule="auto"/>
        <w:tabs>
          <w:tab w:leader="none" w:pos="289"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7"/>
          <w:szCs w:val="17"/>
          <w:u w:val="single" w:color="auto"/>
          <w:color w:val="auto"/>
        </w:rPr>
        <w:t>Section 5(a)(iii)</w:t>
      </w:r>
      <w:r>
        <w:rPr>
          <w:rFonts w:ascii="Arial" w:cs="Arial" w:eastAsia="Arial" w:hAnsi="Arial"/>
          <w:sz w:val="17"/>
          <w:szCs w:val="17"/>
          <w:color w:val="auto"/>
        </w:rPr>
        <w:t xml:space="preserve"> hereof, and (C) containing any other certification that the Agent shall reasonably request. The requirement to provide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7"/>
          <w:szCs w:val="17"/>
          <w:u w:val="single" w:color="auto"/>
          <w:color w:val="auto"/>
        </w:rPr>
        <w:t>Section 4(o</w:t>
      </w:r>
      <w:r>
        <w:rPr>
          <w:rFonts w:ascii="Arial" w:cs="Arial" w:eastAsia="Arial" w:hAnsi="Arial"/>
          <w:sz w:val="17"/>
          <w:szCs w:val="17"/>
          <w:color w:val="auto"/>
        </w:rPr>
        <w:t>) dated as of the date that the instructions for the sale of Shares are issued.</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28" w:name="page29"/>
    <w:bookmarkEnd w:id="28"/>
    <w:p>
      <w:pPr>
        <w:ind w:left="-40" w:firstLine="436"/>
        <w:spacing w:after="0" w:line="269"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Opinions.</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to be furnished to the Agent (1) a negative assurances letter and the written legal opinion of Wilson Sonsini Goodrich &amp; Rosati PC, counsel to the Company and (2) the written legal opinion of Wilson Sonsini Goodrich &amp; Rosati PC, intellectual property and regulatory counsel to the Company,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77" w:lineRule="exact"/>
        <w:rPr>
          <w:rFonts w:ascii="Arial" w:cs="Arial" w:eastAsia="Arial" w:hAnsi="Arial"/>
          <w:sz w:val="17"/>
          <w:szCs w:val="17"/>
          <w:color w:val="auto"/>
        </w:rPr>
      </w:pPr>
    </w:p>
    <w:p>
      <w:pPr>
        <w:ind w:left="-40" w:right="20" w:firstLine="436"/>
        <w:spacing w:after="0" w:line="269" w:lineRule="auto"/>
        <w:tabs>
          <w:tab w:leader="none" w:pos="65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73" w:lineRule="exact"/>
        <w:rPr>
          <w:rFonts w:ascii="Arial" w:cs="Arial" w:eastAsia="Arial" w:hAnsi="Arial"/>
          <w:sz w:val="17"/>
          <w:szCs w:val="17"/>
          <w:color w:val="auto"/>
        </w:rPr>
      </w:pPr>
    </w:p>
    <w:p>
      <w:pPr>
        <w:ind w:left="-40" w:right="20" w:firstLine="436"/>
        <w:spacing w:after="0" w:line="272" w:lineRule="auto"/>
        <w:tabs>
          <w:tab w:leader="none" w:pos="625"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Secretary’s Certificate</w:t>
      </w:r>
      <w:r>
        <w:rPr>
          <w:rFonts w:ascii="Arial" w:cs="Arial" w:eastAsia="Arial" w:hAnsi="Arial"/>
          <w:sz w:val="17"/>
          <w:szCs w:val="17"/>
          <w:color w:val="auto"/>
        </w:rPr>
        <w:t>. On or prior to the date of the first Issuance Notice and on or prior to each Triggering Event Date,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80" w:top="274" w:right="479" w:bottom="1440" w:gutter="0" w:footer="0" w:header="0"/>
        </w:sectPr>
      </w:pPr>
    </w:p>
    <w:bookmarkStart w:id="29" w:name="page30"/>
    <w:bookmarkEnd w:id="29"/>
    <w:p>
      <w:pPr>
        <w:ind w:right="380" w:firstLine="436"/>
        <w:spacing w:after="0" w:line="342" w:lineRule="auto"/>
        <w:tabs>
          <w:tab w:leader="none" w:pos="67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Agent’s Own Account; Clients’ Account. The Company consents to the Agent trading, in compliance with applicable law, in the Common Shares for the Agent’s own account and for the account of its clients at the same time as sales of the Shares occur pursuant to this Agreement.</w:t>
      </w:r>
    </w:p>
    <w:p>
      <w:pPr>
        <w:spacing w:after="0" w:line="15" w:lineRule="exact"/>
        <w:rPr>
          <w:rFonts w:ascii="Arial" w:cs="Arial" w:eastAsia="Arial" w:hAnsi="Arial"/>
          <w:sz w:val="16"/>
          <w:szCs w:val="16"/>
          <w:color w:val="auto"/>
        </w:rPr>
      </w:pPr>
    </w:p>
    <w:p>
      <w:pPr>
        <w:ind w:right="280" w:firstLine="436"/>
        <w:spacing w:after="0" w:line="342"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its subsidiaries to register as an investment company under the Investment Company Act.</w:t>
      </w:r>
    </w:p>
    <w:p>
      <w:pPr>
        <w:spacing w:after="0" w:line="15" w:lineRule="exact"/>
        <w:rPr>
          <w:rFonts w:ascii="Arial" w:cs="Arial" w:eastAsia="Arial" w:hAnsi="Arial"/>
          <w:sz w:val="16"/>
          <w:szCs w:val="16"/>
          <w:color w:val="auto"/>
        </w:rPr>
      </w:pPr>
    </w:p>
    <w:p>
      <w:pPr>
        <w:ind w:right="140" w:firstLine="436"/>
        <w:spacing w:after="0" w:line="291"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Market Activities</w:t>
      </w:r>
      <w:r>
        <w:rPr>
          <w:rFonts w:ascii="Arial" w:cs="Arial" w:eastAsia="Arial" w:hAnsi="Arial"/>
          <w:sz w:val="16"/>
          <w:szCs w:val="16"/>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Arial" w:cs="Arial" w:eastAsia="Arial" w:hAnsi="Arial"/>
          <w:sz w:val="16"/>
          <w:szCs w:val="16"/>
          <w:b w:val="1"/>
          <w:bCs w:val="1"/>
          <w:color w:val="auto"/>
        </w:rPr>
        <w:t>Rule 102</w:t>
      </w:r>
      <w:r>
        <w:rPr>
          <w:rFonts w:ascii="Arial" w:cs="Arial" w:eastAsia="Arial" w:hAnsi="Arial"/>
          <w:sz w:val="16"/>
          <w:szCs w:val="16"/>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58" w:lineRule="exact"/>
        <w:rPr>
          <w:rFonts w:ascii="Arial" w:cs="Arial" w:eastAsia="Arial" w:hAnsi="Arial"/>
          <w:sz w:val="16"/>
          <w:szCs w:val="16"/>
          <w:color w:val="auto"/>
        </w:rPr>
      </w:pPr>
    </w:p>
    <w:p>
      <w:pPr>
        <w:ind w:firstLine="436"/>
        <w:spacing w:after="0" w:line="285"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effect a reverse stock split, recapitalization, share consolidation, reclassification or similar transaction affecting the outstanding Common Shares;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or the vesting of any of the foregoing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(iii) issuance or sale of Common Shares or securities convertible into or exchangeable for Common Shares as consideration for mergers, acquisitions or other business combinations, joint ventures, collaborations, licensing arrangements, strategic alliances, or manufacturing, distribution, marketing, supply, sponsored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0" w:name="page31"/>
    <w:bookmarkEnd w:id="30"/>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technology transfer or development, or third party service arrangements occurring after the date of this Agreement which are not used solely for capital raising purposes, provided that the aggregate number of Common Shares or securities convertible into or exercisable for Common Shares (on an as-converted or as-exercised basis, as the case may be) that the Company may sell or issue or agree to sell or issue as described in this clause</w:t>
      </w:r>
    </w:p>
    <w:p>
      <w:pPr>
        <w:spacing w:after="0" w:line="2" w:lineRule="exact"/>
        <w:rPr>
          <w:sz w:val="20"/>
          <w:szCs w:val="20"/>
          <w:color w:val="auto"/>
        </w:rPr>
      </w:pPr>
    </w:p>
    <w:p>
      <w:pPr>
        <w:ind w:left="324" w:hanging="324"/>
        <w:spacing w:after="0"/>
        <w:tabs>
          <w:tab w:leader="none" w:pos="3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shall not exceed five percent (5%) of the total number of shares of Common Shares issued and outstanding as of the date of this Agreement, and</w:t>
      </w:r>
    </w:p>
    <w:p>
      <w:pPr>
        <w:spacing w:after="0" w:line="32" w:lineRule="exact"/>
        <w:rPr>
          <w:rFonts w:ascii="Arial" w:cs="Arial" w:eastAsia="Arial" w:hAnsi="Arial"/>
          <w:sz w:val="16"/>
          <w:szCs w:val="16"/>
          <w:color w:val="auto"/>
        </w:rPr>
      </w:pPr>
    </w:p>
    <w:p>
      <w:pPr>
        <w:ind w:left="304" w:hanging="304"/>
        <w:spacing w:after="0"/>
        <w:tabs>
          <w:tab w:leader="none" w:pos="304" w:val="left"/>
        </w:tabs>
        <w:numPr>
          <w:ilvl w:val="0"/>
          <w:numId w:val="38"/>
        </w:numPr>
        <w:rPr>
          <w:rFonts w:ascii="Arial" w:cs="Arial" w:eastAsia="Arial" w:hAnsi="Arial"/>
          <w:sz w:val="18"/>
          <w:szCs w:val="18"/>
          <w:color w:val="auto"/>
        </w:rPr>
      </w:pPr>
      <w:r>
        <w:rPr>
          <w:rFonts w:ascii="Arial" w:cs="Arial" w:eastAsia="Arial" w:hAnsi="Arial"/>
          <w:sz w:val="18"/>
          <w:szCs w:val="18"/>
          <w:color w:val="auto"/>
        </w:rPr>
        <w:t>modification of any outstanding options, warrants of any rights to purchase or acquire Common Shares.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5. CONDITIONS TO DELIVERY OF ISSUANCE NOTICES AND TO SETTLEMENT</w:t>
      </w:r>
    </w:p>
    <w:p>
      <w:pPr>
        <w:spacing w:after="0" w:line="121" w:lineRule="exact"/>
        <w:rPr>
          <w:sz w:val="20"/>
          <w:szCs w:val="20"/>
          <w:color w:val="auto"/>
        </w:rPr>
      </w:pPr>
    </w:p>
    <w:p>
      <w:pPr>
        <w:ind w:left="4" w:right="60" w:firstLine="436"/>
        <w:spacing w:after="0" w:line="301" w:lineRule="auto"/>
        <w:tabs>
          <w:tab w:leader="none" w:pos="689"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Conditions Precedent to the Right of the Company to Deliver an Issuance Notice and the Obligation of the Agent to Sell Shares</w:t>
      </w:r>
      <w:r>
        <w:rPr>
          <w:rFonts w:ascii="Arial" w:cs="Arial" w:eastAsia="Arial" w:hAnsi="Arial"/>
          <w:sz w:val="16"/>
          <w:szCs w:val="16"/>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62" w:lineRule="exact"/>
        <w:rPr>
          <w:rFonts w:ascii="Arial" w:cs="Arial" w:eastAsia="Arial" w:hAnsi="Arial"/>
          <w:sz w:val="16"/>
          <w:szCs w:val="16"/>
          <w:color w:val="auto"/>
        </w:rPr>
      </w:pPr>
    </w:p>
    <w:p>
      <w:pPr>
        <w:ind w:left="964" w:hanging="532"/>
        <w:spacing w:after="0" w:line="275" w:lineRule="auto"/>
        <w:tabs>
          <w:tab w:leader="none" w:pos="964"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Accuracy of the Company’s Representations and Warranties; Performance by the Company</w:t>
      </w:r>
      <w:r>
        <w:rPr>
          <w:rFonts w:ascii="Arial" w:cs="Arial" w:eastAsia="Arial" w:hAnsi="Arial"/>
          <w:sz w:val="17"/>
          <w:szCs w:val="17"/>
          <w:color w:val="auto"/>
        </w:rPr>
        <w:t xml:space="preserve">. The Company shall have delivered the certificate required to be delivered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on or before the date on which delivery of such certificate is required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7"/>
          <w:szCs w:val="17"/>
          <w:u w:val="single" w:color="auto"/>
          <w:color w:val="auto"/>
        </w:rPr>
        <w:t>Section 4(m), Section 4(p)</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4(q)</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4(r)</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964" w:right="60" w:hanging="532"/>
        <w:spacing w:after="0" w:line="257"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93" w:lineRule="exact"/>
        <w:rPr>
          <w:rFonts w:ascii="Arial" w:cs="Arial" w:eastAsia="Arial" w:hAnsi="Arial"/>
          <w:sz w:val="18"/>
          <w:szCs w:val="18"/>
          <w:color w:val="auto"/>
        </w:rPr>
      </w:pPr>
    </w:p>
    <w:p>
      <w:pPr>
        <w:ind w:left="964" w:right="80" w:hanging="532"/>
        <w:spacing w:after="0" w:line="275" w:lineRule="auto"/>
        <w:tabs>
          <w:tab w:leader="none" w:pos="964"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Material Adverse Changes</w:t>
      </w:r>
      <w:r>
        <w:rPr>
          <w:rFonts w:ascii="Arial" w:cs="Arial" w:eastAsia="Arial" w:hAnsi="Arial"/>
          <w:sz w:val="17"/>
          <w:szCs w:val="17"/>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1" w:name="page32"/>
    <w:bookmarkEnd w:id="31"/>
    <w:p>
      <w:pPr>
        <w:ind w:left="920" w:hanging="532"/>
        <w:spacing w:after="0" w:line="268"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Suspension of Trading in or Delisting of Common Shares; Other Events</w:t>
      </w:r>
      <w:r>
        <w:rPr>
          <w:rFonts w:ascii="Arial" w:cs="Arial" w:eastAsia="Arial" w:hAnsi="Arial"/>
          <w:sz w:val="17"/>
          <w:szCs w:val="17"/>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91" w:lineRule="exact"/>
        <w:rPr>
          <w:rFonts w:ascii="Arial" w:cs="Arial" w:eastAsia="Arial" w:hAnsi="Arial"/>
          <w:sz w:val="17"/>
          <w:szCs w:val="17"/>
          <w:color w:val="auto"/>
        </w:rPr>
      </w:pPr>
    </w:p>
    <w:p>
      <w:pPr>
        <w:ind w:left="920" w:hanging="532"/>
        <w:spacing w:after="0" w:line="253"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Agent Counsel Opinion and Negative Assurances Letter</w:t>
      </w:r>
      <w:r>
        <w:rPr>
          <w:rFonts w:ascii="Arial" w:cs="Arial" w:eastAsia="Arial" w:hAnsi="Arial"/>
          <w:sz w:val="18"/>
          <w:szCs w:val="18"/>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for which no waiver is applicable and excluding the date of this Agreement, Latham &amp; Watkins LLP, counsel to the Agent (“</w:t>
      </w:r>
      <w:r>
        <w:rPr>
          <w:rFonts w:ascii="Arial" w:cs="Arial" w:eastAsia="Arial" w:hAnsi="Arial"/>
          <w:sz w:val="18"/>
          <w:szCs w:val="18"/>
          <w:b w:val="1"/>
          <w:bCs w:val="1"/>
          <w:color w:val="auto"/>
        </w:rPr>
        <w:t>Agent Counsel</w:t>
      </w:r>
      <w:r>
        <w:rPr>
          <w:rFonts w:ascii="Arial" w:cs="Arial" w:eastAsia="Arial" w:hAnsi="Arial"/>
          <w:sz w:val="18"/>
          <w:szCs w:val="18"/>
          <w:color w:val="auto"/>
        </w:rPr>
        <w:t>”), shall have furnished to the Agent a negative assurances letter and the written legal 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01" w:lineRule="exact"/>
        <w:rPr>
          <w:rFonts w:ascii="Arial" w:cs="Arial" w:eastAsia="Arial" w:hAnsi="Arial"/>
          <w:sz w:val="18"/>
          <w:szCs w:val="18"/>
          <w:color w:val="auto"/>
        </w:rPr>
      </w:pPr>
    </w:p>
    <w:p>
      <w:pPr>
        <w:ind w:left="920" w:right="140" w:hanging="532"/>
        <w:spacing w:after="0" w:line="259"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 of Sales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78" w:lineRule="exact"/>
        <w:rPr>
          <w:rFonts w:ascii="Arial" w:cs="Arial" w:eastAsia="Arial" w:hAnsi="Arial"/>
          <w:sz w:val="18"/>
          <w:szCs w:val="18"/>
          <w:color w:val="auto"/>
        </w:rPr>
      </w:pPr>
    </w:p>
    <w:p>
      <w:pPr>
        <w:ind w:left="-40" w:right="20" w:firstLine="436"/>
        <w:spacing w:after="0" w:line="275" w:lineRule="auto"/>
        <w:tabs>
          <w:tab w:leader="none" w:pos="655"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Documents Required to be Delivered on each Issuance Notice Date</w:t>
      </w:r>
      <w:r>
        <w:rPr>
          <w:rFonts w:ascii="Arial" w:cs="Arial" w:eastAsia="Arial" w:hAnsi="Arial"/>
          <w:sz w:val="17"/>
          <w:szCs w:val="17"/>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80" w:top="274" w:right="499" w:bottom="1440" w:gutter="0" w:footer="0" w:header="0"/>
        </w:sectPr>
      </w:pPr>
    </w:p>
    <w:bookmarkStart w:id="32" w:name="page33"/>
    <w:bookmarkEnd w:id="3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INDEMNIFICATION AND CONTRIBUTION</w:t>
      </w:r>
    </w:p>
    <w:p>
      <w:pPr>
        <w:spacing w:after="0" w:line="121" w:lineRule="exact"/>
        <w:rPr>
          <w:sz w:val="20"/>
          <w:szCs w:val="20"/>
          <w:color w:val="auto"/>
        </w:rPr>
      </w:pPr>
    </w:p>
    <w:p>
      <w:pPr>
        <w:ind w:left="4" w:right="120" w:firstLine="436"/>
        <w:spacing w:after="0" w:line="284" w:lineRule="auto"/>
        <w:tabs>
          <w:tab w:leader="none" w:pos="689"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w:t>
      </w:r>
    </w:p>
    <w:p>
      <w:pPr>
        <w:ind w:left="4" w:right="20" w:hanging="4"/>
        <w:spacing w:after="0" w:line="285" w:lineRule="auto"/>
        <w:tabs>
          <w:tab w:leader="none" w:pos="269"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documented and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63" w:lineRule="exact"/>
        <w:rPr>
          <w:rFonts w:ascii="Arial" w:cs="Arial" w:eastAsia="Arial" w:hAnsi="Arial"/>
          <w:sz w:val="16"/>
          <w:szCs w:val="16"/>
          <w:color w:val="auto"/>
        </w:rPr>
      </w:pPr>
    </w:p>
    <w:p>
      <w:pPr>
        <w:jc w:val="both"/>
        <w:ind w:left="4" w:firstLine="436"/>
        <w:spacing w:after="0" w:line="257" w:lineRule="auto"/>
        <w:tabs>
          <w:tab w:leader="none" w:pos="699"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Indemnification of the Company, its Directors and Officers</w:t>
      </w:r>
      <w:r>
        <w:rPr>
          <w:rFonts w:ascii="Arial" w:cs="Arial" w:eastAsia="Arial" w:hAnsi="Arial"/>
          <w:sz w:val="18"/>
          <w:szCs w:val="18"/>
          <w:color w:val="auto"/>
        </w:rPr>
        <w:t>.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33" w:name="page34"/>
    <w:bookmarkEnd w:id="3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sold or at common law or otherwise (including in settlement of any litigation), which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be in addition to any liabilities that the Agent or the Company may otherwise have.</w:t>
      </w:r>
    </w:p>
    <w:p>
      <w:pPr>
        <w:spacing w:after="0" w:line="59" w:lineRule="exact"/>
        <w:rPr>
          <w:sz w:val="20"/>
          <w:szCs w:val="20"/>
          <w:color w:val="auto"/>
        </w:rPr>
      </w:pPr>
    </w:p>
    <w:p>
      <w:pPr>
        <w:ind w:firstLine="436"/>
        <w:spacing w:after="0" w:line="286" w:lineRule="auto"/>
        <w:tabs>
          <w:tab w:leader="none" w:pos="68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34" w:name="page35"/>
    <w:bookmarkEnd w:id="34"/>
    <w:p>
      <w:pPr>
        <w:ind w:left="4"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57" w:lineRule="exact"/>
        <w:rPr>
          <w:sz w:val="20"/>
          <w:szCs w:val="20"/>
          <w:color w:val="auto"/>
        </w:rPr>
      </w:pPr>
    </w:p>
    <w:p>
      <w:pPr>
        <w:ind w:left="4" w:firstLine="436"/>
        <w:spacing w:after="0" w:line="285" w:lineRule="auto"/>
        <w:tabs>
          <w:tab w:leader="none" w:pos="699"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Settlements</w:t>
      </w:r>
      <w:r>
        <w:rPr>
          <w:rFonts w:ascii="Arial" w:cs="Arial" w:eastAsia="Arial" w:hAnsi="Arial"/>
          <w:sz w:val="16"/>
          <w:szCs w:val="16"/>
          <w:color w:val="auto"/>
        </w:rPr>
        <w:t xml:space="preserve">. The indemnifying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6"/>
          <w:szCs w:val="16"/>
          <w:u w:val="single" w:color="auto"/>
          <w:color w:val="auto"/>
        </w:rPr>
        <w:t>Section 6(c)</w:t>
      </w:r>
      <w:r>
        <w:rPr>
          <w:rFonts w:ascii="Arial" w:cs="Arial" w:eastAsia="Arial" w:hAnsi="Arial"/>
          <w:sz w:val="16"/>
          <w:szCs w:val="16"/>
          <w:color w:val="auto"/>
        </w:rPr>
        <w:t xml:space="preserve"> hereof, the indemnifying party agrees that it shall be liable for any settlement of any proceeding effected without its written consent if</w:t>
      </w:r>
    </w:p>
    <w:p>
      <w:pPr>
        <w:spacing w:after="0" w:line="1" w:lineRule="exact"/>
        <w:rPr>
          <w:rFonts w:ascii="Arial" w:cs="Arial" w:eastAsia="Arial" w:hAnsi="Arial"/>
          <w:sz w:val="16"/>
          <w:szCs w:val="16"/>
          <w:color w:val="auto"/>
        </w:rPr>
      </w:pPr>
    </w:p>
    <w:p>
      <w:pPr>
        <w:ind w:left="4" w:right="60" w:hanging="4"/>
        <w:spacing w:after="0" w:line="270" w:lineRule="auto"/>
        <w:tabs>
          <w:tab w:leader="none" w:pos="2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70" w:lineRule="exact"/>
        <w:rPr>
          <w:rFonts w:ascii="Arial" w:cs="Arial" w:eastAsia="Arial" w:hAnsi="Arial"/>
          <w:sz w:val="17"/>
          <w:szCs w:val="17"/>
          <w:color w:val="auto"/>
        </w:rPr>
      </w:pPr>
    </w:p>
    <w:p>
      <w:pPr>
        <w:ind w:left="4" w:right="20" w:firstLine="436"/>
        <w:spacing w:after="0" w:line="288" w:lineRule="auto"/>
        <w:tabs>
          <w:tab w:leader="none" w:pos="689"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74" w:right="439" w:bottom="1440" w:gutter="0" w:footer="0" w:header="0"/>
        </w:sectPr>
      </w:pPr>
    </w:p>
    <w:bookmarkStart w:id="35" w:name="page36"/>
    <w:bookmarkEnd w:id="35"/>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5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legal or other fees or expenses documented and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 xml:space="preserve">The Company and the Agent agree that it would not be just and equitable if contribution pursuant to this </w:t>
      </w:r>
      <w:r>
        <w:rPr>
          <w:rFonts w:ascii="Arial" w:cs="Arial" w:eastAsia="Arial" w:hAnsi="Arial"/>
          <w:sz w:val="16"/>
          <w:szCs w:val="16"/>
          <w:u w:val="single" w:color="auto"/>
          <w:color w:val="auto"/>
        </w:rPr>
        <w:t>Section 6(e)</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Section 6(e).</w:t>
      </w:r>
    </w:p>
    <w:p>
      <w:pPr>
        <w:spacing w:after="0" w:line="124"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Notwithstanding the provisions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7"/>
          <w:szCs w:val="17"/>
          <w:u w:val="single" w:color="auto"/>
          <w:color w:val="auto"/>
        </w:rPr>
        <w:t>Section 6(e)</w:t>
      </w:r>
      <w:r>
        <w:rPr>
          <w:rFonts w:ascii="Arial" w:cs="Arial" w:eastAsia="Arial" w:hAnsi="Arial"/>
          <w:sz w:val="17"/>
          <w:szCs w:val="17"/>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TERMINATION &amp; SURVIVAL</w:t>
      </w:r>
    </w:p>
    <w:p>
      <w:pPr>
        <w:spacing w:after="0" w:line="121" w:lineRule="exact"/>
        <w:rPr>
          <w:sz w:val="20"/>
          <w:szCs w:val="20"/>
          <w:color w:val="auto"/>
        </w:rPr>
      </w:pPr>
    </w:p>
    <w:p>
      <w:pPr>
        <w:ind w:firstLine="436"/>
        <w:spacing w:after="0" w:line="277" w:lineRule="auto"/>
        <w:tabs>
          <w:tab w:leader="none" w:pos="68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line="255" w:lineRule="auto"/>
        <w:tabs>
          <w:tab w:leader="none" w:pos="1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w:t>
      </w:r>
      <w:r>
        <w:rPr>
          <w:rFonts w:ascii="Arial" w:cs="Arial" w:eastAsia="Arial" w:hAnsi="Arial"/>
          <w:sz w:val="18"/>
          <w:szCs w:val="18"/>
          <w:u w:val="single" w:color="auto"/>
          <w:color w:val="auto"/>
        </w:rPr>
        <w:t>the Company any sale of Shares</w:t>
      </w:r>
      <w:r>
        <w:rPr>
          <w:rFonts w:ascii="Arial" w:cs="Arial" w:eastAsia="Arial" w:hAnsi="Arial"/>
          <w:sz w:val="18"/>
          <w:szCs w:val="18"/>
          <w:color w:val="auto"/>
        </w:rPr>
        <w:t xml:space="preserve">, the Company shall remain obligated to comply with </w:t>
      </w:r>
      <w:r>
        <w:rPr>
          <w:rFonts w:ascii="Arial" w:cs="Arial" w:eastAsia="Arial" w:hAnsi="Arial"/>
          <w:sz w:val="18"/>
          <w:szCs w:val="18"/>
          <w:u w:val="single" w:color="auto"/>
          <w:color w:val="auto"/>
        </w:rPr>
        <w:t>Section 3(b)(v)</w:t>
      </w:r>
      <w:r>
        <w:rPr>
          <w:rFonts w:ascii="Arial" w:cs="Arial" w:eastAsia="Arial" w:hAnsi="Arial"/>
          <w:sz w:val="18"/>
          <w:szCs w:val="18"/>
          <w:color w:val="auto"/>
        </w:rPr>
        <w:t xml:space="preserve"> with respect to such Shares and (B)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36" w:name="page37"/>
    <w:bookmarkEnd w:id="36"/>
    <w:p>
      <w:pPr>
        <w:ind w:left="1420" w:right="40" w:hanging="439"/>
        <w:spacing w:after="0" w:line="275" w:lineRule="auto"/>
        <w:tabs>
          <w:tab w:leader="none" w:pos="1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survival provision of </w:t>
      </w:r>
      <w:r>
        <w:rPr>
          <w:rFonts w:ascii="Arial" w:cs="Arial" w:eastAsia="Arial" w:hAnsi="Arial"/>
          <w:sz w:val="17"/>
          <w:szCs w:val="17"/>
          <w:u w:val="single" w:color="auto"/>
          <w:color w:val="auto"/>
        </w:rPr>
        <w:t>Section 7(b)(i)</w:t>
      </w:r>
      <w:r>
        <w:rPr>
          <w:rFonts w:ascii="Arial" w:cs="Arial" w:eastAsia="Arial" w:hAnsi="Arial"/>
          <w:sz w:val="17"/>
          <w:szCs w:val="17"/>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MISCELLANEOUS</w:t>
      </w:r>
    </w:p>
    <w:p>
      <w:pPr>
        <w:spacing w:after="0" w:line="121" w:lineRule="exact"/>
        <w:rPr>
          <w:sz w:val="20"/>
          <w:szCs w:val="20"/>
          <w:color w:val="auto"/>
        </w:rPr>
      </w:pPr>
    </w:p>
    <w:p>
      <w:pPr>
        <w:ind w:firstLine="436"/>
        <w:spacing w:after="0" w:line="269" w:lineRule="auto"/>
        <w:tabs>
          <w:tab w:leader="none" w:pos="68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Press Releases and Disclosure</w:t>
      </w:r>
      <w:r>
        <w:rPr>
          <w:rFonts w:ascii="Arial" w:cs="Arial" w:eastAsia="Arial" w:hAnsi="Arial"/>
          <w:sz w:val="17"/>
          <w:szCs w:val="17"/>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73" w:lineRule="exact"/>
        <w:rPr>
          <w:rFonts w:ascii="Arial" w:cs="Arial" w:eastAsia="Arial" w:hAnsi="Arial"/>
          <w:sz w:val="17"/>
          <w:szCs w:val="17"/>
          <w:color w:val="auto"/>
        </w:rPr>
      </w:pPr>
    </w:p>
    <w:p>
      <w:pPr>
        <w:ind w:right="40" w:firstLine="436"/>
        <w:spacing w:after="0" w:line="269" w:lineRule="auto"/>
        <w:tabs>
          <w:tab w:leader="none" w:pos="695"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7" w:name="page38"/>
    <w:bookmarkEnd w:id="37"/>
    <w:p>
      <w:pPr>
        <w:ind w:firstLine="436"/>
        <w:spacing w:after="0" w:line="254"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86" w:lineRule="exact"/>
        <w:rPr>
          <w:rFonts w:ascii="Arial" w:cs="Arial" w:eastAsia="Arial" w:hAnsi="Arial"/>
          <w:sz w:val="18"/>
          <w:szCs w:val="18"/>
          <w:color w:val="auto"/>
        </w:rPr>
      </w:pPr>
    </w:p>
    <w:p>
      <w:pPr>
        <w:ind w:right="360" w:firstLine="436"/>
        <w:spacing w:after="0" w:line="277"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and confirmed to the parties hereto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Agent: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Brian Cuneo</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PMV Pharmaceuticals,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 Clarke Drive, Suite 3</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Cranbury, NJ 08512</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David Mack</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Wilson Sonsini Goodrich &amp; Rosati, PC</w:t>
      </w:r>
    </w:p>
    <w:p>
      <w:pPr>
        <w:spacing w:after="0" w:line="2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1301 Avenue of the Americas, 40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Megan Baier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Any party hereto may change the address for receipt of communications by giving written notice to the others in accordance with this </w:t>
      </w:r>
      <w:r>
        <w:rPr>
          <w:rFonts w:ascii="Arial" w:cs="Arial" w:eastAsia="Arial" w:hAnsi="Arial"/>
          <w:sz w:val="16"/>
          <w:szCs w:val="16"/>
          <w:u w:val="single" w:color="auto"/>
          <w:color w:val="auto"/>
        </w:rPr>
        <w:t>Section 8(d)</w:t>
      </w:r>
      <w:r>
        <w:rPr>
          <w:rFonts w:ascii="Arial" w:cs="Arial" w:eastAsia="Arial" w:hAnsi="Arial"/>
          <w:sz w:val="16"/>
          <w:szCs w:val="16"/>
          <w:color w:val="auto"/>
        </w:rPr>
        <w:t>.</w:t>
      </w:r>
    </w:p>
    <w:p>
      <w:pPr>
        <w:spacing w:after="0" w:line="248" w:lineRule="exact"/>
        <w:rPr>
          <w:sz w:val="20"/>
          <w:szCs w:val="20"/>
          <w:color w:val="auto"/>
        </w:rPr>
      </w:pPr>
    </w:p>
    <w:p>
      <w:pPr>
        <w:jc w:val="both"/>
        <w:ind w:right="140" w:firstLine="436"/>
        <w:spacing w:after="0" w:line="311"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440" w:top="274" w:right="559" w:bottom="1440" w:gutter="0" w:footer="0" w:header="0"/>
        </w:sectPr>
      </w:pPr>
    </w:p>
    <w:bookmarkStart w:id="38" w:name="page39"/>
    <w:bookmarkEnd w:id="38"/>
    <w:p>
      <w:pPr>
        <w:ind w:right="220" w:firstLine="436"/>
        <w:spacing w:after="0" w:line="259" w:lineRule="auto"/>
        <w:tabs>
          <w:tab w:leader="none" w:pos="665"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78" w:lineRule="exact"/>
        <w:rPr>
          <w:rFonts w:ascii="Arial" w:cs="Arial" w:eastAsia="Arial" w:hAnsi="Arial"/>
          <w:sz w:val="18"/>
          <w:szCs w:val="18"/>
          <w:color w:val="auto"/>
        </w:rPr>
      </w:pPr>
    </w:p>
    <w:p>
      <w:pPr>
        <w:ind w:firstLine="436"/>
        <w:spacing w:after="0" w:line="269"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Governing Law Provisions</w:t>
      </w:r>
      <w:r>
        <w:rPr>
          <w:rFonts w:ascii="Arial" w:cs="Arial" w:eastAsia="Arial" w:hAnsi="Arial"/>
          <w:sz w:val="17"/>
          <w:szCs w:val="17"/>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7"/>
          <w:szCs w:val="17"/>
          <w:b w:val="1"/>
          <w:bCs w:val="1"/>
          <w:color w:val="auto"/>
        </w:rPr>
        <w:t>Specified Courts</w:t>
      </w:r>
      <w:r>
        <w:rPr>
          <w:rFonts w:ascii="Arial" w:cs="Arial" w:eastAsia="Arial" w:hAnsi="Arial"/>
          <w:sz w:val="17"/>
          <w:szCs w:val="17"/>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77" w:lineRule="exact"/>
        <w:rPr>
          <w:rFonts w:ascii="Arial" w:cs="Arial" w:eastAsia="Arial" w:hAnsi="Arial"/>
          <w:sz w:val="17"/>
          <w:szCs w:val="17"/>
          <w:color w:val="auto"/>
        </w:rPr>
      </w:pPr>
    </w:p>
    <w:p>
      <w:pPr>
        <w:ind w:right="20" w:firstLine="436"/>
        <w:spacing w:after="0" w:line="272"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69" w:lineRule="exact"/>
        <w:rPr>
          <w:rFonts w:ascii="Arial" w:cs="Arial" w:eastAsia="Arial" w:hAnsi="Arial"/>
          <w:sz w:val="17"/>
          <w:szCs w:val="17"/>
          <w:color w:val="auto"/>
        </w:rPr>
      </w:pPr>
    </w:p>
    <w:p>
      <w:pPr>
        <w:ind w:left="660" w:hanging="224"/>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59" w:lineRule="auto"/>
        <w:tabs>
          <w:tab w:leader="none" w:pos="1108"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9" w:name="page40"/>
    <w:bookmarkEnd w:id="39"/>
    <w:p>
      <w:pPr>
        <w:ind w:firstLine="419"/>
        <w:spacing w:after="0" w:line="259" w:lineRule="auto"/>
        <w:tabs>
          <w:tab w:leader="none" w:pos="678" w:val="left"/>
        </w:tabs>
        <w:numPr>
          <w:ilvl w:val="0"/>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Agent is a Covered Entity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800" w:hanging="253"/>
        <w:spacing w:after="0"/>
        <w:tabs>
          <w:tab w:leader="none" w:pos="8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As used in this Section 8(i):</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w:t>
      </w:r>
    </w:p>
    <w:p>
      <w:pPr>
        <w:spacing w:after="0" w:line="121" w:lineRule="exact"/>
        <w:rPr>
          <w:sz w:val="20"/>
          <w:szCs w:val="20"/>
          <w:color w:val="auto"/>
        </w:rPr>
      </w:pPr>
    </w:p>
    <w:p>
      <w:pPr>
        <w:ind w:left="760" w:hanging="213"/>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820" w:hanging="273"/>
        <w:spacing w:after="0"/>
        <w:tabs>
          <w:tab w:leader="none" w:pos="8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860" w:hanging="313"/>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3" w:lineRule="exact"/>
        <w:rPr>
          <w:sz w:val="20"/>
          <w:szCs w:val="20"/>
          <w:color w:val="auto"/>
        </w:rPr>
      </w:pPr>
    </w:p>
    <w:p>
      <w:pPr>
        <w:ind w:left="54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540" w:right="1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i w:val="1"/>
          <w:iCs w:val="1"/>
          <w:color w:val="auto"/>
        </w:rPr>
        <w:t>[Signature Page Immediately Follows]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60"/>
          </w:cols>
          <w:pgMar w:left="880" w:top="274" w:right="459" w:bottom="1440" w:gutter="0" w:footer="0" w:header="0"/>
        </w:sectPr>
      </w:pPr>
    </w:p>
    <w:bookmarkStart w:id="40" w:name="page41"/>
    <w:bookmarkEnd w:id="40"/>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David H. Mack,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President and Chief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foregoing Agreement is hereby confirmed and accepted by the Agent in New York, New York as of the date first above written.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Michael Magarro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0700"/>
          </w:cols>
          <w:pgMar w:left="440" w:top="274" w:right="759" w:bottom="1440" w:gutter="0" w:footer="0" w:header="0"/>
        </w:sectPr>
      </w:pPr>
    </w:p>
    <w:bookmarkStart w:id="41" w:name="page42"/>
    <w:bookmarkEnd w:id="41"/>
    <w:p>
      <w:pPr>
        <w:jc w:val="center"/>
        <w:ind w:right="-2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1"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color w:val="auto"/>
        </w:rPr>
        <w:t>Reference is made to the Open Market Sale Agreement</w:t>
      </w:r>
      <w:r>
        <w:rPr>
          <w:rFonts w:ascii="Arial" w:cs="Arial" w:eastAsia="Arial" w:hAnsi="Arial"/>
          <w:sz w:val="13"/>
          <w:szCs w:val="13"/>
          <w:color w:val="auto"/>
        </w:rPr>
        <w:t>SM</w:t>
      </w:r>
      <w:r>
        <w:rPr>
          <w:rFonts w:ascii="Arial" w:cs="Arial" w:eastAsia="Arial" w:hAnsi="Arial"/>
          <w:sz w:val="16"/>
          <w:szCs w:val="16"/>
          <w:color w:val="auto"/>
        </w:rPr>
        <w:t xml:space="preserve"> between PMV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and Jefferies LLC (the “</w:t>
      </w:r>
      <w:r>
        <w:rPr>
          <w:rFonts w:ascii="Arial" w:cs="Arial" w:eastAsia="Arial" w:hAnsi="Arial"/>
          <w:sz w:val="16"/>
          <w:szCs w:val="16"/>
          <w:b w:val="1"/>
          <w:bCs w:val="1"/>
          <w:color w:val="auto"/>
        </w:rPr>
        <w:t>Agent</w:t>
      </w:r>
      <w:r>
        <w:rPr>
          <w:rFonts w:ascii="Arial" w:cs="Arial" w:eastAsia="Arial" w:hAnsi="Arial"/>
          <w:sz w:val="16"/>
          <w:szCs w:val="16"/>
          <w:color w:val="auto"/>
        </w:rPr>
        <w:t>”) dated as of October 4, 2021. The Company confirms that all conditions to the delivery of this Issuance Notice are satisfied as of the date 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360"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2506345</wp:posOffset>
            </wp:positionH>
            <wp:positionV relativeFrom="paragraph">
              <wp:posOffset>-10160</wp:posOffset>
            </wp:positionV>
            <wp:extent cx="15138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138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5709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570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570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2449195</wp:posOffset>
            </wp:positionH>
            <wp:positionV relativeFrom="paragraph">
              <wp:posOffset>-10160</wp:posOffset>
            </wp:positionV>
            <wp:extent cx="15709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settlement: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14605</wp:posOffset>
            </wp:positionV>
            <wp:extent cx="63347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34760" cy="8890"/>
                    </a:xfrm>
                    <a:prstGeom prst="rect">
                      <a:avLst/>
                    </a:prstGeom>
                    <a:noFill/>
                  </pic:spPr>
                </pic:pic>
              </a:graphicData>
            </a:graphic>
          </wp:anchor>
        </w:drawing>
      </w: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PMV Pharmaceuticals,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7715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SM</w:t>
      </w:r>
      <w:r>
        <w:rPr>
          <w:sz w:val="20"/>
          <w:szCs w:val="20"/>
          <w:color w:val="auto"/>
        </w:rPr>
        <w:tab/>
      </w:r>
      <w:r>
        <w:rPr>
          <w:rFonts w:ascii="Arial" w:cs="Arial" w:eastAsia="Arial" w:hAnsi="Arial"/>
          <w:sz w:val="18"/>
          <w:szCs w:val="18"/>
          <w:color w:val="auto"/>
        </w:rPr>
        <w:t>“Open Market Sale Agreement” is a service mark of Jefferies LLC</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740"/>
          </w:cols>
          <w:pgMar w:left="440" w:top="270" w:right="719" w:bottom="1440" w:gutter="0" w:footer="0" w:header="0"/>
        </w:sectPr>
      </w:pPr>
    </w:p>
    <w:bookmarkStart w:id="42" w:name="page43"/>
    <w:bookmarkEnd w:id="42"/>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David H. Mack, Ph.D., President and Chief Executive Officer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Winston Kung, Chief Operating Officer and Chief Financial Officer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Ticktin, General Counsel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C. Lynaugh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 Fabbri ([***])</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lowerLetter"/>
      <w:start w:val="1"/>
    </w:lvl>
  </w:abstractNum>
  <w:abstractNum w:abstractNumId="2">
    <w:nsid w:val="3A95F874"/>
    <w:multiLevelType w:val="hybridMultilevel"/>
    <w:lvl w:ilvl="0">
      <w:lvlJc w:val="left"/>
      <w:lvlText w:val="(%1)"/>
      <w:numFmt w:val="decimal"/>
      <w:start w:val="3"/>
    </w:lvl>
    <w:lvl w:ilvl="1">
      <w:lvlJc w:val="left"/>
      <w:lvlText w:val="(%2)"/>
      <w:numFmt w:val="lowerLetter"/>
      <w:start w:val="1"/>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1)"/>
      <w:numFmt w:val="lowerLetter"/>
      <w:start w:val="3"/>
    </w:lvl>
  </w:abstractNum>
  <w:abstractNum w:abstractNumId="5">
    <w:nsid w:val="7C3DBD3D"/>
    <w:multiLevelType w:val="hybridMultilevel"/>
    <w:lvl w:ilvl="0">
      <w:lvlJc w:val="left"/>
      <w:lvlText w:val="(%1)"/>
      <w:numFmt w:val="lowerLetter"/>
      <w:start w:val="7"/>
    </w:lvl>
  </w:abstractNum>
  <w:abstractNum w:abstractNumId="6">
    <w:nsid w:val="737B8DDC"/>
    <w:multiLevelType w:val="hybridMultilevel"/>
    <w:lvl w:ilvl="0">
      <w:lvlJc w:val="left"/>
      <w:lvlText w:val="(%1)"/>
      <w:numFmt w:val="lowerLetter"/>
      <w:start w:val="12"/>
    </w:lvl>
  </w:abstractNum>
  <w:abstractNum w:abstractNumId="7">
    <w:nsid w:val="6CEAF087"/>
    <w:multiLevelType w:val="hybridMultilevel"/>
    <w:lvl w:ilvl="0">
      <w:lvlJc w:val="left"/>
      <w:lvlText w:val="(%1)"/>
      <w:numFmt w:val="lowerLetter"/>
      <w:start w:val="14"/>
    </w:lvl>
  </w:abstractNum>
  <w:abstractNum w:abstractNumId="8">
    <w:nsid w:val="22221A70"/>
    <w:multiLevelType w:val="hybridMultilevel"/>
    <w:lvl w:ilvl="0">
      <w:lvlJc w:val="left"/>
      <w:lvlText w:val="(%1)"/>
      <w:numFmt w:val="lowerLetter"/>
      <w:start w:val="17"/>
    </w:lvl>
  </w:abstractNum>
  <w:abstractNum w:abstractNumId="9">
    <w:nsid w:val="4516DDE9"/>
    <w:multiLevelType w:val="hybridMultilevel"/>
    <w:lvl w:ilvl="0">
      <w:lvlJc w:val="left"/>
      <w:lvlText w:val="%1"/>
      <w:numFmt w:val="lowerLetter"/>
      <w:start w:val="1"/>
    </w:lvl>
    <w:lvl w:ilvl="1">
      <w:lvlJc w:val="left"/>
      <w:lvlText w:val="(%2)"/>
      <w:numFmt w:val="lowerLetter"/>
      <w:start w:val="20"/>
    </w:lvl>
  </w:abstractNum>
  <w:abstractNum w:abstractNumId="10">
    <w:nsid w:val="3006C83E"/>
    <w:multiLevelType w:val="hybridMultilevel"/>
    <w:lvl w:ilvl="0">
      <w:lvlJc w:val="left"/>
      <w:lvlText w:val="(%1)"/>
      <w:numFmt w:val="lowerLetter"/>
      <w:start w:val="35"/>
    </w:lvl>
    <w:lvl w:ilvl="1">
      <w:lvlJc w:val="left"/>
      <w:lvlText w:val="%2"/>
      <w:numFmt w:val="lowerLetter"/>
      <w:start w:val="1"/>
    </w:lvl>
  </w:abstractNum>
  <w:abstractNum w:abstractNumId="11">
    <w:nsid w:val="614FD4A1"/>
    <w:multiLevelType w:val="hybridMultilevel"/>
    <w:lvl w:ilvl="0">
      <w:lvlJc w:val="left"/>
      <w:lvlText w:val="(%1)"/>
      <w:numFmt w:val="lowerLetter"/>
      <w:start w:val="22"/>
    </w:lvl>
  </w:abstractNum>
  <w:abstractNum w:abstractNumId="12">
    <w:nsid w:val="419AC241"/>
    <w:multiLevelType w:val="hybridMultilevel"/>
    <w:lvl w:ilvl="0">
      <w:lvlJc w:val="left"/>
      <w:lvlText w:val="(%1)"/>
      <w:numFmt w:val="lowerLetter"/>
      <w:start w:val="25"/>
    </w:lvl>
  </w:abstractNum>
  <w:abstractNum w:abstractNumId="13">
    <w:nsid w:val="5577F8E1"/>
    <w:multiLevelType w:val="hybridMultilevel"/>
    <w:lvl w:ilvl="0">
      <w:lvlJc w:val="left"/>
      <w:lvlText w:val="(%1)"/>
      <w:numFmt w:val="lowerLetter"/>
      <w:start w:val="27"/>
    </w:lvl>
  </w:abstractNum>
  <w:abstractNum w:abstractNumId="14">
    <w:nsid w:val="440BADFC"/>
    <w:multiLevelType w:val="hybridMultilevel"/>
    <w:lvl w:ilvl="0">
      <w:lvlJc w:val="left"/>
      <w:lvlText w:val="%1"/>
      <w:numFmt w:val="lowerLetter"/>
      <w:start w:val="1"/>
    </w:lvl>
    <w:lvl w:ilvl="1">
      <w:lvlJc w:val="left"/>
      <w:lvlText w:val="(%2)"/>
      <w:numFmt w:val="lowerLetter"/>
      <w:start w:val="32"/>
    </w:lvl>
  </w:abstractNum>
  <w:abstractNum w:abstractNumId="15">
    <w:nsid w:val="5072367"/>
    <w:multiLevelType w:val="hybridMultilevel"/>
    <w:lvl w:ilvl="0">
      <w:lvlJc w:val="left"/>
      <w:lvlText w:val="(%1)"/>
      <w:numFmt w:val="lowerLetter"/>
      <w:start w:val="25"/>
    </w:lvl>
    <w:lvl w:ilvl="1">
      <w:lvlJc w:val="left"/>
      <w:lvlText w:val="(%2)"/>
      <w:numFmt w:val="lowerLetter"/>
      <w:start w:val="33"/>
    </w:lvl>
  </w:abstractNum>
  <w:abstractNum w:abstractNumId="16">
    <w:nsid w:val="3804823E"/>
    <w:multiLevelType w:val="hybridMultilevel"/>
    <w:lvl w:ilvl="0">
      <w:lvlJc w:val="left"/>
      <w:lvlText w:val="(%1)"/>
      <w:numFmt w:val="lowerRoman"/>
      <w:start w:val="1"/>
    </w:lvl>
  </w:abstractNum>
  <w:abstractNum w:abstractNumId="17">
    <w:nsid w:val="77465F01"/>
    <w:multiLevelType w:val="hybridMultilevel"/>
    <w:lvl w:ilvl="0">
      <w:lvlJc w:val="left"/>
      <w:lvlText w:val="(%1)"/>
      <w:numFmt w:val="lowerLetter"/>
      <w:start w:val="35"/>
    </w:lvl>
  </w:abstractNum>
  <w:abstractNum w:abstractNumId="18">
    <w:nsid w:val="7724C67E"/>
    <w:multiLevelType w:val="hybridMultilevel"/>
    <w:lvl w:ilvl="0">
      <w:lvlJc w:val="left"/>
      <w:lvlText w:val="(%1)"/>
      <w:numFmt w:val="lowerLetter"/>
      <w:start w:val="41"/>
    </w:lvl>
  </w:abstractNum>
  <w:abstractNum w:abstractNumId="19">
    <w:nsid w:val="5C482A97"/>
    <w:multiLevelType w:val="hybridMultilevel"/>
    <w:lvl w:ilvl="0">
      <w:lvlJc w:val="left"/>
      <w:lvlText w:val="(%1)"/>
      <w:numFmt w:val="lowerLetter"/>
      <w:start w:val="42"/>
    </w:lvl>
  </w:abstractNum>
  <w:abstractNum w:abstractNumId="20">
    <w:nsid w:val="2463B9EA"/>
    <w:multiLevelType w:val="hybridMultilevel"/>
    <w:lvl w:ilvl="0">
      <w:lvlJc w:val="left"/>
      <w:lvlText w:val="(%1)"/>
      <w:numFmt w:val="lowerLetter"/>
      <w:start w:val="46"/>
    </w:lvl>
  </w:abstractNum>
  <w:abstractNum w:abstractNumId="21">
    <w:nsid w:val="5E884ADC"/>
    <w:multiLevelType w:val="hybridMultilevel"/>
    <w:lvl w:ilvl="0">
      <w:lvlJc w:val="left"/>
      <w:lvlText w:val="(%1)"/>
      <w:numFmt w:val="lowerLetter"/>
      <w:start w:val="48"/>
    </w:lvl>
  </w:abstractNum>
  <w:abstractNum w:abstractNumId="22">
    <w:nsid w:val="51EAD36B"/>
    <w:multiLevelType w:val="hybridMultilevel"/>
    <w:lvl w:ilvl="0">
      <w:lvlJc w:val="left"/>
      <w:lvlText w:val="(%1)"/>
      <w:numFmt w:val="lowerLetter"/>
      <w:start w:val="1"/>
    </w:lvl>
  </w:abstractNum>
  <w:abstractNum w:abstractNumId="23">
    <w:nsid w:val="2D517796"/>
    <w:multiLevelType w:val="hybridMultilevel"/>
    <w:lvl w:ilvl="0">
      <w:lvlJc w:val="left"/>
      <w:lvlText w:val="(%1)"/>
      <w:numFmt w:val="lowerRoman"/>
      <w:start w:val="1"/>
    </w:lvl>
  </w:abstractNum>
  <w:abstractNum w:abstractNumId="24">
    <w:nsid w:val="580BD78F"/>
    <w:multiLevelType w:val="hybridMultilevel"/>
    <w:lvl w:ilvl="0">
      <w:lvlJc w:val="left"/>
      <w:lvlText w:val="%1"/>
      <w:numFmt w:val="upperLetter"/>
      <w:start w:val="1"/>
    </w:lvl>
    <w:lvl w:ilvl="1">
      <w:lvlJc w:val="left"/>
      <w:lvlText w:val="(%2)"/>
      <w:numFmt w:val="lowerRoman"/>
      <w:start w:val="2"/>
    </w:lvl>
  </w:abstractNum>
  <w:abstractNum w:abstractNumId="25">
    <w:nsid w:val="153EA438"/>
    <w:multiLevelType w:val="hybridMultilevel"/>
    <w:lvl w:ilvl="0">
      <w:lvlJc w:val="left"/>
      <w:lvlText w:val="(%1)"/>
      <w:numFmt w:val="upperLetter"/>
      <w:start w:val="2"/>
    </w:lvl>
    <w:lvl w:ilvl="1">
      <w:lvlJc w:val="left"/>
      <w:lvlText w:val="(%2)"/>
      <w:numFmt w:val="lowerRoman"/>
      <w:start w:val="4"/>
    </w:lvl>
  </w:abstractNum>
  <w:abstractNum w:abstractNumId="26">
    <w:nsid w:val="3855585C"/>
    <w:multiLevelType w:val="hybridMultilevel"/>
    <w:lvl w:ilvl="0">
      <w:lvlJc w:val="left"/>
      <w:lvlText w:val="(%1)"/>
      <w:numFmt w:val="lowerRoman"/>
      <w:start w:val="6"/>
    </w:lvl>
  </w:abstractNum>
  <w:abstractNum w:abstractNumId="27">
    <w:nsid w:val="70A64E2A"/>
    <w:multiLevelType w:val="hybridMultilevel"/>
    <w:lvl w:ilvl="0">
      <w:lvlJc w:val="left"/>
      <w:lvlText w:val="(%1)"/>
      <w:numFmt w:val="lowerLetter"/>
      <w:start w:val="3"/>
    </w:lvl>
  </w:abstractNum>
  <w:abstractNum w:abstractNumId="28">
    <w:nsid w:val="6A2342EC"/>
    <w:multiLevelType w:val="hybridMultilevel"/>
    <w:lvl w:ilvl="0">
      <w:lvlJc w:val="left"/>
      <w:lvlText w:val="(%1)"/>
      <w:numFmt w:val="lowerRoman"/>
      <w:start w:val="9"/>
    </w:lvl>
  </w:abstractNum>
  <w:abstractNum w:abstractNumId="29">
    <w:nsid w:val="2A487CB0"/>
    <w:multiLevelType w:val="hybridMultilevel"/>
    <w:lvl w:ilvl="0">
      <w:lvlJc w:val="left"/>
      <w:lvlText w:val="(%1)"/>
      <w:numFmt w:val="lowerLetter"/>
      <w:start w:val="1"/>
    </w:lvl>
  </w:abstractNum>
  <w:abstractNum w:abstractNumId="30">
    <w:nsid w:val="1D4ED43B"/>
    <w:multiLevelType w:val="hybridMultilevel"/>
    <w:lvl w:ilvl="0">
      <w:lvlJc w:val="left"/>
      <w:lvlText w:val="(%1)"/>
      <w:numFmt w:val="lowerLetter"/>
      <w:start w:val="3"/>
    </w:lvl>
  </w:abstractNum>
  <w:abstractNum w:abstractNumId="31">
    <w:nsid w:val="725A06FB"/>
    <w:multiLevelType w:val="hybridMultilevel"/>
    <w:lvl w:ilvl="0">
      <w:lvlJc w:val="left"/>
      <w:lvlText w:val="(%1)"/>
      <w:numFmt w:val="lowerLetter"/>
      <w:start w:val="7"/>
    </w:lvl>
  </w:abstractNum>
  <w:abstractNum w:abstractNumId="32">
    <w:nsid w:val="2CD89A32"/>
    <w:multiLevelType w:val="hybridMultilevel"/>
    <w:lvl w:ilvl="0">
      <w:lvlJc w:val="left"/>
      <w:lvlText w:val="(%1)"/>
      <w:numFmt w:val="lowerLetter"/>
      <w:start w:val="9"/>
    </w:lvl>
  </w:abstractNum>
  <w:abstractNum w:abstractNumId="33">
    <w:nsid w:val="57E4CCAF"/>
    <w:multiLevelType w:val="hybridMultilevel"/>
    <w:lvl w:ilvl="0">
      <w:lvlJc w:val="left"/>
      <w:lvlText w:val="(%1)"/>
      <w:numFmt w:val="lowerLetter"/>
      <w:start w:val="15"/>
    </w:lvl>
    <w:lvl w:ilvl="1">
      <w:lvlJc w:val="left"/>
      <w:lvlText w:val="(%2)"/>
      <w:numFmt w:val="upperLetter"/>
      <w:start w:val="1"/>
    </w:lvl>
  </w:abstractNum>
  <w:abstractNum w:abstractNumId="34">
    <w:nsid w:val="7A6D8D3C"/>
    <w:multiLevelType w:val="hybridMultilevel"/>
    <w:lvl w:ilvl="0">
      <w:lvlJc w:val="left"/>
      <w:lvlText w:val="(%1)"/>
      <w:numFmt w:val="upperLetter"/>
      <w:start w:val="3"/>
    </w:lvl>
  </w:abstractNum>
  <w:abstractNum w:abstractNumId="35">
    <w:nsid w:val="4B588F54"/>
    <w:multiLevelType w:val="hybridMultilevel"/>
    <w:lvl w:ilvl="0">
      <w:lvlJc w:val="left"/>
      <w:lvlText w:val="(%1)"/>
      <w:numFmt w:val="lowerLetter"/>
      <w:start w:val="16"/>
    </w:lvl>
  </w:abstractNum>
  <w:abstractNum w:abstractNumId="36">
    <w:nsid w:val="542289EC"/>
    <w:multiLevelType w:val="hybridMultilevel"/>
    <w:lvl w:ilvl="0">
      <w:lvlJc w:val="left"/>
      <w:lvlText w:val="(%1)"/>
      <w:numFmt w:val="lowerLetter"/>
      <w:start w:val="19"/>
    </w:lvl>
  </w:abstractNum>
  <w:abstractNum w:abstractNumId="37">
    <w:nsid w:val="6DE91B18"/>
    <w:multiLevelType w:val="hybridMultilevel"/>
    <w:lvl w:ilvl="0">
      <w:lvlJc w:val="left"/>
      <w:lvlText w:val="(%1)"/>
      <w:numFmt w:val="lowerRoman"/>
      <w:start w:val="3"/>
    </w:lvl>
  </w:abstractNum>
  <w:abstractNum w:abstractNumId="38">
    <w:nsid w:val="38437FDB"/>
    <w:multiLevelType w:val="hybridMultilevel"/>
    <w:lvl w:ilvl="0">
      <w:lvlJc w:val="left"/>
      <w:lvlText w:val="%1"/>
      <w:numFmt w:val="lowerRoman"/>
      <w:start w:val="1"/>
    </w:lvl>
    <w:lvl w:ilvl="1">
      <w:lvlJc w:val="left"/>
      <w:lvlText w:val="(%2)"/>
      <w:numFmt w:val="lowerLetter"/>
      <w:start w:val="1"/>
    </w:lvl>
  </w:abstractNum>
  <w:abstractNum w:abstractNumId="39">
    <w:nsid w:val="7644A45C"/>
    <w:multiLevelType w:val="hybridMultilevel"/>
    <w:lvl w:ilvl="0">
      <w:lvlJc w:val="left"/>
      <w:lvlText w:val="%1"/>
      <w:numFmt w:val="lowerRoman"/>
      <w:start w:val="1"/>
    </w:lvl>
    <w:lvl w:ilvl="1">
      <w:lvlJc w:val="left"/>
      <w:lvlText w:val="(%2)"/>
      <w:numFmt w:val="lowerLetter"/>
      <w:start w:val="9"/>
    </w:lvl>
  </w:abstractNum>
  <w:abstractNum w:abstractNumId="40">
    <w:nsid w:val="32FFF902"/>
    <w:multiLevelType w:val="hybridMultilevel"/>
    <w:lvl w:ilvl="0">
      <w:lvlJc w:val="left"/>
      <w:lvlText w:val="%1"/>
      <w:numFmt w:val="lowerRoman"/>
      <w:start w:val="1"/>
    </w:lvl>
    <w:lvl w:ilvl="1">
      <w:lvlJc w:val="left"/>
      <w:lvlText w:val="(%2)"/>
      <w:numFmt w:val="lowerLetter"/>
      <w:start w:val="35"/>
    </w:lvl>
  </w:abstractNum>
  <w:abstractNum w:abstractNumId="41">
    <w:nsid w:val="684A481A"/>
    <w:multiLevelType w:val="hybridMultilevel"/>
    <w:lvl w:ilvl="0">
      <w:lvlJc w:val="left"/>
      <w:lvlText w:val="%1"/>
      <w:numFmt w:val="lowerRoman"/>
      <w:start w:val="1"/>
    </w:lvl>
    <w:lvl w:ilvl="1">
      <w:lvlJc w:val="left"/>
      <w:lvlText w:val="(%2)"/>
      <w:numFmt w:val="lowerLetter"/>
      <w:start w:val="61"/>
    </w:lvl>
  </w:abstractNum>
  <w:abstractNum w:abstractNumId="42">
    <w:nsid w:val="579478FE"/>
    <w:multiLevelType w:val="hybridMultilevel"/>
    <w:lvl w:ilvl="0">
      <w:lvlJc w:val="left"/>
      <w:lvlText w:val="(%1)"/>
      <w:numFmt w:val="lowerRoman"/>
      <w:start w:val="4"/>
    </w:lvl>
    <w:lvl w:ilvl="1">
      <w:lvlJc w:val="left"/>
      <w:lvlText w:val="(%2)"/>
      <w:numFmt w:val="lowerLetter"/>
      <w:start w:val="2"/>
    </w:lvl>
  </w:abstractNum>
  <w:abstractNum w:abstractNumId="43">
    <w:nsid w:val="749ABB43"/>
    <w:multiLevelType w:val="hybridMultilevel"/>
    <w:lvl w:ilvl="0">
      <w:lvlJc w:val="left"/>
      <w:lvlText w:val="%1"/>
      <w:numFmt w:val="lowerLetter"/>
      <w:start w:val="1"/>
    </w:lvl>
    <w:lvl w:ilvl="1">
      <w:lvlJc w:val="left"/>
      <w:lvlText w:val="(%2)"/>
      <w:numFmt w:val="lowerLetter"/>
      <w:start w:val="1"/>
    </w:lvl>
  </w:abstractNum>
  <w:abstractNum w:abstractNumId="44">
    <w:nsid w:val="3DC240FB"/>
    <w:multiLevelType w:val="hybridMultilevel"/>
    <w:lvl w:ilvl="0">
      <w:lvlJc w:val="left"/>
      <w:lvlText w:val="(%1)"/>
      <w:numFmt w:val="lowerLetter"/>
      <w:start w:val="35"/>
    </w:lvl>
    <w:lvl w:ilvl="1">
      <w:lvlJc w:val="left"/>
      <w:lvlText w:val="(%2)"/>
      <w:numFmt w:val="lowerLetter"/>
      <w:start w:val="2"/>
    </w:lvl>
  </w:abstractNum>
  <w:abstractNum w:abstractNumId="45">
    <w:nsid w:val="1BA026FA"/>
    <w:multiLevelType w:val="hybridMultilevel"/>
    <w:lvl w:ilvl="0">
      <w:lvlJc w:val="left"/>
      <w:lvlText w:val="(%1)"/>
      <w:numFmt w:val="lowerLetter"/>
      <w:start w:val="3"/>
    </w:lvl>
  </w:abstractNum>
  <w:abstractNum w:abstractNumId="46">
    <w:nsid w:val="79A1DEAA"/>
    <w:multiLevelType w:val="hybridMultilevel"/>
    <w:lvl w:ilvl="0">
      <w:lvlJc w:val="left"/>
      <w:lvlText w:val="%1"/>
      <w:numFmt w:val="lowerLetter"/>
      <w:start w:val="1"/>
    </w:lvl>
    <w:lvl w:ilvl="1">
      <w:lvlJc w:val="left"/>
      <w:lvlText w:val="(%2)"/>
      <w:numFmt w:val="lowerLetter"/>
      <w:start w:val="4"/>
    </w:lvl>
  </w:abstractNum>
  <w:abstractNum w:abstractNumId="47">
    <w:nsid w:val="75C6C33A"/>
    <w:multiLevelType w:val="hybridMultilevel"/>
    <w:lvl w:ilvl="0">
      <w:lvlJc w:val="left"/>
      <w:lvlText w:val="(%1)"/>
      <w:numFmt w:val="lowerLetter"/>
      <w:start w:val="9"/>
    </w:lvl>
    <w:lvl w:ilvl="1">
      <w:lvlJc w:val="left"/>
      <w:lvlText w:val="(%2)"/>
      <w:numFmt w:val="lowerLetter"/>
      <w:start w:val="5"/>
    </w:lvl>
  </w:abstractNum>
  <w:abstractNum w:abstractNumId="48">
    <w:nsid w:val="12E685FB"/>
    <w:multiLevelType w:val="hybridMultilevel"/>
    <w:lvl w:ilvl="0">
      <w:lvlJc w:val="left"/>
      <w:lvlText w:val="(%1)"/>
      <w:numFmt w:val="lowerLetter"/>
      <w:start w:val="1"/>
    </w:lvl>
    <w:lvl w:ilvl="1">
      <w:lvlJc w:val="left"/>
      <w:lvlText w:val="(%2)"/>
      <w:numFmt w:val="lowerRoman"/>
      <w:start w:val="1"/>
    </w:lvl>
  </w:abstractNum>
  <w:abstractNum w:abstractNumId="49">
    <w:nsid w:val="70C6A529"/>
    <w:multiLevelType w:val="hybridMultilevel"/>
    <w:lvl w:ilvl="0">
      <w:lvlJc w:val="left"/>
      <w:lvlText w:val="(%1)"/>
      <w:numFmt w:val="lowerRoman"/>
      <w:start w:val="2"/>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3"/>
    </w:lvl>
  </w:abstractNum>
  <w:abstractNum w:abstractNumId="52">
    <w:nsid w:val="4F4EF005"/>
    <w:multiLevelType w:val="hybridMultilevel"/>
    <w:lvl w:ilvl="0">
      <w:lvlJc w:val="left"/>
      <w:lvlText w:val="(%1)"/>
      <w:numFmt w:val="lowerLetter"/>
      <w:start w:val="5"/>
    </w:lvl>
  </w:abstractNum>
  <w:abstractNum w:abstractNumId="53">
    <w:nsid w:val="23F9C13C"/>
    <w:multiLevelType w:val="hybridMultilevel"/>
    <w:lvl w:ilvl="0">
      <w:lvlJc w:val="left"/>
      <w:lvlText w:val="(%1)"/>
      <w:numFmt w:val="lowerLetter"/>
      <w:start w:val="6"/>
    </w:lvl>
    <w:lvl w:ilvl="1">
      <w:lvlJc w:val="left"/>
      <w:lvlText w:val="(%2)"/>
      <w:numFmt w:val="lowerLetter"/>
      <w:start w:val="1"/>
    </w:lvl>
  </w:abstractNum>
  <w:abstractNum w:abstractNumId="54">
    <w:nsid w:val="649BB77C"/>
    <w:multiLevelType w:val="hybridMultilevel"/>
    <w:lvl w:ilvl="0">
      <w:lvlJc w:val="left"/>
      <w:lvlText w:val="(%1)"/>
      <w:numFmt w:val="lowerLetter"/>
      <w:start w:val="2"/>
    </w:lvl>
    <w:lvl w:ilvl="1">
      <w:lvlJc w:val="left"/>
      <w:lvlText w:val="(%2)"/>
      <w:numFmt w:val="lowerLetter"/>
      <w:start w:val="3"/>
    </w:lvl>
  </w:abstractNum>
  <w:abstractNum w:abstractNumId="55">
    <w:nsid w:val="275AC79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2021-10-05T15:08:29Z</dcterms:created>
  <dcterms:modified xsi:type="dcterms:W3CDTF">2021-10-05T15:08:29Z</dcterms:modified>
</cp:coreProperties>
</file>