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Boxer Capital, LLC</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09/24/2020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11682 EL CAMINO REAL</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320</w:t>
      </w:r>
    </w:p>
    <w:p>
      <w:pPr>
        <w:spacing w:after="0" w:line="322"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41"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92130 DIEGO</w:t>
      </w:r>
    </w:p>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4"/>
          <w:szCs w:val="24"/>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8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2420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242062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82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20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jc w:val="center"/>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90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7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18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5"/>
              </w:rPr>
              <w:t>586,099</w:t>
            </w:r>
          </w:p>
        </w:tc>
        <w:tc>
          <w:tcPr>
            <w:tcW w:w="10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C Preferred Stock</w:t>
            </w:r>
          </w:p>
        </w:tc>
        <w:tc>
          <w:tcPr>
            <w:tcW w:w="118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8"/>
              </w:rPr>
              <w:t>32,708</w:t>
            </w:r>
          </w:p>
        </w:tc>
        <w:tc>
          <w:tcPr>
            <w:tcW w:w="10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(3)</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18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5"/>
              </w:rPr>
              <w:t>732,137</w:t>
            </w:r>
          </w:p>
        </w:tc>
        <w:tc>
          <w:tcPr>
            <w:tcW w:w="10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D Preferred Stock</w:t>
            </w:r>
          </w:p>
        </w:tc>
        <w:tc>
          <w:tcPr>
            <w:tcW w:w="1180" w:type="dxa"/>
            <w:vAlign w:val="bottom"/>
            <w:tcBorders>
              <w:bottom w:val="single" w:sz="8" w:color="2C2C2C"/>
            </w:tcBorders>
            <w:gridSpan w:val="2"/>
          </w:tcPr>
          <w:p>
            <w:pPr>
              <w:jc w:val="right"/>
              <w:ind w:right="345"/>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Borders>
              <w:bottom w:val="single" w:sz="8" w:color="2C2C2C"/>
            </w:tcBorders>
          </w:tcPr>
          <w:p>
            <w:pPr>
              <w:jc w:val="center"/>
              <w:ind w:left="35"/>
              <w:spacing w:after="0"/>
              <w:rPr>
                <w:sz w:val="20"/>
                <w:szCs w:val="20"/>
                <w:color w:val="auto"/>
              </w:rPr>
            </w:pPr>
            <w:r>
              <w:rPr>
                <w:rFonts w:ascii="Times New Roman" w:cs="Times New Roman" w:eastAsia="Times New Roman" w:hAnsi="Times New Roman"/>
                <w:sz w:val="20"/>
                <w:szCs w:val="20"/>
                <w:color w:val="0000FF"/>
                <w:w w:val="98"/>
              </w:rPr>
              <w:t>28,129</w:t>
            </w:r>
          </w:p>
        </w:tc>
        <w:tc>
          <w:tcPr>
            <w:tcW w:w="10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20"/>
                <w:szCs w:val="20"/>
                <w:color w:val="0000FF"/>
              </w:rPr>
              <w:t>0.00</w:t>
            </w:r>
          </w:p>
        </w:tc>
        <w:tc>
          <w:tcPr>
            <w:tcW w:w="92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(3)</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00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Boxer Capital, LLC</w:t>
              </w:r>
            </w:hyperlink>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gridSpan w:val="2"/>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11682 EL CAMINO REAL</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320</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SAN DIEGO</w:t>
            </w:r>
          </w:p>
        </w:tc>
        <w:tc>
          <w:tcPr>
            <w:tcW w:w="150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0000FF"/>
              </w:rPr>
              <w:t>92130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gridSpan w:val="2"/>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180"/>
              <w:spacing w:after="0"/>
              <w:rPr>
                <w:sz w:val="20"/>
                <w:szCs w:val="20"/>
                <w:color w:val="auto"/>
              </w:rPr>
            </w:pPr>
            <w:r>
              <w:rPr>
                <w:rFonts w:ascii="Arial" w:cs="Arial" w:eastAsia="Arial" w:hAnsi="Arial"/>
                <w:sz w:val="15"/>
                <w:szCs w:val="15"/>
                <w:color w:val="auto"/>
              </w:rPr>
              <w:t>(State)</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(Zip)</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4"/>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00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Boxer Asset Management Inc.</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gridSpan w:val="2"/>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180"/>
              <w:spacing w:after="0"/>
              <w:rPr>
                <w:sz w:val="20"/>
                <w:szCs w:val="20"/>
                <w:color w:val="auto"/>
              </w:rPr>
            </w:pPr>
            <w:r>
              <w:rPr>
                <w:rFonts w:ascii="Arial" w:cs="Arial" w:eastAsia="Arial" w:hAnsi="Arial"/>
                <w:sz w:val="15"/>
                <w:szCs w:val="15"/>
                <w:color w:val="auto"/>
              </w:rPr>
              <w:t>(First)</w:t>
            </w:r>
          </w:p>
        </w:tc>
        <w:tc>
          <w:tcPr>
            <w:tcW w:w="1180" w:type="dxa"/>
            <w:vAlign w:val="bottom"/>
            <w:gridSpan w:val="2"/>
          </w:tcPr>
          <w:p>
            <w:pPr>
              <w:ind w:left="60"/>
              <w:spacing w:after="0"/>
              <w:rPr>
                <w:sz w:val="20"/>
                <w:szCs w:val="20"/>
                <w:color w:val="auto"/>
              </w:rPr>
            </w:pPr>
            <w:r>
              <w:rPr>
                <w:rFonts w:ascii="Arial" w:cs="Arial" w:eastAsia="Arial" w:hAnsi="Arial"/>
                <w:sz w:val="15"/>
                <w:szCs w:val="15"/>
                <w:color w:val="auto"/>
              </w:rPr>
              <w:t>(Middle)</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-3746500</wp:posOffset>
            </wp:positionV>
            <wp:extent cx="6937375" cy="447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6937375" cy="4478655"/>
                    </a:xfrm>
                    <a:prstGeom prst="rect">
                      <a:avLst/>
                    </a:prstGeom>
                    <a:noFill/>
                  </pic:spPr>
                </pic:pic>
              </a:graphicData>
            </a:graphic>
          </wp:anchor>
        </w:drawing>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CAY HOUSE, EP TAYLOR DRIVE N7776</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LYFORD CAY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121285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type w:val="continuous"/>
        </w:sectPr>
      </w:pPr>
    </w:p>
    <w:p>
      <w:pPr>
        <w:spacing w:after="0" w:line="3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0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w:t>
            </w:r>
          </w:p>
        </w:tc>
        <w:tc>
          <w:tcPr>
            <w:tcW w:w="100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C5</w:t>
            </w:r>
          </w:p>
        </w:tc>
        <w:tc>
          <w:tcPr>
            <w:tcW w:w="192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0000FF"/>
              </w:rPr>
              <w:t>C5</w:t>
            </w:r>
          </w:p>
        </w:tc>
      </w:tr>
      <w:tr>
        <w:trPr>
          <w:trHeight w:val="254"/>
        </w:trPr>
        <w:tc>
          <w:tcPr>
            <w:tcW w:w="10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PROVIDENCE</w:t>
            </w:r>
          </w:p>
        </w:tc>
        <w:tc>
          <w:tcPr>
            <w:tcW w:w="10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000" w:type="dxa"/>
            <w:vAlign w:val="bottom"/>
          </w:tcPr>
          <w:p>
            <w:pPr>
              <w:ind w:left="8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12"/>
        </w:trPr>
        <w:tc>
          <w:tcPr>
            <w:tcW w:w="100" w:type="dxa"/>
            <w:vAlign w:val="bottom"/>
          </w:tcPr>
          <w:p>
            <w:pPr>
              <w:spacing w:after="0"/>
              <w:rPr>
                <w:sz w:val="24"/>
                <w:szCs w:val="24"/>
                <w:color w:val="auto"/>
              </w:rPr>
            </w:pPr>
          </w:p>
        </w:tc>
        <w:tc>
          <w:tcPr>
            <w:tcW w:w="232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18">
              <w:r>
                <w:rPr>
                  <w:rFonts w:ascii="Times New Roman" w:cs="Times New Roman" w:eastAsia="Times New Roman" w:hAnsi="Times New Roman"/>
                  <w:sz w:val="24"/>
                  <w:szCs w:val="24"/>
                  <w:u w:val="single" w:color="auto"/>
                  <w:color w:val="0000EE"/>
                </w:rPr>
                <w:t>LEWIS JOSEPH</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000" w:type="dxa"/>
            <w:vAlign w:val="bottom"/>
          </w:tcPr>
          <w:p>
            <w:pPr>
              <w:ind w:left="8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-1440180</wp:posOffset>
            </wp:positionV>
            <wp:extent cx="2773045" cy="6908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773045" cy="6908800"/>
                    </a:xfrm>
                    <a:prstGeom prst="rect">
                      <a:avLst/>
                    </a:prstGeom>
                    <a:noFill/>
                  </pic:spPr>
                </pic:pic>
              </a:graphicData>
            </a:graphic>
          </wp:anchor>
        </w:drawing>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C/O CAY HOUSE, EP TAYLOR DRIVE N7776</w:t>
      </w:r>
    </w:p>
    <w:p>
      <w:pPr>
        <w:spacing w:after="0" w:line="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LYFORD CAY</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00" w:type="dxa"/>
            <w:vAlign w:val="bottom"/>
          </w:tcPr>
          <w:p>
            <w:pPr>
              <w:spacing w:after="0"/>
              <w:rPr>
                <w:sz w:val="21"/>
                <w:szCs w:val="21"/>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w:t>
            </w:r>
          </w:p>
        </w:tc>
        <w:tc>
          <w:tcPr>
            <w:tcW w:w="11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C5</w:t>
            </w:r>
          </w:p>
        </w:tc>
        <w:tc>
          <w:tcPr>
            <w:tcW w:w="1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20"/>
                <w:szCs w:val="20"/>
                <w:color w:val="0000FF"/>
              </w:rPr>
              <w:t>C5</w:t>
            </w:r>
          </w:p>
        </w:tc>
        <w:tc>
          <w:tcPr>
            <w:tcW w:w="0" w:type="dxa"/>
            <w:vAlign w:val="bottom"/>
          </w:tcPr>
          <w:p>
            <w:pPr>
              <w:spacing w:after="0"/>
              <w:rPr>
                <w:sz w:val="1"/>
                <w:szCs w:val="1"/>
                <w:color w:val="auto"/>
              </w:rPr>
            </w:pPr>
          </w:p>
        </w:tc>
      </w:tr>
      <w:tr>
        <w:trPr>
          <w:trHeight w:val="254"/>
        </w:trPr>
        <w:tc>
          <w:tcPr>
            <w:tcW w:w="100" w:type="dxa"/>
            <w:vAlign w:val="bottom"/>
          </w:tcPr>
          <w:p>
            <w:pPr>
              <w:spacing w:after="0"/>
              <w:rPr>
                <w:sz w:val="22"/>
                <w:szCs w:val="22"/>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PROVIDENCE</w:t>
            </w:r>
          </w:p>
        </w:tc>
        <w:tc>
          <w:tcPr>
            <w:tcW w:w="1160" w:type="dxa"/>
            <w:vAlign w:val="bottom"/>
            <w:vMerge w:val="continue"/>
          </w:tcPr>
          <w:p>
            <w:pPr>
              <w:spacing w:after="0"/>
              <w:rPr>
                <w:sz w:val="22"/>
                <w:szCs w:val="22"/>
                <w:color w:val="auto"/>
              </w:rPr>
            </w:pPr>
          </w:p>
        </w:tc>
        <w:tc>
          <w:tcPr>
            <w:tcW w:w="17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0">
              <w:r>
                <w:rPr>
                  <w:rFonts w:ascii="Times New Roman" w:cs="Times New Roman" w:eastAsia="Times New Roman" w:hAnsi="Times New Roman"/>
                  <w:sz w:val="24"/>
                  <w:szCs w:val="24"/>
                  <w:u w:val="single" w:color="auto"/>
                  <w:color w:val="0000EE"/>
                </w:rPr>
                <w:t>MVA Investors, LLC</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11682 EL CAMINO REAL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320</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SAN DIEGO</w:t>
            </w:r>
          </w:p>
        </w:tc>
        <w:tc>
          <w:tcPr>
            <w:tcW w:w="11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92130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r>
        <w:trPr>
          <w:trHeight w:val="97"/>
        </w:trPr>
        <w:tc>
          <w:tcPr>
            <w:tcW w:w="4340" w:type="dxa"/>
            <w:vAlign w:val="bottom"/>
            <w:tcBorders>
              <w:bottom w:val="single" w:sz="8" w:color="2C2C2C"/>
            </w:tcBorders>
            <w:gridSpan w:val="5"/>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4340" w:type="dxa"/>
            <w:vAlign w:val="bottom"/>
            <w:gridSpan w:val="5"/>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312"/>
        </w:trPr>
        <w:tc>
          <w:tcPr>
            <w:tcW w:w="100" w:type="dxa"/>
            <w:vAlign w:val="bottom"/>
          </w:tcPr>
          <w:p>
            <w:pPr>
              <w:spacing w:after="0"/>
              <w:rPr>
                <w:sz w:val="24"/>
                <w:szCs w:val="24"/>
                <w:color w:val="auto"/>
              </w:rPr>
            </w:pPr>
          </w:p>
        </w:tc>
        <w:tc>
          <w:tcPr>
            <w:tcW w:w="2480" w:type="dxa"/>
            <w:vAlign w:val="bottom"/>
            <w:gridSpan w:val="2"/>
          </w:tcPr>
          <w:p>
            <w:pPr>
              <w:ind w:left="20"/>
              <w:spacing w:after="0"/>
              <w:rPr>
                <w:rFonts w:ascii="Times New Roman" w:cs="Times New Roman" w:eastAsia="Times New Roman" w:hAnsi="Times New Roman"/>
                <w:sz w:val="24"/>
                <w:szCs w:val="24"/>
                <w:u w:val="single" w:color="auto"/>
                <w:color w:val="0000EE"/>
              </w:rPr>
            </w:pPr>
            <w:hyperlink r:id="rId21">
              <w:r>
                <w:rPr>
                  <w:rFonts w:ascii="Times New Roman" w:cs="Times New Roman" w:eastAsia="Times New Roman" w:hAnsi="Times New Roman"/>
                  <w:sz w:val="24"/>
                  <w:szCs w:val="24"/>
                  <w:u w:val="single" w:color="auto"/>
                  <w:color w:val="0000EE"/>
                </w:rPr>
                <w:t>Davis Aaron I.</w:t>
              </w:r>
            </w:hyperlink>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(Last)</w:t>
            </w:r>
          </w:p>
        </w:tc>
        <w:tc>
          <w:tcPr>
            <w:tcW w:w="1160" w:type="dxa"/>
            <w:vAlign w:val="bottom"/>
          </w:tcPr>
          <w:p>
            <w:pPr>
              <w:ind w:left="80"/>
              <w:spacing w:after="0"/>
              <w:rPr>
                <w:sz w:val="20"/>
                <w:szCs w:val="20"/>
                <w:color w:val="auto"/>
              </w:rPr>
            </w:pPr>
            <w:r>
              <w:rPr>
                <w:rFonts w:ascii="Arial" w:cs="Arial" w:eastAsia="Arial" w:hAnsi="Arial"/>
                <w:sz w:val="15"/>
                <w:szCs w:val="15"/>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1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0000FF"/>
              </w:rPr>
              <w:t>11682 EL CAMINO REAL</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SUITE 320</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42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SAN DIEGO</w:t>
            </w:r>
          </w:p>
        </w:tc>
        <w:tc>
          <w:tcPr>
            <w:tcW w:w="11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CA</w:t>
            </w:r>
          </w:p>
        </w:tc>
        <w:tc>
          <w:tcPr>
            <w:tcW w:w="16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92130</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100" w:type="dxa"/>
            <w:vAlign w:val="bottom"/>
          </w:tcPr>
          <w:p>
            <w:pPr>
              <w:spacing w:after="0"/>
              <w:rPr>
                <w:sz w:val="24"/>
                <w:szCs w:val="24"/>
                <w:color w:val="auto"/>
              </w:rPr>
            </w:pPr>
          </w:p>
        </w:tc>
        <w:tc>
          <w:tcPr>
            <w:tcW w:w="1320" w:type="dxa"/>
            <w:vAlign w:val="bottom"/>
          </w:tcPr>
          <w:p>
            <w:pPr>
              <w:ind w:left="20"/>
              <w:spacing w:after="0"/>
              <w:rPr>
                <w:sz w:val="20"/>
                <w:szCs w:val="20"/>
                <w:color w:val="auto"/>
              </w:rPr>
            </w:pPr>
            <w:r>
              <w:rPr>
                <w:rFonts w:ascii="Arial" w:cs="Arial" w:eastAsia="Arial" w:hAnsi="Arial"/>
                <w:sz w:val="15"/>
                <w:szCs w:val="15"/>
                <w:color w:val="auto"/>
              </w:rPr>
              <w:t>(City)</w:t>
            </w:r>
          </w:p>
        </w:tc>
        <w:tc>
          <w:tcPr>
            <w:tcW w:w="1160" w:type="dxa"/>
            <w:vAlign w:val="bottom"/>
          </w:tcPr>
          <w:p>
            <w:pPr>
              <w:ind w:left="80"/>
              <w:spacing w:after="0"/>
              <w:rPr>
                <w:sz w:val="20"/>
                <w:szCs w:val="20"/>
                <w:color w:val="auto"/>
              </w:rPr>
            </w:pPr>
            <w:r>
              <w:rPr>
                <w:rFonts w:ascii="Arial" w:cs="Arial" w:eastAsia="Arial" w:hAnsi="Arial"/>
                <w:sz w:val="15"/>
                <w:szCs w:val="15"/>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left="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of each of the Series C Preferred Stock and Series D Preferred Stock shall automatically convert into shares of Common Stock on a one to one basis immediately prior to the completion of the Issuer's initial public offering of Common Stock and have no expiration date.</w:t>
      </w:r>
    </w:p>
    <w:p>
      <w:pPr>
        <w:spacing w:after="0" w:line="17" w:lineRule="exact"/>
        <w:rPr>
          <w:rFonts w:ascii="Times New Roman" w:cs="Times New Roman" w:eastAsia="Times New Roman" w:hAnsi="Times New Roman"/>
          <w:sz w:val="15"/>
          <w:szCs w:val="15"/>
          <w:color w:val="008000"/>
        </w:rPr>
      </w:pPr>
    </w:p>
    <w:p>
      <w:pPr>
        <w:ind w:left="20" w:right="1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Boxer Capital, LLC ("Boxer Capital") which may be deemed to be a member of a "group" for purposes of Section 13(d) of the Securities Exchange Act of 1934, as amended, consisting of (i) Boxer Capital, (ii) Boxer Asset Management Inc., (iii) MVA Investors, LLC ("MVA Investors") (iv) Aaron I. Davis, and (v) Joe Lewis (collectively, the "Boxer Group"). Each member of the Boxer Group other than Boxer Capital disclaims beneficial ownership of these securities to the extent it does not have a pecuniary interest therein.</w:t>
      </w:r>
    </w:p>
    <w:p>
      <w:pPr>
        <w:spacing w:after="0" w:line="33" w:lineRule="exact"/>
        <w:rPr>
          <w:rFonts w:ascii="Times New Roman" w:cs="Times New Roman" w:eastAsia="Times New Roman" w:hAnsi="Times New Roman"/>
          <w:sz w:val="15"/>
          <w:szCs w:val="15"/>
          <w:color w:val="008000"/>
        </w:rPr>
      </w:pPr>
    </w:p>
    <w:p>
      <w:pPr>
        <w:ind w:left="20" w:right="20" w:firstLine="5"/>
        <w:spacing w:after="0" w:line="25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shares are held of record by MVA Investors. Each member of the Boxer Group other than MVA Investors disclaims beneficial ownership of these securities to the extent it or he does not have a pecuniary interest therein.</w:t>
      </w:r>
    </w:p>
    <w:p>
      <w:pPr>
        <w:sectPr>
          <w:pgSz w:w="11900" w:h="16880" w:orient="portrait"/>
          <w:cols w:equalWidth="0" w:num="1">
            <w:col w:w="10860"/>
          </w:cols>
          <w:pgMar w:left="500" w:top="124" w:right="539" w:bottom="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Boxer Capital,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2809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22809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793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138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Boxer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176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17625"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Inc., By: /s/ Jason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2870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02870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Callender,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512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95123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Joseph C.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6329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spacing w:after="0" w:line="5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MVA Investors,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9476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94765"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Aaron I. Davis,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793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179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8138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8813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09/24/2020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13" w:lineRule="exact"/>
        <w:rPr>
          <w:sz w:val="20"/>
          <w:szCs w:val="20"/>
          <w:color w:val="auto"/>
        </w:rPr>
      </w:pPr>
    </w:p>
    <w:p>
      <w:pPr>
        <w:sectPr>
          <w:pgSz w:w="11900" w:h="16880" w:orient="portrait"/>
          <w:cols w:equalWidth="0" w:num="2">
            <w:col w:w="8620" w:space="120"/>
            <w:col w:w="2120"/>
          </w:cols>
          <w:pgMar w:left="500" w:top="124" w:right="539" w:bottom="0" w:gutter="0" w:footer="0" w:header="0"/>
          <w:type w:val="continuous"/>
        </w:sectPr>
      </w:pPr>
    </w:p>
    <w:tbl>
      <w:tblPr>
        <w:tblLayout w:type="fixed"/>
        <w:tblInd w:w="2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Aaron I. Davis</w:t>
            </w:r>
          </w:p>
        </w:tc>
        <w:tc>
          <w:tcPr>
            <w:tcW w:w="80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09/24/2020</w:t>
            </w:r>
          </w:p>
        </w:tc>
        <w:tc>
          <w:tcPr>
            <w:tcW w:w="0" w:type="dxa"/>
            <w:vAlign w:val="bottom"/>
          </w:tcPr>
          <w:p>
            <w:pPr>
              <w:spacing w:after="0"/>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80" w:orient="portrait"/>
          <w:cols w:equalWidth="0" w:num="1">
            <w:col w:w="10860"/>
          </w:cols>
          <w:pgMar w:left="500" w:top="124" w:right="539" w:bottom="0" w:gutter="0" w:footer="0" w:header="0"/>
          <w:type w:val="continuous"/>
        </w:sectPr>
      </w:pPr>
    </w:p>
    <w:bookmarkStart w:id="2" w:name="page3"/>
    <w:bookmarkEnd w:id="2"/>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p>
      <w:pPr>
        <w:spacing w:after="0" w:line="53"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36"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10" Type="http://schemas.openxmlformats.org/officeDocument/2006/relationships/hyperlink" Target="http://www.sec.gov/cgi-bin/browse-edgar?action=getcompany&amp;CIK=0001465837" TargetMode="External"/><Relationship Id="rId11" Type="http://schemas.openxmlformats.org/officeDocument/2006/relationships/hyperlink" Target="http://www.sec.gov/cgi-bin/browse-edgar?action=getcompany&amp;CIK=0001699382" TargetMode="External"/><Relationship Id="rId15" Type="http://schemas.openxmlformats.org/officeDocument/2006/relationships/hyperlink" Target="http://www.sec.gov/cgi-bin/browse-edgar?action=getcompany&amp;CIK=0001465836" TargetMode="External"/><Relationship Id="rId18" Type="http://schemas.openxmlformats.org/officeDocument/2006/relationships/hyperlink" Target="http://www.sec.gov/cgi-bin/browse-edgar?action=getcompany&amp;CIK=0001015747" TargetMode="External"/><Relationship Id="rId20" Type="http://schemas.openxmlformats.org/officeDocument/2006/relationships/hyperlink" Target="http://www.sec.gov/cgi-bin/browse-edgar?action=getcompany&amp;CIK=0001468223" TargetMode="External"/><Relationship Id="rId21"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2020-09-24T18:26:22Z</dcterms:created>
  <dcterms:modified xsi:type="dcterms:W3CDTF">2020-09-24T18:26:22Z</dcterms:modified>
</cp:coreProperties>
</file>