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60" w:right="120" w:hanging="273"/>
        <w:spacing w:after="0" w:line="191" w:lineRule="auto"/>
        <w:tabs>
          <w:tab w:leader="none" w:pos="3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to 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-259715</wp:posOffset>
            </wp:positionV>
            <wp:extent cx="118745" cy="169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69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28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Levine Alison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PMV PHARMACEUTICALS,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 CLARKE DRIVE, SUITE 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PMV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PMVP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52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Former 10% Owner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1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CRANBURY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-2658745</wp:posOffset>
            </wp:positionV>
            <wp:extent cx="7031355" cy="26993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69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has ceased to be 10% owner effective as of September 29, 2020.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H. Mack,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09/29/2020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5189" TargetMode="External"/><Relationship Id="rId14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2020-09-29T16:38:14Z</dcterms:created>
  <dcterms:modified xsi:type="dcterms:W3CDTF">2020-09-29T16:38:14Z</dcterms:modified>
</cp:coreProperties>
</file>