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46-3218129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Cranbury, New Jersey 08512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including zip code, of Registrant’s principal executive offices)</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39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June 2, 2021, PMV Pharmaceuticals, Inc. (the “Company”) held its virtual 2021 Annual Meeting of Stockholders (the “Annual Meeting”)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exclusively online via live webcast. The shareholders voted on the following proposals at the Annual Meeting: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stockholders elected the two persons listed below as Class I Directors, each to serve until the Company’s 2024 Annual Meeting of Stockholders and until their respective successors has been duly elected and qualified, or until the earlier of the respective director’s death, resignation or retirement. The final voting results are as follows: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BROKER</w:t>
            </w:r>
          </w:p>
        </w:tc>
      </w:tr>
      <w:tr>
        <w:trPr>
          <w:trHeight w:val="167"/>
        </w:trPr>
        <w:tc>
          <w:tcPr>
            <w:tcW w:w="5960" w:type="dxa"/>
            <w:vAlign w:val="bottom"/>
          </w:tcPr>
          <w:p>
            <w:pPr>
              <w:spacing w:after="0"/>
              <w:rPr>
                <w:sz w:val="14"/>
                <w:szCs w:val="14"/>
                <w:color w:val="auto"/>
              </w:rPr>
            </w:pPr>
          </w:p>
        </w:tc>
        <w:tc>
          <w:tcPr>
            <w:tcW w:w="1200" w:type="dxa"/>
            <w:vAlign w:val="bottom"/>
            <w:gridSpan w:val="3"/>
          </w:tcPr>
          <w:p>
            <w:pPr>
              <w:ind w:left="280"/>
              <w:spacing w:after="0"/>
              <w:rPr>
                <w:sz w:val="20"/>
                <w:szCs w:val="20"/>
                <w:color w:val="auto"/>
              </w:rPr>
            </w:pPr>
            <w:r>
              <w:rPr>
                <w:rFonts w:ascii="Arial" w:cs="Arial" w:eastAsia="Arial" w:hAnsi="Arial"/>
                <w:sz w:val="14"/>
                <w:szCs w:val="14"/>
                <w:color w:val="auto"/>
              </w:rPr>
              <w:t>FOR</w:t>
            </w:r>
          </w:p>
        </w:tc>
        <w:tc>
          <w:tcPr>
            <w:tcW w:w="640" w:type="dxa"/>
            <w:vAlign w:val="bottom"/>
          </w:tcPr>
          <w:p>
            <w:pPr>
              <w:spacing w:after="0"/>
              <w:rPr>
                <w:sz w:val="20"/>
                <w:szCs w:val="20"/>
                <w:color w:val="auto"/>
              </w:rPr>
            </w:pPr>
            <w:r>
              <w:rPr>
                <w:rFonts w:ascii="Arial" w:cs="Arial" w:eastAsia="Arial" w:hAnsi="Arial"/>
                <w:sz w:val="14"/>
                <w:szCs w:val="14"/>
                <w:color w:val="auto"/>
              </w:rPr>
              <w:t>AGAINST</w:t>
            </w:r>
          </w:p>
        </w:tc>
        <w:tc>
          <w:tcPr>
            <w:tcW w:w="3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WITHHELD</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NON-VOTES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Thilo Schroeder, Ph.D.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31,591,645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4,507,250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1,028,013</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Peter Thompson, M.D.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30,463,333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5,635,562</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1,028,013</w:t>
            </w:r>
          </w:p>
        </w:tc>
        <w:tc>
          <w:tcPr>
            <w:tcW w:w="4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Ratification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ratified the selection by the Audit Committee of the Company’s Board of Directors of Ernst &amp; Young LLP as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independent registered public accounting firm for the fiscal year ending December 31, 2021. The final voting results are as follows:</w:t>
      </w:r>
    </w:p>
    <w:p>
      <w:pPr>
        <w:spacing w:after="0" w:line="245" w:lineRule="exact"/>
        <w:rPr>
          <w:sz w:val="20"/>
          <w:szCs w:val="20"/>
          <w:color w:val="auto"/>
        </w:rPr>
      </w:pPr>
    </w:p>
    <w:tbl>
      <w:tblPr>
        <w:tblLayout w:type="fixed"/>
        <w:tblInd w:w="1660" w:type="dxa"/>
        <w:tblCellMar>
          <w:top w:w="0" w:type="dxa"/>
          <w:left w:w="0" w:type="dxa"/>
          <w:bottom w:w="0" w:type="dxa"/>
          <w:right w:w="0" w:type="dxa"/>
        </w:tblCellMar>
      </w:tblPr>
      <w:tr>
        <w:trPr>
          <w:trHeight w:val="167"/>
        </w:trPr>
        <w:tc>
          <w:tcPr>
            <w:tcW w:w="26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10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216"/>
        </w:trPr>
        <w:tc>
          <w:tcPr>
            <w:tcW w:w="26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37,069,556</w:t>
            </w:r>
          </w:p>
        </w:tc>
        <w:tc>
          <w:tcPr>
            <w:tcW w:w="10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57,272</w:t>
            </w:r>
          </w:p>
        </w:tc>
        <w:tc>
          <w:tcPr>
            <w:tcW w:w="6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rPr>
              <w:t>80</w:t>
            </w: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more information about the foregoing proposals, see the Company’s definitive proxy statement on Schedule 14A, filed with the U.S. Securities and Exchange Commission on April 23, 2021.</w:t>
      </w:r>
    </w:p>
    <w:p>
      <w:pPr>
        <w:sectPr>
          <w:pgSz w:w="11900" w:h="16838" w:orient="portrait"/>
          <w:cols w:equalWidth="0" w:num="1">
            <w:col w:w="10880"/>
          </w:cols>
          <w:pgMar w:left="440" w:top="270" w:right="5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Operating Officer and Chief Financial Officer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2021</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2021-06-07T11:05:53Z</dcterms:created>
  <dcterms:modified xsi:type="dcterms:W3CDTF">2021-06-07T11:05:53Z</dcterms:modified>
</cp:coreProperties>
</file>