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20" w:type="dxa"/>
            <w:vAlign w:val="bottom"/>
            <w:gridSpan w:val="1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4"/>
            <w:vMerge w:val="restart"/>
          </w:tcPr>
          <w:p>
            <w:pPr>
              <w:spacing w:after="0"/>
              <w:rPr>
                <w:rFonts w:ascii="Arial" w:cs="Arial" w:eastAsia="Arial" w:hAnsi="Arial"/>
                <w:sz w:val="21"/>
                <w:szCs w:val="21"/>
                <w:color w:val="0000EE"/>
                <w:w w:val="95"/>
              </w:rPr>
            </w:pPr>
            <w:hyperlink r:id="rId12">
              <w:r>
                <w:rPr>
                  <w:rFonts w:ascii="Arial" w:cs="Arial" w:eastAsia="Arial" w:hAnsi="Arial"/>
                  <w:sz w:val="21"/>
                  <w:szCs w:val="21"/>
                  <w:color w:val="0000EE"/>
                  <w:w w:val="95"/>
                </w:rPr>
                <w:t>Schroeder Thilo</w:t>
              </w:r>
            </w:hyperlink>
          </w:p>
        </w:tc>
        <w:tc>
          <w:tcPr>
            <w:tcW w:w="8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7"/>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PMV Pharmaceuticals,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PMVP</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320" w:type="dxa"/>
            <w:vAlign w:val="bottom"/>
          </w:tcPr>
          <w:p>
            <w:pPr>
              <w:spacing w:after="0"/>
              <w:rPr>
                <w:sz w:val="9"/>
                <w:szCs w:val="9"/>
                <w:color w:val="auto"/>
              </w:rPr>
            </w:pPr>
          </w:p>
        </w:tc>
        <w:tc>
          <w:tcPr>
            <w:tcW w:w="1580" w:type="dxa"/>
            <w:vAlign w:val="bottom"/>
            <w:gridSpan w:val="6"/>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40" w:type="dxa"/>
            <w:vAlign w:val="bottom"/>
            <w:gridSpan w:val="4"/>
            <w:vMerge w:val="continue"/>
          </w:tcPr>
          <w:p>
            <w:pPr>
              <w:spacing w:after="0"/>
              <w:rPr>
                <w:sz w:val="4"/>
                <w:szCs w:val="4"/>
                <w:color w:val="auto"/>
              </w:rPr>
            </w:pPr>
          </w:p>
        </w:tc>
        <w:tc>
          <w:tcPr>
            <w:tcW w:w="8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4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580" w:type="dxa"/>
            <w:vAlign w:val="bottom"/>
            <w:gridSpan w:val="6"/>
            <w:vMerge w:val="continue"/>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gridSpan w:val="4"/>
            <w:vMerge w:val="continue"/>
          </w:tcPr>
          <w:p>
            <w:pPr>
              <w:spacing w:after="0"/>
              <w:rPr>
                <w:sz w:val="2"/>
                <w:szCs w:val="2"/>
                <w:color w:val="auto"/>
              </w:rPr>
            </w:pPr>
          </w:p>
        </w:tc>
        <w:tc>
          <w:tcPr>
            <w:tcW w:w="8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80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gridSpan w:val="2"/>
            <w:vMerge w:val="restart"/>
          </w:tcPr>
          <w:p>
            <w:pPr>
              <w:spacing w:after="0"/>
              <w:rPr>
                <w:sz w:val="20"/>
                <w:szCs w:val="20"/>
                <w:color w:val="auto"/>
              </w:rPr>
            </w:pPr>
            <w:r>
              <w:rPr>
                <w:rFonts w:ascii="Arial" w:cs="Arial" w:eastAsia="Arial" w:hAnsi="Arial"/>
                <w:sz w:val="17"/>
                <w:szCs w:val="17"/>
                <w:color w:val="0000FF"/>
              </w:rPr>
              <w:t>X</w:t>
            </w:r>
          </w:p>
        </w:tc>
        <w:tc>
          <w:tcPr>
            <w:tcW w:w="1160" w:type="dxa"/>
            <w:vAlign w:val="bottom"/>
            <w:gridSpan w:val="2"/>
            <w:vMerge w:val="restart"/>
          </w:tcPr>
          <w:p>
            <w:pPr>
              <w:ind w:left="180"/>
              <w:spacing w:after="0"/>
              <w:rPr>
                <w:sz w:val="20"/>
                <w:szCs w:val="20"/>
                <w:color w:val="auto"/>
              </w:rPr>
            </w:pPr>
            <w:r>
              <w:rPr>
                <w:rFonts w:ascii="Arial" w:cs="Arial" w:eastAsia="Arial" w:hAnsi="Arial"/>
                <w:sz w:val="13"/>
                <w:szCs w:val="13"/>
                <w:color w:val="auto"/>
              </w:rPr>
              <w:t>Director</w:t>
            </w:r>
          </w:p>
        </w:tc>
        <w:tc>
          <w:tcPr>
            <w:tcW w:w="300" w:type="dxa"/>
            <w:vAlign w:val="bottom"/>
          </w:tcPr>
          <w:p>
            <w:pPr>
              <w:spacing w:after="0"/>
              <w:rPr>
                <w:sz w:val="2"/>
                <w:szCs w:val="2"/>
                <w:color w:val="auto"/>
              </w:rPr>
            </w:pPr>
          </w:p>
        </w:tc>
        <w:tc>
          <w:tcPr>
            <w:tcW w:w="1540" w:type="dxa"/>
            <w:vAlign w:val="bottom"/>
            <w:gridSpan w:val="5"/>
            <w:vMerge w:val="restart"/>
          </w:tcPr>
          <w:p>
            <w:pPr>
              <w:ind w:left="2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40" w:type="dxa"/>
            <w:vAlign w:val="bottom"/>
            <w:gridSpan w:val="4"/>
            <w:vMerge w:val="continue"/>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gridSpan w:val="2"/>
            <w:vMerge w:val="continue"/>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154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200" w:type="dxa"/>
            <w:vAlign w:val="bottom"/>
            <w:tcBorders>
              <w:top w:val="single" w:sz="8" w:color="0000EE"/>
            </w:tcBorders>
          </w:tcPr>
          <w:p>
            <w:pPr>
              <w:spacing w:after="0"/>
              <w:rPr>
                <w:sz w:val="8"/>
                <w:szCs w:val="8"/>
                <w:color w:val="auto"/>
              </w:rPr>
            </w:pPr>
          </w:p>
        </w:tc>
        <w:tc>
          <w:tcPr>
            <w:tcW w:w="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gridSpan w:val="2"/>
            <w:vMerge w:val="continue"/>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300" w:type="dxa"/>
            <w:vAlign w:val="bottom"/>
          </w:tcPr>
          <w:p>
            <w:pPr>
              <w:spacing w:after="0"/>
              <w:rPr>
                <w:sz w:val="8"/>
                <w:szCs w:val="8"/>
                <w:color w:val="auto"/>
              </w:rPr>
            </w:pPr>
          </w:p>
        </w:tc>
        <w:tc>
          <w:tcPr>
            <w:tcW w:w="154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160" w:type="dxa"/>
            <w:vAlign w:val="bottom"/>
            <w:gridSpan w:val="2"/>
            <w:vMerge w:val="restart"/>
          </w:tcPr>
          <w:p>
            <w:pPr>
              <w:ind w:left="18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7"/>
                <w:szCs w:val="7"/>
                <w:color w:val="auto"/>
              </w:rPr>
            </w:pPr>
          </w:p>
        </w:tc>
        <w:tc>
          <w:tcPr>
            <w:tcW w:w="1540" w:type="dxa"/>
            <w:vAlign w:val="bottom"/>
            <w:gridSpan w:val="5"/>
            <w:vMerge w:val="restart"/>
          </w:tcPr>
          <w:p>
            <w:pPr>
              <w:ind w:left="2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54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60" w:type="dxa"/>
            <w:vAlign w:val="bottom"/>
            <w:gridSpan w:val="6"/>
            <w:vMerge w:val="continue"/>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60" w:type="dxa"/>
            <w:vAlign w:val="bottom"/>
            <w:gridSpan w:val="2"/>
          </w:tcPr>
          <w:p>
            <w:pPr>
              <w:ind w:left="180"/>
              <w:spacing w:after="0"/>
              <w:rPr>
                <w:sz w:val="20"/>
                <w:szCs w:val="20"/>
                <w:color w:val="auto"/>
              </w:rPr>
            </w:pPr>
            <w:r>
              <w:rPr>
                <w:rFonts w:ascii="Arial" w:cs="Arial" w:eastAsia="Arial" w:hAnsi="Arial"/>
                <w:sz w:val="13"/>
                <w:szCs w:val="13"/>
                <w:color w:val="auto"/>
              </w:rPr>
              <w:t>below)</w:t>
            </w:r>
          </w:p>
        </w:tc>
        <w:tc>
          <w:tcPr>
            <w:tcW w:w="300" w:type="dxa"/>
            <w:vAlign w:val="bottom"/>
          </w:tcPr>
          <w:p>
            <w:pPr>
              <w:spacing w:after="0"/>
              <w:rPr>
                <w:sz w:val="13"/>
                <w:szCs w:val="13"/>
                <w:color w:val="auto"/>
              </w:rPr>
            </w:pPr>
          </w:p>
        </w:tc>
        <w:tc>
          <w:tcPr>
            <w:tcW w:w="760" w:type="dxa"/>
            <w:vAlign w:val="bottom"/>
            <w:gridSpan w:val="2"/>
          </w:tcPr>
          <w:p>
            <w:pPr>
              <w:ind w:left="28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6"/>
            <w:vMerge w:val="restart"/>
          </w:tcPr>
          <w:p>
            <w:pPr>
              <w:spacing w:after="0"/>
              <w:rPr>
                <w:sz w:val="20"/>
                <w:szCs w:val="20"/>
                <w:color w:val="auto"/>
              </w:rPr>
            </w:pPr>
            <w:r>
              <w:rPr>
                <w:rFonts w:ascii="Arial" w:cs="Arial" w:eastAsia="Arial" w:hAnsi="Arial"/>
                <w:sz w:val="17"/>
                <w:szCs w:val="17"/>
                <w:color w:val="0000FF"/>
              </w:rPr>
              <w:t>C/O PMV PHARMACEUTICALS, INC.</w:t>
            </w:r>
          </w:p>
        </w:tc>
        <w:tc>
          <w:tcPr>
            <w:tcW w:w="1600" w:type="dxa"/>
            <w:vAlign w:val="bottom"/>
            <w:gridSpan w:val="6"/>
          </w:tcPr>
          <w:p>
            <w:pPr>
              <w:ind w:left="160"/>
              <w:spacing w:after="0"/>
              <w:rPr>
                <w:sz w:val="20"/>
                <w:szCs w:val="20"/>
                <w:color w:val="auto"/>
              </w:rPr>
            </w:pPr>
            <w:r>
              <w:rPr>
                <w:rFonts w:ascii="Arial" w:cs="Arial" w:eastAsia="Arial" w:hAnsi="Arial"/>
                <w:sz w:val="17"/>
                <w:szCs w:val="17"/>
                <w:color w:val="0000FF"/>
              </w:rPr>
              <w:t>09/22/2021</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6"/>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gridSpan w:val="5"/>
            <w:vMerge w:val="restart"/>
          </w:tcPr>
          <w:p>
            <w:pPr>
              <w:spacing w:after="0"/>
              <w:rPr>
                <w:sz w:val="20"/>
                <w:szCs w:val="20"/>
                <w:color w:val="auto"/>
              </w:rPr>
            </w:pPr>
            <w:r>
              <w:rPr>
                <w:rFonts w:ascii="Arial" w:cs="Arial" w:eastAsia="Arial" w:hAnsi="Arial"/>
                <w:sz w:val="17"/>
                <w:szCs w:val="17"/>
                <w:color w:val="0000FF"/>
              </w:rPr>
              <w:t>8 CLARKE DRIVE, SUITE 3</w:t>
            </w: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continue"/>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0" w:type="dxa"/>
            <w:vAlign w:val="bottom"/>
          </w:tcPr>
          <w:p>
            <w:pPr>
              <w:spacing w:after="0"/>
              <w:rPr>
                <w:sz w:val="9"/>
                <w:szCs w:val="9"/>
                <w:color w:val="auto"/>
              </w:rPr>
            </w:pPr>
          </w:p>
        </w:tc>
        <w:tc>
          <w:tcPr>
            <w:tcW w:w="3420" w:type="dxa"/>
            <w:vAlign w:val="bottom"/>
            <w:gridSpan w:val="1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7"/>
            <w:vMerge w:val="continue"/>
          </w:tcPr>
          <w:p>
            <w:pPr>
              <w:spacing w:after="0"/>
              <w:rPr>
                <w:sz w:val="8"/>
                <w:szCs w:val="8"/>
                <w:color w:val="auto"/>
              </w:rPr>
            </w:pPr>
          </w:p>
        </w:tc>
        <w:tc>
          <w:tcPr>
            <w:tcW w:w="320" w:type="dxa"/>
            <w:vAlign w:val="bottom"/>
          </w:tcPr>
          <w:p>
            <w:pPr>
              <w:spacing w:after="0"/>
              <w:rPr>
                <w:sz w:val="8"/>
                <w:szCs w:val="8"/>
                <w:color w:val="auto"/>
              </w:rPr>
            </w:pPr>
          </w:p>
        </w:tc>
        <w:tc>
          <w:tcPr>
            <w:tcW w:w="3420" w:type="dxa"/>
            <w:vAlign w:val="bottom"/>
            <w:gridSpan w:val="1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vMerge w:val="restart"/>
          </w:tcPr>
          <w:p>
            <w:pPr>
              <w:spacing w:after="0"/>
              <w:rPr>
                <w:sz w:val="5"/>
                <w:szCs w:val="5"/>
                <w:color w:val="auto"/>
              </w:rPr>
            </w:pPr>
          </w:p>
        </w:tc>
        <w:tc>
          <w:tcPr>
            <w:tcW w:w="420" w:type="dxa"/>
            <w:vAlign w:val="bottom"/>
            <w:gridSpan w:val="4"/>
            <w:vMerge w:val="restart"/>
          </w:tcPr>
          <w:p>
            <w:pPr>
              <w:ind w:left="8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420" w:type="dxa"/>
            <w:vAlign w:val="bottom"/>
            <w:gridSpan w:val="4"/>
            <w:vMerge w:val="continue"/>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10"/>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CRANBURY</w:t>
            </w:r>
          </w:p>
        </w:tc>
        <w:tc>
          <w:tcPr>
            <w:tcW w:w="260" w:type="dxa"/>
            <w:vAlign w:val="bottom"/>
            <w:gridSpan w:val="2"/>
          </w:tcPr>
          <w:p>
            <w:pPr>
              <w:ind w:left="40"/>
              <w:spacing w:after="0"/>
              <w:rPr>
                <w:sz w:val="20"/>
                <w:szCs w:val="20"/>
                <w:color w:val="auto"/>
              </w:rPr>
            </w:pPr>
            <w:r>
              <w:rPr>
                <w:rFonts w:ascii="Arial" w:cs="Arial" w:eastAsia="Arial" w:hAnsi="Arial"/>
                <w:sz w:val="17"/>
                <w:szCs w:val="17"/>
                <w:color w:val="0000FF"/>
                <w:w w:val="96"/>
              </w:rPr>
              <w:t>NJ</w:t>
            </w:r>
          </w:p>
        </w:tc>
        <w:tc>
          <w:tcPr>
            <w:tcW w:w="86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08512</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0" w:type="dxa"/>
            <w:vAlign w:val="bottom"/>
            <w:gridSpan w:val="8"/>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gridSpan w:val="2"/>
          </w:tcPr>
          <w:p>
            <w:pPr>
              <w:ind w:left="180"/>
              <w:spacing w:after="0" w:line="134" w:lineRule="exact"/>
              <w:rPr>
                <w:sz w:val="20"/>
                <w:szCs w:val="20"/>
                <w:color w:val="auto"/>
              </w:rPr>
            </w:pPr>
            <w:r>
              <w:rPr>
                <w:rFonts w:ascii="Arial" w:cs="Arial" w:eastAsia="Arial" w:hAnsi="Arial"/>
                <w:sz w:val="13"/>
                <w:szCs w:val="13"/>
                <w:color w:val="auto"/>
              </w:rPr>
              <w:t>Person</w:t>
            </w: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340" w:type="dxa"/>
            <w:vAlign w:val="bottom"/>
            <w:tcBorders>
              <w:bottom w:val="single" w:sz="8" w:color="2C2C2C"/>
            </w:tcBorders>
            <w:gridSpan w:val="5"/>
          </w:tcPr>
          <w:p>
            <w:pPr>
              <w:spacing w:after="0"/>
              <w:rPr>
                <w:sz w:val="11"/>
                <w:szCs w:val="11"/>
                <w:color w:val="auto"/>
              </w:rPr>
            </w:pPr>
          </w:p>
        </w:tc>
        <w:tc>
          <w:tcPr>
            <w:tcW w:w="1400" w:type="dxa"/>
            <w:vAlign w:val="bottom"/>
            <w:tcBorders>
              <w:bottom w:val="single" w:sz="8" w:color="2C2C2C"/>
            </w:tcBorders>
            <w:gridSpan w:val="3"/>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3"/>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7680" w:type="dxa"/>
            <w:vAlign w:val="bottom"/>
            <w:tcBorders>
              <w:top w:val="single" w:sz="8" w:color="2C2C2C"/>
            </w:tcBorders>
            <w:gridSpan w:val="19"/>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6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76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8"/>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0" w:type="dxa"/>
            <w:vAlign w:val="bottom"/>
            <w:gridSpan w:val="5"/>
          </w:tcPr>
          <w:p>
            <w:pPr>
              <w:ind w:left="7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3"/>
              </w:rPr>
              <w:t>(A) or</w:t>
            </w:r>
          </w:p>
        </w:tc>
        <w:tc>
          <w:tcPr>
            <w:tcW w:w="60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4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800" w:type="dxa"/>
            <w:vAlign w:val="bottom"/>
            <w:gridSpan w:val="5"/>
            <w:vMerge w:val="restart"/>
          </w:tcPr>
          <w:p>
            <w:pPr>
              <w:ind w:left="860"/>
              <w:spacing w:after="0"/>
              <w:rPr>
                <w:sz w:val="20"/>
                <w:szCs w:val="20"/>
                <w:color w:val="auto"/>
              </w:rPr>
            </w:pPr>
            <w:r>
              <w:rPr>
                <w:rFonts w:ascii="Arial" w:cs="Arial" w:eastAsia="Arial" w:hAnsi="Arial"/>
                <w:sz w:val="17"/>
                <w:szCs w:val="17"/>
                <w:color w:val="0000FF"/>
              </w:rPr>
              <w:t>09/22/2021</w:t>
            </w: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gridSpan w:val="2"/>
            <w:vMerge w:val="restart"/>
          </w:tcPr>
          <w:p>
            <w:pPr>
              <w:ind w:left="260"/>
              <w:spacing w:after="0"/>
              <w:rPr>
                <w:sz w:val="20"/>
                <w:szCs w:val="20"/>
                <w:color w:val="auto"/>
              </w:rPr>
            </w:pPr>
            <w:r>
              <w:rPr>
                <w:rFonts w:ascii="Arial" w:cs="Arial" w:eastAsia="Arial" w:hAnsi="Arial"/>
                <w:sz w:val="17"/>
                <w:szCs w:val="17"/>
                <w:color w:val="0000FF"/>
              </w:rPr>
              <w:t>100</w:t>
            </w:r>
          </w:p>
        </w:tc>
        <w:tc>
          <w:tcPr>
            <w:tcW w:w="460" w:type="dxa"/>
            <w:vAlign w:val="bottom"/>
            <w:vMerge w:val="restart"/>
          </w:tcPr>
          <w:p>
            <w:pPr>
              <w:ind w:left="260"/>
              <w:spacing w:after="0"/>
              <w:rPr>
                <w:sz w:val="20"/>
                <w:szCs w:val="20"/>
                <w:color w:val="auto"/>
              </w:rPr>
            </w:pPr>
            <w:r>
              <w:rPr>
                <w:rFonts w:ascii="Arial" w:cs="Arial" w:eastAsia="Arial" w:hAnsi="Arial"/>
                <w:sz w:val="17"/>
                <w:szCs w:val="17"/>
                <w:color w:val="0000FF"/>
              </w:rPr>
              <w:t>D</w:t>
            </w:r>
          </w:p>
        </w:tc>
        <w:tc>
          <w:tcPr>
            <w:tcW w:w="600" w:type="dxa"/>
            <w:vAlign w:val="bottom"/>
            <w:gridSpan w:val="3"/>
            <w:vMerge w:val="restart"/>
          </w:tcPr>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30</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60" w:type="dxa"/>
            <w:vAlign w:val="bottom"/>
            <w:gridSpan w:val="2"/>
            <w:vMerge w:val="restart"/>
          </w:tcPr>
          <w:p>
            <w:pPr>
              <w:ind w:left="180"/>
              <w:spacing w:after="0"/>
              <w:rPr>
                <w:sz w:val="20"/>
                <w:szCs w:val="20"/>
                <w:color w:val="auto"/>
              </w:rPr>
            </w:pPr>
            <w:r>
              <w:rPr>
                <w:rFonts w:ascii="Arial" w:cs="Arial" w:eastAsia="Arial" w:hAnsi="Arial"/>
                <w:sz w:val="17"/>
                <w:szCs w:val="17"/>
                <w:color w:val="0000FF"/>
              </w:rPr>
              <w:t>1,124,163</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800" w:type="dxa"/>
            <w:vAlign w:val="bottom"/>
            <w:gridSpan w:val="5"/>
            <w:vMerge w:val="continue"/>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60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tcPr>
          <w:p>
            <w:pPr>
              <w:spacing w:after="0"/>
              <w:rPr>
                <w:sz w:val="18"/>
                <w:szCs w:val="18"/>
                <w:color w:val="auto"/>
              </w:rPr>
            </w:pPr>
          </w:p>
        </w:tc>
        <w:tc>
          <w:tcPr>
            <w:tcW w:w="13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820" w:type="dxa"/>
            <w:vAlign w:val="bottom"/>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5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3"/>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were sold pursuant to a Rule 10b5-1 trading plan.</w:t>
      </w:r>
    </w:p>
    <w:p>
      <w:pPr>
        <w:spacing w:after="0" w:line="50" w:lineRule="exact"/>
        <w:rPr>
          <w:rFonts w:ascii="Arial" w:cs="Arial" w:eastAsia="Arial" w:hAnsi="Arial"/>
          <w:sz w:val="13"/>
          <w:szCs w:val="13"/>
          <w:color w:val="008000"/>
        </w:rPr>
      </w:pPr>
    </w:p>
    <w:p>
      <w:pPr>
        <w:ind w:left="40" w:right="620" w:firstLine="7"/>
        <w:spacing w:after="0" w:line="280"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shares are held of record by Nextech V Oncology S.C.S., SICAV-SIF. The Reporting Person is a partner at Nextech Invest AG and in the Investment Committee of Nextech Invest AG, with significant influence over Nextech V Oncology S.C.S., SICAV-SIF in terms of investment decisions, selling strategy of shares and voting power and as a result, may be deemed to have beneficial ownership over such securities. The Reporting Person disclaims beneficial ownership over the shares reported herein except to the extent of his pecuniary interest therein, if any.</w:t>
      </w: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Darren DeStefano,</w:t>
            </w:r>
          </w:p>
        </w:tc>
        <w:tc>
          <w:tcPr>
            <w:tcW w:w="5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09/24/2021</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6412" TargetMode="External"/><Relationship Id="rId13" Type="http://schemas.openxmlformats.org/officeDocument/2006/relationships/hyperlink" Target="http://www.sec.gov/cgi-bin/browse-edgar?action=getcompany&amp;CIK=00016993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2021-09-24T18:07:05Z</dcterms:created>
  <dcterms:modified xsi:type="dcterms:W3CDTF">2021-09-24T18:07:05Z</dcterms:modified>
</cp:coreProperties>
</file>