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2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jc w:val="center"/>
              <w:ind w:right="4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21"/>
            <w:vMerge w:val="restart"/>
          </w:tcPr>
          <w:p>
            <w:pPr>
              <w:jc w:val="center"/>
              <w:ind w:right="14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7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Gallagher Carol Giltner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6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 RESEARCH WAY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7"/>
          </w:tcPr>
          <w:p>
            <w:pPr>
              <w:ind w:left="2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1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 satisfy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0" w:type="dxa"/>
            <w:vAlign w:val="bottom"/>
            <w:gridSpan w:val="11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the affirmative defense conditions of Rule 10b5-1(c). See Instruction 10.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06/08/2023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21,500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06/07/2033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06/08/2023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21,500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06/07/2033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06/08/2023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21,500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06/07/2033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60" w:type="dxa"/>
            <w:vAlign w:val="bottom"/>
            <w:gridSpan w:val="2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Shares subject to the option vest on the earlier of (i) June 8, 2024 or (ii) the day prior to the date of the Issuer's next annual meeting of stockholders.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80" w:type="dxa"/>
            <w:vAlign w:val="bottom"/>
            <w:gridSpan w:val="2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The securities are held of record by The Gallagher Revocable Trust dated May 10, 2011 for which the reporting person serves as a trustee.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Winston Kung, by power of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06/12/2023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-7575550</wp:posOffset>
            </wp:positionV>
            <wp:extent cx="7046595" cy="635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5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29959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2023-06-12T16:26:31Z</dcterms:created>
  <dcterms:modified xsi:type="dcterms:W3CDTF">2023-06-12T16:26:31Z</dcterms:modified>
</cp:coreProperties>
</file>