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624"/>
        <w:spacing w:after="0"/>
        <w:rPr>
          <w:sz w:val="20"/>
          <w:szCs w:val="20"/>
          <w:color w:val="auto"/>
        </w:rPr>
      </w:pPr>
      <w:r>
        <w:rPr>
          <w:rFonts w:ascii="Arial" w:cs="Arial" w:eastAsia="Arial" w:hAnsi="Arial"/>
          <w:sz w:val="16"/>
          <w:szCs w:val="16"/>
          <w:color w:val="auto"/>
        </w:rPr>
        <w:t>1301 Avenue of the Americas, 40</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1577340"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600075"/>
                    </a:xfrm>
                    <a:prstGeom prst="rect">
                      <a:avLst/>
                    </a:prstGeom>
                    <a:noFill/>
                  </pic:spPr>
                </pic:pic>
              </a:graphicData>
            </a:graphic>
          </wp:anchor>
        </w:drawing>
      </w:r>
    </w:p>
    <w:p>
      <w:pPr>
        <w:spacing w:after="0" w:line="26" w:lineRule="exact"/>
        <w:rPr>
          <w:sz w:val="24"/>
          <w:szCs w:val="24"/>
          <w:color w:val="auto"/>
        </w:rPr>
      </w:pPr>
    </w:p>
    <w:p>
      <w:pPr>
        <w:ind w:left="7624"/>
        <w:spacing w:after="0"/>
        <w:rPr>
          <w:sz w:val="20"/>
          <w:szCs w:val="20"/>
          <w:color w:val="auto"/>
        </w:rPr>
      </w:pPr>
      <w:r>
        <w:rPr>
          <w:rFonts w:ascii="Arial" w:cs="Arial" w:eastAsia="Arial" w:hAnsi="Arial"/>
          <w:sz w:val="18"/>
          <w:szCs w:val="18"/>
          <w:color w:val="auto"/>
        </w:rPr>
        <w:t>New York, NY 10019-6022</w:t>
      </w:r>
    </w:p>
    <w:p>
      <w:pPr>
        <w:spacing w:after="0" w:line="9" w:lineRule="exact"/>
        <w:rPr>
          <w:sz w:val="24"/>
          <w:szCs w:val="24"/>
          <w:color w:val="auto"/>
        </w:rPr>
      </w:pPr>
    </w:p>
    <w:p>
      <w:pPr>
        <w:ind w:left="7624"/>
        <w:spacing w:after="0"/>
        <w:rPr>
          <w:sz w:val="20"/>
          <w:szCs w:val="20"/>
          <w:color w:val="auto"/>
        </w:rPr>
      </w:pPr>
      <w:r>
        <w:rPr>
          <w:rFonts w:ascii="Arial" w:cs="Arial" w:eastAsia="Arial" w:hAnsi="Arial"/>
          <w:sz w:val="15"/>
          <w:szCs w:val="15"/>
          <w:color w:val="auto"/>
        </w:rPr>
        <w:t xml:space="preserve">PHONE </w:t>
      </w:r>
      <w:r>
        <w:rPr>
          <w:rFonts w:ascii="Arial" w:cs="Arial" w:eastAsia="Arial" w:hAnsi="Arial"/>
          <w:sz w:val="17"/>
          <w:szCs w:val="17"/>
          <w:color w:val="auto"/>
        </w:rPr>
        <w:t>212.999.5800</w:t>
      </w:r>
    </w:p>
    <w:p>
      <w:pPr>
        <w:spacing w:after="0" w:line="21" w:lineRule="exact"/>
        <w:rPr>
          <w:sz w:val="24"/>
          <w:szCs w:val="24"/>
          <w:color w:val="auto"/>
        </w:rPr>
      </w:pPr>
    </w:p>
    <w:p>
      <w:pPr>
        <w:ind w:left="7624"/>
        <w:spacing w:after="0"/>
        <w:rPr>
          <w:sz w:val="20"/>
          <w:szCs w:val="20"/>
          <w:color w:val="auto"/>
        </w:rPr>
      </w:pPr>
      <w:r>
        <w:rPr>
          <w:rFonts w:ascii="Arial" w:cs="Arial" w:eastAsia="Arial" w:hAnsi="Arial"/>
          <w:sz w:val="15"/>
          <w:szCs w:val="15"/>
          <w:color w:val="auto"/>
        </w:rPr>
        <w:t xml:space="preserve">FAX </w:t>
      </w:r>
      <w:r>
        <w:rPr>
          <w:rFonts w:ascii="Arial" w:cs="Arial" w:eastAsia="Arial" w:hAnsi="Arial"/>
          <w:sz w:val="17"/>
          <w:szCs w:val="17"/>
          <w:color w:val="auto"/>
        </w:rPr>
        <w:t>212.999.5899</w:t>
      </w:r>
    </w:p>
    <w:p>
      <w:pPr>
        <w:spacing w:after="0" w:line="21" w:lineRule="exact"/>
        <w:rPr>
          <w:sz w:val="24"/>
          <w:szCs w:val="24"/>
          <w:color w:val="auto"/>
        </w:rPr>
      </w:pPr>
    </w:p>
    <w:p>
      <w:pPr>
        <w:ind w:left="7624"/>
        <w:spacing w:after="0"/>
        <w:rPr>
          <w:sz w:val="20"/>
          <w:szCs w:val="20"/>
          <w:color w:val="auto"/>
        </w:rPr>
      </w:pPr>
      <w:r>
        <w:rPr>
          <w:rFonts w:ascii="Arial" w:cs="Arial" w:eastAsia="Arial" w:hAnsi="Arial"/>
          <w:sz w:val="18"/>
          <w:szCs w:val="18"/>
          <w:color w:val="auto"/>
        </w:rPr>
        <w:t>www.wsgr.com</w:t>
      </w:r>
    </w:p>
    <w:p>
      <w:pPr>
        <w:spacing w:after="0" w:line="224"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September 21, 2020</w:t>
      </w:r>
    </w:p>
    <w:p>
      <w:pPr>
        <w:spacing w:after="0" w:line="221"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20549-3720</w:t>
      </w:r>
    </w:p>
    <w:p>
      <w:pPr>
        <w:sectPr>
          <w:pgSz w:w="11900" w:h="16838" w:orient="portrait"/>
          <w:cols w:equalWidth="0" w:num="1">
            <w:col w:w="10984"/>
          </w:cols>
          <w:pgMar w:left="436" w:top="233" w:right="479" w:bottom="1440" w:gutter="0" w:footer="0" w:header="0"/>
        </w:sectPr>
      </w:pPr>
    </w:p>
    <w:p>
      <w:pPr>
        <w:spacing w:after="0" w:line="238" w:lineRule="exact"/>
        <w:rPr>
          <w:sz w:val="24"/>
          <w:szCs w:val="24"/>
          <w:color w:val="auto"/>
        </w:rPr>
      </w:pPr>
    </w:p>
    <w:p>
      <w:pPr>
        <w:ind w:left="4"/>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Ameen Hamady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Kevin Kuhar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Deanna Virginio</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Dorrie Yale</w:t>
      </w:r>
    </w:p>
    <w:p>
      <w:pPr>
        <w:spacing w:after="0" w:line="200" w:lineRule="exact"/>
        <w:rPr>
          <w:sz w:val="24"/>
          <w:szCs w:val="24"/>
          <w:color w:val="auto"/>
        </w:rPr>
      </w:pPr>
    </w:p>
    <w:p>
      <w:pPr>
        <w:sectPr>
          <w:pgSz w:w="11900" w:h="16838" w:orient="portrait"/>
          <w:cols w:equalWidth="0" w:num="2">
            <w:col w:w="724" w:space="480"/>
            <w:col w:w="9780"/>
          </w:cols>
          <w:pgMar w:left="436" w:top="233" w:right="479" w:bottom="1440" w:gutter="0" w:footer="0" w:header="0"/>
          <w:type w:val="continuous"/>
        </w:sectPr>
      </w:pPr>
    </w:p>
    <w:p>
      <w:pPr>
        <w:spacing w:after="0" w:line="34" w:lineRule="exact"/>
        <w:rPr>
          <w:sz w:val="24"/>
          <w:szCs w:val="24"/>
          <w:color w:val="auto"/>
        </w:rPr>
      </w:pPr>
    </w:p>
    <w:p>
      <w:pPr>
        <w:ind w:left="544"/>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September 4, 2020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333-248627</w:t>
      </w:r>
    </w:p>
    <w:p>
      <w:pPr>
        <w:spacing w:after="0" w:line="200" w:lineRule="exact"/>
        <w:rPr>
          <w:sz w:val="24"/>
          <w:szCs w:val="24"/>
          <w:color w:val="auto"/>
        </w:rPr>
      </w:pPr>
    </w:p>
    <w:p>
      <w:pPr>
        <w:sectPr>
          <w:pgSz w:w="11900" w:h="16838" w:orient="portrait"/>
          <w:cols w:equalWidth="0" w:num="2">
            <w:col w:w="804" w:space="400"/>
            <w:col w:w="9780"/>
          </w:cols>
          <w:pgMar w:left="436" w:top="233" w:right="479" w:bottom="1440" w:gutter="0" w:footer="0" w:header="0"/>
          <w:type w:val="continuous"/>
        </w:sectPr>
      </w:pPr>
    </w:p>
    <w:p>
      <w:pPr>
        <w:spacing w:after="0" w:line="11" w:lineRule="exact"/>
        <w:rPr>
          <w:sz w:val="24"/>
          <w:szCs w:val="24"/>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ind w:left="4" w:firstLine="440"/>
        <w:spacing w:after="0" w:line="277" w:lineRule="auto"/>
        <w:rPr>
          <w:sz w:val="20"/>
          <w:szCs w:val="20"/>
          <w:color w:val="auto"/>
        </w:rPr>
      </w:pPr>
      <w:r>
        <w:rPr>
          <w:rFonts w:ascii="Arial" w:cs="Arial" w:eastAsia="Arial" w:hAnsi="Arial"/>
          <w:sz w:val="17"/>
          <w:szCs w:val="17"/>
          <w:color w:val="auto"/>
        </w:rPr>
        <w:t>On behalf of our client, PMV Pharmaceuticals, Inc. (the “</w:t>
      </w:r>
      <w:r>
        <w:rPr>
          <w:rFonts w:ascii="Arial" w:cs="Arial" w:eastAsia="Arial" w:hAnsi="Arial"/>
          <w:sz w:val="17"/>
          <w:szCs w:val="17"/>
          <w:b w:val="1"/>
          <w:bCs w:val="1"/>
          <w:color w:val="auto"/>
        </w:rPr>
        <w:t>Company</w:t>
      </w:r>
      <w:r>
        <w:rPr>
          <w:rFonts w:ascii="Arial" w:cs="Arial" w:eastAsia="Arial" w:hAnsi="Arial"/>
          <w:sz w:val="17"/>
          <w:szCs w:val="17"/>
          <w:color w:val="auto"/>
        </w:rPr>
        <w:t>”), we submit this letter in response to comments from the staff (the “</w:t>
      </w:r>
      <w:r>
        <w:rPr>
          <w:rFonts w:ascii="Arial" w:cs="Arial" w:eastAsia="Arial" w:hAnsi="Arial"/>
          <w:sz w:val="17"/>
          <w:szCs w:val="17"/>
          <w:b w:val="1"/>
          <w:bCs w:val="1"/>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contained in its letter dated September 16, 2020 (the “</w:t>
      </w:r>
      <w:r>
        <w:rPr>
          <w:rFonts w:ascii="Arial" w:cs="Arial" w:eastAsia="Arial" w:hAnsi="Arial"/>
          <w:sz w:val="17"/>
          <w:szCs w:val="17"/>
          <w:b w:val="1"/>
          <w:bCs w:val="1"/>
          <w:color w:val="auto"/>
        </w:rPr>
        <w:t>Comment Letter</w:t>
      </w:r>
      <w:r>
        <w:rPr>
          <w:rFonts w:ascii="Arial" w:cs="Arial" w:eastAsia="Arial" w:hAnsi="Arial"/>
          <w:sz w:val="17"/>
          <w:szCs w:val="17"/>
          <w:color w:val="auto"/>
        </w:rPr>
        <w:t>”), relating to the above referenced Registration Statement on Form S-1 (“</w:t>
      </w:r>
      <w:r>
        <w:rPr>
          <w:rFonts w:ascii="Arial" w:cs="Arial" w:eastAsia="Arial" w:hAnsi="Arial"/>
          <w:sz w:val="17"/>
          <w:szCs w:val="17"/>
          <w:b w:val="1"/>
          <w:bCs w:val="1"/>
          <w:color w:val="auto"/>
        </w:rPr>
        <w:t>Registration Statement</w:t>
      </w:r>
      <w:r>
        <w:rPr>
          <w:rFonts w:ascii="Arial" w:cs="Arial" w:eastAsia="Arial" w:hAnsi="Arial"/>
          <w:sz w:val="17"/>
          <w:szCs w:val="17"/>
          <w:color w:val="auto"/>
        </w:rPr>
        <w:t>”). We are concurrently submitting via EDGAR this letter and a revised draft of the Registration Statement (the “</w:t>
      </w:r>
      <w:r>
        <w:rPr>
          <w:rFonts w:ascii="Arial" w:cs="Arial" w:eastAsia="Arial" w:hAnsi="Arial"/>
          <w:sz w:val="17"/>
          <w:szCs w:val="17"/>
          <w:b w:val="1"/>
          <w:bCs w:val="1"/>
          <w:color w:val="auto"/>
        </w:rPr>
        <w:t>Submission No. 4</w:t>
      </w:r>
      <w:r>
        <w:rPr>
          <w:rFonts w:ascii="Arial" w:cs="Arial" w:eastAsia="Arial" w:hAnsi="Arial"/>
          <w:sz w:val="17"/>
          <w:szCs w:val="17"/>
          <w:color w:val="auto"/>
        </w:rPr>
        <w:t>”). For the Staff’s reference, we have included both a clean copy of Submission No. 4 and a copy marked to show all changes from the version filed on September 4, 2020.</w:t>
      </w:r>
    </w:p>
    <w:p>
      <w:pPr>
        <w:spacing w:after="0" w:line="172" w:lineRule="exact"/>
        <w:rPr>
          <w:sz w:val="24"/>
          <w:szCs w:val="24"/>
          <w:color w:val="auto"/>
        </w:rPr>
      </w:pPr>
    </w:p>
    <w:p>
      <w:pPr>
        <w:jc w:val="both"/>
        <w:ind w:left="4" w:right="80" w:firstLine="440"/>
        <w:spacing w:after="0" w:line="263" w:lineRule="auto"/>
        <w:rPr>
          <w:sz w:val="20"/>
          <w:szCs w:val="20"/>
          <w:color w:val="auto"/>
        </w:rPr>
      </w:pPr>
      <w:r>
        <w:rPr>
          <w:rFonts w:ascii="Arial" w:cs="Arial" w:eastAsia="Arial" w:hAnsi="Arial"/>
          <w:sz w:val="18"/>
          <w:szCs w:val="18"/>
          <w:color w:val="auto"/>
        </w:rPr>
        <w:t>In this letter, we have recited the comments from the Staff in italicized, bold type and have followed the comments with the Company’s response. Except for page references contained in the comments of the Staff, or as otherwise specifically indicated, page references herein correspond to the page of Submission No. 4.</w:t>
      </w:r>
    </w:p>
    <w:p>
      <w:pPr>
        <w:spacing w:after="0" w:line="288"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Registration on Form S-1</w:t>
      </w:r>
    </w:p>
    <w:p>
      <w:pPr>
        <w:spacing w:after="0" w:line="117"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Prospectus Summary, page 1</w:t>
      </w:r>
    </w:p>
    <w:p>
      <w:pPr>
        <w:spacing w:after="0" w:line="135" w:lineRule="exact"/>
        <w:rPr>
          <w:sz w:val="24"/>
          <w:szCs w:val="24"/>
          <w:color w:val="auto"/>
        </w:rPr>
      </w:pPr>
    </w:p>
    <w:p>
      <w:pPr>
        <w:ind w:left="424" w:right="80" w:hanging="424"/>
        <w:spacing w:after="0" w:line="257" w:lineRule="auto"/>
        <w:tabs>
          <w:tab w:leader="none" w:pos="424"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response to prior comment 2 that you have revised your disclosure on page 2 to disclose that the FDA will require post-approval trials to confirm clinical benefit. However, we note that you also refer to a pivotal Phase 1/2 trial on page 1, stating that the FDA “could” ask for additional trials. Please delete the last two sentences on page 1, as you already have a discussion about your belief of a potential pivotal trial on page 2. In addition, to the extent true, please also add on page 2 that you have not had any discussions with the FDA regarding the trial being a pivotal trial.</w:t>
      </w:r>
    </w:p>
    <w:p>
      <w:pPr>
        <w:spacing w:after="0" w:line="151" w:lineRule="exact"/>
        <w:rPr>
          <w:sz w:val="24"/>
          <w:szCs w:val="24"/>
          <w:color w:val="auto"/>
        </w:rPr>
      </w:pPr>
    </w:p>
    <w:p>
      <w:pPr>
        <w:jc w:val="center"/>
        <w:ind w:right="-43"/>
        <w:spacing w:after="0"/>
        <w:tabs>
          <w:tab w:leader="none" w:pos="200" w:val="left"/>
          <w:tab w:leader="none" w:pos="180" w:val="left"/>
          <w:tab w:leader="none" w:pos="220" w:val="left"/>
          <w:tab w:leader="none" w:pos="180" w:val="left"/>
          <w:tab w:leader="none" w:pos="200" w:val="left"/>
          <w:tab w:leader="none" w:pos="180" w:val="left"/>
          <w:tab w:leader="none" w:pos="180" w:val="left"/>
          <w:tab w:leader="none" w:pos="180" w:val="left"/>
        </w:tabs>
        <w:rPr>
          <w:sz w:val="20"/>
          <w:szCs w:val="20"/>
          <w:color w:val="auto"/>
        </w:rPr>
      </w:pPr>
      <w:r>
        <w:rPr>
          <w:rFonts w:ascii="Arial" w:cs="Arial" w:eastAsia="Arial" w:hAnsi="Arial"/>
          <w:sz w:val="13"/>
          <w:szCs w:val="13"/>
          <w:color w:val="auto"/>
        </w:rPr>
        <w:t>AUSTIN</w:t>
      </w:r>
      <w:r>
        <w:rPr>
          <w:sz w:val="20"/>
          <w:szCs w:val="20"/>
          <w:color w:val="auto"/>
        </w:rPr>
        <w:tab/>
      </w:r>
      <w:r>
        <w:rPr>
          <w:rFonts w:ascii="Arial" w:cs="Arial" w:eastAsia="Arial" w:hAnsi="Arial"/>
          <w:sz w:val="13"/>
          <w:szCs w:val="13"/>
          <w:color w:val="auto"/>
        </w:rPr>
        <w:t>BEIJING</w:t>
        <w:tab/>
        <w:t>BOSTON</w:t>
      </w:r>
      <w:r>
        <w:rPr>
          <w:sz w:val="20"/>
          <w:szCs w:val="20"/>
          <w:color w:val="auto"/>
        </w:rPr>
        <w:tab/>
      </w:r>
      <w:r>
        <w:rPr>
          <w:rFonts w:ascii="Arial" w:cs="Arial" w:eastAsia="Arial" w:hAnsi="Arial"/>
          <w:sz w:val="13"/>
          <w:szCs w:val="13"/>
          <w:color w:val="auto"/>
        </w:rPr>
        <w:t>BRUSSELS</w:t>
        <w:tab/>
        <w:t>HONG KONG</w:t>
      </w:r>
      <w:r>
        <w:rPr>
          <w:sz w:val="20"/>
          <w:szCs w:val="20"/>
          <w:color w:val="auto"/>
        </w:rPr>
        <w:tab/>
      </w:r>
      <w:r>
        <w:rPr>
          <w:rFonts w:ascii="Arial" w:cs="Arial" w:eastAsia="Arial" w:hAnsi="Arial"/>
          <w:sz w:val="13"/>
          <w:szCs w:val="13"/>
          <w:color w:val="auto"/>
        </w:rPr>
        <w:t>LONDON</w:t>
        <w:tab/>
        <w:t>LOS ANGELES</w:t>
        <w:tab/>
        <w:t>NEW YORK</w:t>
        <w:tab/>
        <w:t>PALO ALTO</w:t>
      </w:r>
    </w:p>
    <w:p>
      <w:pPr>
        <w:spacing w:after="0" w:line="27" w:lineRule="exact"/>
        <w:rPr>
          <w:sz w:val="24"/>
          <w:szCs w:val="24"/>
          <w:color w:val="auto"/>
        </w:rPr>
      </w:pPr>
    </w:p>
    <w:p>
      <w:pPr>
        <w:jc w:val="center"/>
        <w:ind w:right="-23"/>
        <w:spacing w:after="0"/>
        <w:tabs>
          <w:tab w:leader="none" w:pos="180" w:val="left"/>
          <w:tab w:leader="none" w:pos="180" w:val="left"/>
          <w:tab w:leader="none" w:pos="180" w:val="left"/>
          <w:tab w:leader="none" w:pos="180" w:val="left"/>
          <w:tab w:leader="none" w:pos="180" w:val="left"/>
        </w:tabs>
        <w:rPr>
          <w:sz w:val="20"/>
          <w:szCs w:val="20"/>
          <w:color w:val="auto"/>
        </w:rPr>
      </w:pPr>
      <w:r>
        <w:rPr>
          <w:rFonts w:ascii="Arial" w:cs="Arial" w:eastAsia="Arial" w:hAnsi="Arial"/>
          <w:sz w:val="13"/>
          <w:szCs w:val="13"/>
          <w:color w:val="auto"/>
        </w:rPr>
        <w:t>SAN DIEGO</w:t>
        <w:tab/>
        <w:t>SAN FRANCISCO</w:t>
        <w:tab/>
        <w:t>SEATTLE</w:t>
        <w:tab/>
        <w:t>SHANGHAI</w:t>
        <w:tab/>
        <w:t>WASHINGTON</w:t>
      </w:r>
      <w:r>
        <w:rPr>
          <w:rFonts w:ascii="Arial" w:cs="Arial" w:eastAsia="Arial" w:hAnsi="Arial"/>
          <w:sz w:val="16"/>
          <w:szCs w:val="16"/>
          <w:color w:val="auto"/>
        </w:rPr>
        <w:t>,</w:t>
      </w:r>
      <w:r>
        <w:rPr>
          <w:rFonts w:ascii="Arial" w:cs="Arial" w:eastAsia="Arial" w:hAnsi="Arial"/>
          <w:sz w:val="13"/>
          <w:szCs w:val="13"/>
          <w:color w:val="auto"/>
        </w:rPr>
        <w:t xml:space="preserve"> DC</w:t>
        <w:tab/>
        <w:t>WILMINGTON</w:t>
      </w:r>
      <w:r>
        <w:rPr>
          <w:rFonts w:ascii="Arial" w:cs="Arial" w:eastAsia="Arial" w:hAnsi="Arial"/>
          <w:sz w:val="16"/>
          <w:szCs w:val="16"/>
          <w:color w:val="auto"/>
        </w:rPr>
        <w:t>,</w:t>
      </w:r>
      <w:r>
        <w:rPr>
          <w:rFonts w:ascii="Arial" w:cs="Arial" w:eastAsia="Arial" w:hAnsi="Arial"/>
          <w:sz w:val="13"/>
          <w:szCs w:val="13"/>
          <w:color w:val="auto"/>
        </w:rPr>
        <w:t xml:space="preserve"> DE</w:t>
      </w:r>
    </w:p>
    <w:p>
      <w:pPr>
        <w:sectPr>
          <w:pgSz w:w="11900" w:h="16838" w:orient="portrait"/>
          <w:cols w:equalWidth="0" w:num="1">
            <w:col w:w="10984"/>
          </w:cols>
          <w:pgMar w:left="436" w:top="233"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69469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Company respectfully advises the Staff that in response to the Staff’s comments, the Company has revised the disclosure on page 1 to delete the last two sentences identified by the Staff and revised the disclosure on page 2 to indicate that the Company has not had any discussions with the FDA regarding the Company’s Phase 1/2 clinical trial having the potential to serve as a pivotal study.</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w:t>
      </w:r>
    </w:p>
    <w:p>
      <w:pPr>
        <w:sectPr>
          <w:pgSz w:w="11900" w:h="16838" w:orient="portrait"/>
          <w:cols w:equalWidth="0" w:num="1">
            <w:col w:w="10860"/>
          </w:cols>
          <w:pgMar w:left="440" w:top="1286" w:right="59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694055"/>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21,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Please direct any questions with respect to this confidential submission to me at (212) 497-7736 or mbaier@wsgr.com.</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WILSON SONSINI GOODRICH &amp; ROSATI</w:t>
      </w:r>
    </w:p>
    <w:p>
      <w:pPr>
        <w:spacing w:after="0" w:line="2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Professional Corporation</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Megan J. Baier</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Megan J. Baier</w:t>
      </w:r>
    </w:p>
    <w:p>
      <w:pPr>
        <w:spacing w:after="0" w:line="238" w:lineRule="exact"/>
        <w:rPr>
          <w:sz w:val="20"/>
          <w:szCs w:val="20"/>
          <w:color w:val="auto"/>
        </w:rPr>
      </w:pPr>
    </w:p>
    <w:p>
      <w:pPr>
        <w:ind w:left="444" w:right="6119" w:hanging="444"/>
        <w:spacing w:after="0" w:line="291" w:lineRule="auto"/>
        <w:tabs>
          <w:tab w:leader="none" w:pos="436" w:val="left"/>
        </w:tabs>
        <w:numPr>
          <w:ilvl w:val="0"/>
          <w:numId w:val="2"/>
        </w:numPr>
        <w:rPr>
          <w:rFonts w:ascii="Arial" w:cs="Arial" w:eastAsia="Arial" w:hAnsi="Arial"/>
          <w:sz w:val="16"/>
          <w:szCs w:val="16"/>
          <w:color w:val="auto"/>
        </w:rPr>
      </w:pPr>
      <w:r>
        <w:rPr>
          <w:rFonts w:ascii="Arial" w:cs="Arial" w:eastAsia="Arial" w:hAnsi="Arial"/>
          <w:sz w:val="16"/>
          <w:szCs w:val="16"/>
          <w:color w:val="auto"/>
        </w:rPr>
        <w:t>David Mack, Ph.D., PMV Pharmaceuticals, Inc. Winston Kung, PMV Pharmaceuticals, Inc.</w:t>
      </w:r>
    </w:p>
    <w:p>
      <w:pPr>
        <w:ind w:left="444" w:right="4899"/>
        <w:spacing w:after="0" w:line="250" w:lineRule="auto"/>
        <w:rPr>
          <w:rFonts w:ascii="Arial" w:cs="Arial" w:eastAsia="Arial" w:hAnsi="Arial"/>
          <w:sz w:val="16"/>
          <w:szCs w:val="16"/>
          <w:color w:val="auto"/>
        </w:rPr>
      </w:pPr>
      <w:r>
        <w:rPr>
          <w:rFonts w:ascii="Arial" w:cs="Arial" w:eastAsia="Arial" w:hAnsi="Arial"/>
          <w:sz w:val="18"/>
          <w:szCs w:val="18"/>
          <w:color w:val="auto"/>
        </w:rPr>
        <w:t>Tony Jeffries, Wilson Sonsini Goodrich &amp; Rosati, P.C. Catherine Riley Tzipori, Wilson Sonsini Goodrich &amp; Rosati, P.C. Brian J. Cuneo, Latham &amp; Watkins LLP</w:t>
      </w:r>
    </w:p>
    <w:p>
      <w:pPr>
        <w:spacing w:after="0" w:line="1"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Richard Kim, Latham &amp; Watkins LLP</w:t>
      </w:r>
    </w:p>
    <w:sectPr>
      <w:pgSz w:w="11900" w:h="16838" w:orient="portrait"/>
      <w:cols w:equalWidth="0" w:num="1">
        <w:col w:w="10023"/>
      </w:cols>
      <w:pgMar w:left="436" w:top="12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2021-08-15T19:57:22Z</dcterms:created>
  <dcterms:modified xsi:type="dcterms:W3CDTF">2021-08-15T19:57:22Z</dcterms:modified>
</cp:coreProperties>
</file>