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September 28, 2020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48"/>
        </w:trPr>
        <w:tc>
          <w:tcPr>
            <w:tcW w:w="3840" w:type="dxa"/>
            <w:vAlign w:val="bottom"/>
          </w:tcPr>
          <w:p>
            <w:pPr>
              <w:jc w:val="center"/>
              <w:ind w:right="1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80" w:type="dxa"/>
            <w:vAlign w:val="bottom"/>
          </w:tcPr>
          <w:p>
            <w:pPr>
              <w:jc w:val="center"/>
              <w:ind w:left="18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18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80" w:type="dxa"/>
            <w:vAlign w:val="bottom"/>
          </w:tcPr>
          <w:p>
            <w:pPr>
              <w:jc w:val="center"/>
              <w:ind w:left="18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Cranbury, NJ 08512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H. Mack,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 Clarke Drive, Suite 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Cranbury, NJ 08512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642-6670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tbl>
      <w:tblPr>
        <w:tblLayout w:type="fixed"/>
        <w:tblInd w:w="1260" w:type="dxa"/>
        <w:tblCellMar>
          <w:top w:w="0" w:type="dxa"/>
          <w:left w:w="0" w:type="dxa"/>
          <w:bottom w:w="0" w:type="dxa"/>
          <w:right w:w="0" w:type="dxa"/>
        </w:tblCellMar>
      </w:tblPr>
      <w:tr>
        <w:trPr>
          <w:trHeight w:val="236"/>
        </w:trPr>
        <w:tc>
          <w:tcPr>
            <w:tcW w:w="3460" w:type="dxa"/>
            <w:vAlign w:val="bottom"/>
          </w:tcPr>
          <w:p>
            <w:pPr>
              <w:spacing w:after="0"/>
              <w:rPr>
                <w:sz w:val="20"/>
                <w:szCs w:val="20"/>
                <w:color w:val="auto"/>
              </w:rPr>
            </w:pPr>
          </w:p>
        </w:tc>
        <w:tc>
          <w:tcPr>
            <w:tcW w:w="4720" w:type="dxa"/>
            <w:vAlign w:val="bottom"/>
          </w:tcPr>
          <w:p>
            <w:pPr>
              <w:ind w:left="42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437"/>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Kenneth A. Clark</w:t>
            </w:r>
          </w:p>
        </w:tc>
        <w:tc>
          <w:tcPr>
            <w:tcW w:w="4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Winston Kung</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Tony Jeffries</w:t>
            </w:r>
          </w:p>
        </w:tc>
        <w:tc>
          <w:tcPr>
            <w:tcW w:w="4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Chief Operating Officer and</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Megan J. Baier</w:t>
            </w:r>
          </w:p>
        </w:tc>
        <w:tc>
          <w:tcPr>
            <w:tcW w:w="4720" w:type="dxa"/>
            <w:vAlign w:val="bottom"/>
          </w:tcPr>
          <w:p>
            <w:pPr>
              <w:jc w:val="center"/>
              <w:ind w:left="241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Wilson Sonsini Goodrich &amp; Rosati, P.C.</w:t>
            </w:r>
          </w:p>
        </w:tc>
        <w:tc>
          <w:tcPr>
            <w:tcW w:w="4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PMV Pharmaceuticals, Inc.</w:t>
            </w:r>
          </w:p>
        </w:tc>
      </w:tr>
      <w:tr>
        <w:trPr>
          <w:trHeight w:val="216"/>
        </w:trPr>
        <w:tc>
          <w:tcPr>
            <w:tcW w:w="34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650 Page Mill Road</w:t>
            </w:r>
          </w:p>
        </w:tc>
        <w:tc>
          <w:tcPr>
            <w:tcW w:w="4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8 Clarke Drive, Suite 3</w:t>
            </w:r>
          </w:p>
        </w:tc>
      </w:tr>
      <w:tr>
        <w:trPr>
          <w:trHeight w:val="216"/>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Palo Alto, CA 94304</w:t>
            </w:r>
          </w:p>
        </w:tc>
        <w:tc>
          <w:tcPr>
            <w:tcW w:w="4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Cranbury, NJ 08512</w:t>
            </w:r>
          </w:p>
        </w:tc>
      </w:tr>
      <w:tr>
        <w:trPr>
          <w:trHeight w:val="238"/>
        </w:trPr>
        <w:tc>
          <w:tcPr>
            <w:tcW w:w="34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(650) 493-9300</w:t>
            </w:r>
          </w:p>
        </w:tc>
        <w:tc>
          <w:tcPr>
            <w:tcW w:w="4720" w:type="dxa"/>
            <w:vAlign w:val="bottom"/>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w w:val="99"/>
              </w:rPr>
              <w:t>(609) 642-6670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231140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118"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92" w:lineRule="exact"/>
        <w:rPr>
          <w:sz w:val="20"/>
          <w:szCs w:val="20"/>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880" w:type="dxa"/>
            <w:vAlign w:val="bottom"/>
            <w:tcBorders>
              <w:right w:val="single" w:sz="8" w:color="auto"/>
            </w:tcBorders>
          </w:tcPr>
          <w:p>
            <w:pPr>
              <w:ind w:left="1880"/>
              <w:spacing w:after="0" w:line="160" w:lineRule="exact"/>
              <w:rPr>
                <w:sz w:val="20"/>
                <w:szCs w:val="20"/>
                <w:color w:val="auto"/>
              </w:rPr>
            </w:pPr>
            <w:r>
              <w:rPr>
                <w:rFonts w:ascii="Times New Roman" w:cs="Times New Roman" w:eastAsia="Times New Roman" w:hAnsi="Times New Roman"/>
                <w:sz w:val="14"/>
                <w:szCs w:val="14"/>
                <w:b w:val="1"/>
                <w:bCs w:val="1"/>
                <w:color w:val="auto"/>
              </w:rPr>
              <w:t>Title of Securities</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to be</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154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Fee</w:t>
            </w:r>
          </w:p>
        </w:tc>
        <w:tc>
          <w:tcPr>
            <w:tcW w:w="0" w:type="dxa"/>
            <w:vAlign w:val="bottom"/>
          </w:tcPr>
          <w:p>
            <w:pPr>
              <w:spacing w:after="0"/>
              <w:rPr>
                <w:sz w:val="1"/>
                <w:szCs w:val="1"/>
                <w:color w:val="auto"/>
              </w:rPr>
            </w:pPr>
          </w:p>
        </w:tc>
      </w:tr>
      <w:tr>
        <w:trPr>
          <w:trHeight w:val="191"/>
        </w:trPr>
        <w:tc>
          <w:tcPr>
            <w:tcW w:w="4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issuance pursuant to the 2020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4,406,374</w:t>
            </w:r>
            <w:r>
              <w:rPr>
                <w:rFonts w:ascii="Times New Roman" w:cs="Times New Roman" w:eastAsia="Times New Roman" w:hAnsi="Times New Roman"/>
                <w:sz w:val="15"/>
                <w:szCs w:val="15"/>
                <w:color w:val="auto"/>
                <w:w w:val="98"/>
              </w:rPr>
              <w:t>(2)</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$18.00</w:t>
            </w:r>
            <w:r>
              <w:rPr>
                <w:rFonts w:ascii="Times New Roman" w:cs="Times New Roman" w:eastAsia="Times New Roman" w:hAnsi="Times New Roman"/>
                <w:sz w:val="15"/>
                <w:szCs w:val="15"/>
                <w:color w:val="auto"/>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$79,314,732.00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$10,295.06</w:t>
            </w:r>
          </w:p>
        </w:tc>
        <w:tc>
          <w:tcPr>
            <w:tcW w:w="0" w:type="dxa"/>
            <w:vAlign w:val="bottom"/>
          </w:tcPr>
          <w:p>
            <w:pPr>
              <w:spacing w:after="0"/>
              <w:rPr>
                <w:sz w:val="1"/>
                <w:szCs w:val="1"/>
                <w:color w:val="auto"/>
              </w:rPr>
            </w:pPr>
          </w:p>
        </w:tc>
      </w:tr>
      <w:tr>
        <w:trPr>
          <w:trHeight w:val="191"/>
        </w:trPr>
        <w:tc>
          <w:tcPr>
            <w:tcW w:w="4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issuance pursuant to the 2020 Employee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400,752</w:t>
            </w:r>
            <w:r>
              <w:rPr>
                <w:rFonts w:ascii="Times New Roman" w:cs="Times New Roman" w:eastAsia="Times New Roman" w:hAnsi="Times New Roman"/>
                <w:sz w:val="15"/>
                <w:szCs w:val="15"/>
                <w:color w:val="auto"/>
                <w:w w:val="99"/>
              </w:rPr>
              <w:t>(4)</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$15.30</w:t>
            </w:r>
            <w:r>
              <w:rPr>
                <w:rFonts w:ascii="Times New Roman" w:cs="Times New Roman" w:eastAsia="Times New Roman" w:hAnsi="Times New Roman"/>
                <w:sz w:val="15"/>
                <w:szCs w:val="15"/>
                <w:color w:val="auto"/>
              </w:rPr>
              <w:t>(5)</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$6,131,505.60</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$795.87</w:t>
            </w:r>
          </w:p>
        </w:tc>
        <w:tc>
          <w:tcPr>
            <w:tcW w:w="0" w:type="dxa"/>
            <w:vAlign w:val="bottom"/>
          </w:tcPr>
          <w:p>
            <w:pPr>
              <w:spacing w:after="0"/>
              <w:rPr>
                <w:sz w:val="1"/>
                <w:szCs w:val="1"/>
                <w:color w:val="auto"/>
              </w:rPr>
            </w:pPr>
          </w:p>
        </w:tc>
      </w:tr>
      <w:tr>
        <w:trPr>
          <w:trHeight w:val="191"/>
        </w:trPr>
        <w:tc>
          <w:tcPr>
            <w:tcW w:w="48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Common Stock, $0.00001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issuance pursuant to options outstanding under the 2013 Equity</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4,072,084</w:t>
            </w:r>
            <w:r>
              <w:rPr>
                <w:rFonts w:ascii="Times New Roman" w:cs="Times New Roman" w:eastAsia="Times New Roman" w:hAnsi="Times New Roman"/>
                <w:sz w:val="15"/>
                <w:szCs w:val="15"/>
                <w:color w:val="auto"/>
                <w:w w:val="98"/>
              </w:rPr>
              <w:t>(6)</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$2.88</w:t>
            </w:r>
            <w:r>
              <w:rPr>
                <w:rFonts w:ascii="Times New Roman" w:cs="Times New Roman" w:eastAsia="Times New Roman" w:hAnsi="Times New Roman"/>
                <w:sz w:val="15"/>
                <w:szCs w:val="15"/>
                <w:color w:val="auto"/>
              </w:rPr>
              <w:t>(7)</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$11,727,601.92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$1,522.25</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$97,173,839.52</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$12,613.18</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hanging="424"/>
        <w:spacing w:after="0" w:line="254"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“Securities Act”), this Registration Statement shall also cover any additional shares of the Registrant’s common stock that become issuable under the 2020 Equity Incentive Plan (the “2020 Plan”), the 2020 Employee Stock Purchase Plan (the “2020 ESPP”) and the 2013 Equity Incentive Plan (the “2013 Plan”) by reason of any stock dividend, stock split, recapitalization or other similar transaction effected without receipt of consideration that increases the number of the Registrant’s outstanding shares of common stock.</w:t>
      </w:r>
    </w:p>
    <w:p>
      <w:pPr>
        <w:spacing w:after="0" w:line="3"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4,406,374 shares of common stock reserved for issuance under the 2020 Plan as of the date of this Registration Statement. As of the date hereof, no options are outstanding under the 2020 Plan. The number of shares of common stock available under the 2020 Plan will be increased by any shares of common stock subject to awards outstanding under the 2013 Plan, that on or after the effectiveness of the 2020 Plan, expire or otherwise terminate without having been exercised or issued in full or are forfeited to or repurchased by the Registrant. The maximum number of shares that can be added to the 2020 Plan from the 2013 Plan is 3,955,290. See footnote 6 below.</w:t>
      </w:r>
    </w:p>
    <w:p>
      <w:pPr>
        <w:spacing w:after="0" w:line="1"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457(h) solely for the purpose of calculating the registration fee on the basis of $18.00 per share, which is the initial public offering price set forth on the cover page of the Registrant’s Prospectus dated September 24, 2020 relating to its initial public offering.</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400,752 shares of common stock reserved for issuance under the 2020 ESPP.</w:t>
      </w:r>
    </w:p>
    <w:p>
      <w:pPr>
        <w:spacing w:after="0" w:line="9"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457(h) solely for the purpose of calculating the registration fee on the basis of 85% of $18.00, which is the initial public offering price set forth on the cover page of the Registrant’s Prospectus dated September 24, 2020 relating to its initial public offering. Pursuant to the 2020 ESPP, the purchase price of the shares of common stock reserved for issuance thereunder will be 85% of the lower of the fair market value of the common stock on (i) the first trading day of the offering period or (ii) the exercise date.</w:t>
      </w:r>
    </w:p>
    <w:p>
      <w:pPr>
        <w:spacing w:after="0" w:line="1" w:lineRule="exact"/>
        <w:rPr>
          <w:rFonts w:ascii="Times New Roman" w:cs="Times New Roman" w:eastAsia="Times New Roman" w:hAnsi="Times New Roman"/>
          <w:sz w:val="18"/>
          <w:szCs w:val="18"/>
          <w:color w:val="auto"/>
        </w:rPr>
      </w:pPr>
    </w:p>
    <w:p>
      <w:pPr>
        <w:ind w:left="424" w:right="160" w:hanging="424"/>
        <w:spacing w:after="0" w:line="25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4,072,084 shares of common stock reserved for issuance pursuant to options outstanding under the 2013 Plan as of the date of this Registration Statement. To the extent that, on or after the effectiveness of the 2020 Plan, any shares subject to awards under the 2013 Plan expire or otherwise terminate without having been exercised or issued in full or are forfeited to or repurchased by the Registrant, the shares of common stock subject to such awards will become available for issuance under the 2020 Plan.</w:t>
      </w:r>
    </w:p>
    <w:p>
      <w:pPr>
        <w:spacing w:after="0" w:line="1" w:lineRule="exact"/>
        <w:rPr>
          <w:rFonts w:ascii="Times New Roman" w:cs="Times New Roman" w:eastAsia="Times New Roman" w:hAnsi="Times New Roman"/>
          <w:sz w:val="18"/>
          <w:szCs w:val="18"/>
          <w:color w:val="auto"/>
        </w:rPr>
      </w:pPr>
    </w:p>
    <w:p>
      <w:pPr>
        <w:ind w:left="424" w:right="360" w:hanging="424"/>
        <w:spacing w:after="0" w:line="260"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457(h) solely for the purpose of calculating the registration fee on the basis of $2.88, the weighted average price per share of outstanding stock option awards under the 2013 Plan as of September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135255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PROSPECTUS</w:t>
      </w:r>
    </w:p>
    <w:p>
      <w:pPr>
        <w:spacing w:after="0" w:line="229"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on Form S-8 (the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PMV Pharmaceuticals, Inc. (the “Registrant”) hereby incorporates by reference into this Registration Statement the following documents previously filed with the Securities and Exchange Commission (the “Commission”):</w:t>
      </w:r>
    </w:p>
    <w:p>
      <w:pPr>
        <w:spacing w:after="0" w:line="162" w:lineRule="exact"/>
        <w:rPr>
          <w:sz w:val="20"/>
          <w:szCs w:val="20"/>
          <w:color w:val="auto"/>
        </w:rPr>
      </w:pPr>
    </w:p>
    <w:p>
      <w:pPr>
        <w:ind w:firstLine="436"/>
        <w:spacing w:after="0" w:line="26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Prospectus dated September 24, 2020, filed with the Commission pursuant to Rule 424(b) under the Securities Act, relating to the Registration Statement on </w:t>
      </w:r>
      <w:hyperlink r:id="rId21">
        <w:r>
          <w:rPr>
            <w:rFonts w:ascii="Times New Roman" w:cs="Times New Roman" w:eastAsia="Times New Roman" w:hAnsi="Times New Roman"/>
            <w:sz w:val="18"/>
            <w:szCs w:val="18"/>
            <w:u w:val="single" w:color="auto"/>
            <w:color w:val="0000EE"/>
          </w:rPr>
          <w:t>Form S-1</w:t>
        </w:r>
      </w:hyperlink>
      <w:r>
        <w:rPr>
          <w:rFonts w:ascii="Times New Roman" w:cs="Times New Roman" w:eastAsia="Times New Roman" w:hAnsi="Times New Roman"/>
          <w:sz w:val="18"/>
          <w:szCs w:val="18"/>
          <w:color w:val="auto"/>
        </w:rPr>
        <w:t>, as amended (File No. 333-248627), which contains the Registrant’s audited financial statements for the latest fiscal year for which such statements have been filed; and</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Company’s Registration Statement on </w:t>
      </w:r>
      <w:hyperlink r:id="rId2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001-39539) filed with the Commission on September 21, 2020, pursuant to Section 12(b) of the Securities Exchange Act of 1934, as amended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333"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ind w:left="1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firstLine="1102"/>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become effective in connection with the Registrant’s initial public offering provides for the indemnification of the Registrant’s directors and officers to the fullest extent permitted under the Delaware General Corporation Law. In addition, the bylaws of the Registrant to become effective in connection with the Registrant’s initial public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w:t>
      </w:r>
    </w:p>
    <w:p>
      <w:pPr>
        <w:sectPr>
          <w:pgSz w:w="11900" w:h="16838" w:orient="portrait"/>
          <w:cols w:equalWidth="0" w:num="1">
            <w:col w:w="11000"/>
          </w:cols>
          <w:pgMar w:left="440" w:top="266" w:right="459" w:bottom="1440" w:gutter="0" w:footer="0" w:header="0"/>
        </w:sectPr>
      </w:pPr>
    </w:p>
    <w:bookmarkStart w:id="3" w:name="page4"/>
    <w:bookmarkEnd w:id="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0" w:lineRule="exact"/>
        <w:rPr>
          <w:sz w:val="20"/>
          <w:szCs w:val="20"/>
          <w:color w:val="auto"/>
        </w:rPr>
      </w:pPr>
    </w:p>
    <w:p>
      <w:pPr>
        <w:ind w:right="180" w:firstLine="1102"/>
        <w:spacing w:after="0" w:line="254" w:lineRule="auto"/>
        <w:rPr>
          <w:sz w:val="20"/>
          <w:szCs w:val="20"/>
          <w:color w:val="auto"/>
        </w:rPr>
      </w:pPr>
      <w:r>
        <w:rPr>
          <w:rFonts w:ascii="Times New Roman" w:cs="Times New Roman" w:eastAsia="Times New Roman" w:hAnsi="Times New Roman"/>
          <w:sz w:val="18"/>
          <w:szCs w:val="18"/>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become effective in connection with the Registrant’s initial public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88" w:lineRule="exact"/>
        <w:rPr>
          <w:sz w:val="20"/>
          <w:szCs w:val="20"/>
          <w:color w:val="auto"/>
        </w:rPr>
      </w:pPr>
    </w:p>
    <w:p>
      <w:pPr>
        <w:ind w:right="240" w:firstLine="1102"/>
        <w:spacing w:after="0" w:line="258" w:lineRule="auto"/>
        <w:rPr>
          <w:sz w:val="20"/>
          <w:szCs w:val="20"/>
          <w:color w:val="auto"/>
        </w:rPr>
      </w:pPr>
      <w:r>
        <w:rPr>
          <w:rFonts w:ascii="Times New Roman" w:cs="Times New Roman" w:eastAsia="Times New Roman" w:hAnsi="Times New Roman"/>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3" w:lineRule="exact"/>
        <w:rPr>
          <w:sz w:val="20"/>
          <w:szCs w:val="20"/>
          <w:color w:val="auto"/>
        </w:rPr>
      </w:pPr>
    </w:p>
    <w:p>
      <w:pPr>
        <w:jc w:val="both"/>
        <w:ind w:right="140" w:firstLine="1102"/>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 has entered into separate indemnification agreements with each of the Registrant’s directors and certain of the Registrant’s officers which require the Registrant, among other things, to indemnify them against certain liabilities which may arise by reason of their status as directors, officers or certain other employees.</w:t>
      </w:r>
    </w:p>
    <w:p>
      <w:pPr>
        <w:spacing w:after="0" w:line="176" w:lineRule="exact"/>
        <w:rPr>
          <w:sz w:val="20"/>
          <w:szCs w:val="20"/>
          <w:color w:val="auto"/>
        </w:rPr>
      </w:pPr>
    </w:p>
    <w:p>
      <w:pPr>
        <w:ind w:firstLine="1102"/>
        <w:spacing w:after="0" w:line="258" w:lineRule="auto"/>
        <w:rPr>
          <w:sz w:val="20"/>
          <w:szCs w:val="20"/>
          <w:color w:val="auto"/>
        </w:rPr>
      </w:pPr>
      <w:r>
        <w:rPr>
          <w:rFonts w:ascii="Times New Roman" w:cs="Times New Roman" w:eastAsia="Times New Roman" w:hAnsi="Times New Roman"/>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Delaware General Corporation Law.</w:t>
      </w:r>
    </w:p>
    <w:p>
      <w:pPr>
        <w:spacing w:after="0" w:line="183" w:lineRule="exact"/>
        <w:rPr>
          <w:sz w:val="20"/>
          <w:szCs w:val="20"/>
          <w:color w:val="auto"/>
        </w:rPr>
      </w:pPr>
    </w:p>
    <w:p>
      <w:pPr>
        <w:jc w:val="both"/>
        <w:ind w:right="220" w:firstLine="1102"/>
        <w:spacing w:after="0" w:line="266" w:lineRule="auto"/>
        <w:rPr>
          <w:sz w:val="20"/>
          <w:szCs w:val="20"/>
          <w:color w:val="auto"/>
        </w:rPr>
      </w:pPr>
      <w:r>
        <w:rPr>
          <w:rFonts w:ascii="Times New Roman" w:cs="Times New Roman" w:eastAsia="Times New Roman" w:hAnsi="Times New Roman"/>
          <w:sz w:val="18"/>
          <w:szCs w:val="18"/>
          <w:color w:val="auto"/>
        </w:rPr>
        <w:t>These indemnification provisions and the indemnification agreements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65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Exemption from Registration Claimed.</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4"/>
        </w:trPr>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6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8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5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1"/>
        </w:trPr>
        <w:tc>
          <w:tcPr>
            <w:tcW w:w="5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800" w:type="dxa"/>
            <w:vAlign w:val="bottom"/>
            <w:tcBorders>
              <w:bottom w:val="single" w:sz="8" w:color="auto"/>
            </w:tcBorders>
          </w:tcPr>
          <w:p>
            <w:pPr>
              <w:spacing w:after="0"/>
              <w:rPr>
                <w:sz w:val="24"/>
                <w:szCs w:val="24"/>
                <w:color w:val="auto"/>
              </w:rPr>
            </w:pPr>
          </w:p>
        </w:tc>
      </w:tr>
      <w:tr>
        <w:trPr>
          <w:trHeight w:val="97"/>
        </w:trPr>
        <w:tc>
          <w:tcPr>
            <w:tcW w:w="500" w:type="dxa"/>
            <w:vAlign w:val="bottom"/>
          </w:tcPr>
          <w:p>
            <w:pPr>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3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93"/>
        </w:trPr>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tcPr>
          <w:p>
            <w:pPr>
              <w:spacing w:after="0"/>
              <w:rPr>
                <w:sz w:val="16"/>
                <w:szCs w:val="16"/>
                <w:color w:val="auto"/>
              </w:rPr>
            </w:pPr>
          </w:p>
        </w:tc>
        <w:tc>
          <w:tcPr>
            <w:tcW w:w="5260" w:type="dxa"/>
            <w:vAlign w:val="bottom"/>
            <w:gridSpan w:val="4"/>
          </w:tcPr>
          <w:p>
            <w:pPr>
              <w:ind w:left="1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63"/>
        </w:trPr>
        <w:tc>
          <w:tcPr>
            <w:tcW w:w="500" w:type="dxa"/>
            <w:vAlign w:val="bottom"/>
            <w:tcBorders>
              <w:top w:val="single" w:sz="8" w:color="auto"/>
            </w:tcBorders>
          </w:tcPr>
          <w:p>
            <w:pPr>
              <w:jc w:val="center"/>
              <w:spacing w:after="0" w:line="163" w:lineRule="exact"/>
              <w:rPr>
                <w:sz w:val="20"/>
                <w:szCs w:val="20"/>
                <w:color w:val="auto"/>
              </w:rPr>
            </w:pPr>
            <w:r>
              <w:rPr>
                <w:rFonts w:ascii="Times New Roman" w:cs="Times New Roman" w:eastAsia="Times New Roman" w:hAnsi="Times New Roman"/>
                <w:sz w:val="18"/>
                <w:szCs w:val="18"/>
                <w:color w:val="auto"/>
                <w:w w:val="97"/>
              </w:rPr>
              <w:t>4.1</w:t>
            </w:r>
          </w:p>
        </w:tc>
        <w:tc>
          <w:tcPr>
            <w:tcW w:w="300" w:type="dxa"/>
            <w:vAlign w:val="bottom"/>
          </w:tcPr>
          <w:p>
            <w:pPr>
              <w:spacing w:after="0"/>
              <w:rPr>
                <w:sz w:val="14"/>
                <w:szCs w:val="14"/>
                <w:color w:val="auto"/>
              </w:rPr>
            </w:pPr>
          </w:p>
        </w:tc>
        <w:tc>
          <w:tcPr>
            <w:tcW w:w="6120" w:type="dxa"/>
            <w:vAlign w:val="bottom"/>
            <w:tcBorders>
              <w:top w:val="single" w:sz="8" w:color="auto"/>
              <w:bottom w:val="single" w:sz="8" w:color="0000EE"/>
            </w:tcBorders>
            <w:gridSpan w:val="3"/>
          </w:tcPr>
          <w:p>
            <w:pPr>
              <w:spacing w:after="0" w:line="163"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Amended and Restated Certificate of Incorporation of the Registrant, as amended, as</w:t>
              </w:r>
            </w:hyperlink>
          </w:p>
        </w:tc>
        <w:tc>
          <w:tcPr>
            <w:tcW w:w="440" w:type="dxa"/>
            <w:vAlign w:val="bottom"/>
            <w:tcBorders>
              <w:top w:val="single" w:sz="8" w:color="auto"/>
            </w:tcBorders>
            <w:gridSpan w:val="2"/>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currently in effect</w:t>
              </w:r>
            </w:hyperlink>
          </w:p>
        </w:tc>
        <w:tc>
          <w:tcPr>
            <w:tcW w:w="526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8"/>
              </w:rPr>
              <w:t>9/21/2020</w:t>
            </w:r>
          </w:p>
        </w:tc>
      </w:tr>
      <w:tr>
        <w:trPr>
          <w:trHeight w:val="196"/>
        </w:trPr>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300" w:type="dxa"/>
            <w:vAlign w:val="bottom"/>
          </w:tcPr>
          <w:p>
            <w:pPr>
              <w:spacing w:after="0"/>
              <w:rPr>
                <w:sz w:val="17"/>
                <w:szCs w:val="17"/>
                <w:color w:val="auto"/>
              </w:rPr>
            </w:pPr>
          </w:p>
        </w:tc>
        <w:tc>
          <w:tcPr>
            <w:tcW w:w="6560" w:type="dxa"/>
            <w:vAlign w:val="bottom"/>
            <w:gridSpan w:val="5"/>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Amended and Restated Certificate of Incorporation of the Registrant, to be in</w:t>
              </w:r>
            </w:hyperlink>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8"/>
        </w:trPr>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effect immediately prior to the completion of the Registrant’s initial public offering</w:t>
              </w:r>
            </w:hyperlink>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9/21/2020</w:t>
            </w:r>
          </w:p>
        </w:tc>
      </w:tr>
      <w:tr>
        <w:trPr>
          <w:trHeight w:val="216"/>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300" w:type="dxa"/>
            <w:vAlign w:val="bottom"/>
          </w:tcPr>
          <w:p>
            <w:pPr>
              <w:spacing w:after="0"/>
              <w:rPr>
                <w:sz w:val="18"/>
                <w:szCs w:val="18"/>
                <w:color w:val="auto"/>
              </w:rPr>
            </w:pPr>
          </w:p>
        </w:tc>
        <w:tc>
          <w:tcPr>
            <w:tcW w:w="6560" w:type="dxa"/>
            <w:vAlign w:val="bottom"/>
            <w:gridSpan w:val="5"/>
          </w:tcPr>
          <w:p>
            <w:pPr>
              <w:spacing w:after="0"/>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Bylaws of the Registrant, as currently in effect</w:t>
              </w:r>
            </w:hyperlink>
          </w:p>
        </w:tc>
        <w:tc>
          <w:tcPr>
            <w:tcW w:w="2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9/21/2020</w:t>
            </w:r>
          </w:p>
        </w:tc>
      </w:tr>
      <w:tr>
        <w:trPr>
          <w:trHeight w:val="194"/>
        </w:trPr>
        <w:tc>
          <w:tcPr>
            <w:tcW w:w="5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4.4</w:t>
            </w:r>
          </w:p>
        </w:tc>
        <w:tc>
          <w:tcPr>
            <w:tcW w:w="300" w:type="dxa"/>
            <w:vAlign w:val="bottom"/>
          </w:tcPr>
          <w:p>
            <w:pPr>
              <w:spacing w:after="0"/>
              <w:rPr>
                <w:sz w:val="16"/>
                <w:szCs w:val="16"/>
                <w:color w:val="auto"/>
              </w:rPr>
            </w:pPr>
          </w:p>
        </w:tc>
        <w:tc>
          <w:tcPr>
            <w:tcW w:w="656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Form of Amended and Restated Bylaws of the Registrant, to be in effect immediately prior</w:t>
              </w:r>
            </w:hyperlink>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560" w:type="dxa"/>
            <w:vAlign w:val="bottom"/>
            <w:gridSpan w:val="5"/>
          </w:tcPr>
          <w:p>
            <w:pPr>
              <w:spacing w:after="0" w:line="19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to the completion of the Registrant’s initial public offering</w:t>
              </w:r>
            </w:hyperlink>
          </w:p>
        </w:tc>
        <w:tc>
          <w:tcPr>
            <w:tcW w:w="220" w:type="dxa"/>
            <w:vAlign w:val="bottom"/>
          </w:tcPr>
          <w:p>
            <w:pPr>
              <w:spacing w:after="0"/>
              <w:rPr>
                <w:sz w:val="17"/>
                <w:szCs w:val="17"/>
                <w:color w:val="auto"/>
              </w:rPr>
            </w:pPr>
          </w:p>
        </w:tc>
        <w:tc>
          <w:tcPr>
            <w:tcW w:w="66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8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8"/>
              </w:rPr>
              <w:t>9/21/2020</w:t>
            </w:r>
          </w:p>
        </w:tc>
      </w:tr>
      <w:tr>
        <w:trPr>
          <w:trHeight w:val="218"/>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300" w:type="dxa"/>
            <w:vAlign w:val="bottom"/>
          </w:tcPr>
          <w:p>
            <w:pPr>
              <w:spacing w:after="0"/>
              <w:rPr>
                <w:sz w:val="18"/>
                <w:szCs w:val="18"/>
                <w:color w:val="auto"/>
              </w:rPr>
            </w:pPr>
          </w:p>
        </w:tc>
        <w:tc>
          <w:tcPr>
            <w:tcW w:w="420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Specimen common stock certificate of the Registrant</w:t>
              </w:r>
            </w:hyperlink>
          </w:p>
        </w:tc>
        <w:tc>
          <w:tcPr>
            <w:tcW w:w="23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9/21/2020</w:t>
            </w:r>
          </w:p>
        </w:tc>
      </w:tr>
      <w:tr>
        <w:trPr>
          <w:trHeight w:val="216"/>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300" w:type="dxa"/>
            <w:vAlign w:val="bottom"/>
          </w:tcPr>
          <w:p>
            <w:pPr>
              <w:spacing w:after="0"/>
              <w:rPr>
                <w:sz w:val="18"/>
                <w:szCs w:val="18"/>
                <w:color w:val="auto"/>
              </w:rPr>
            </w:pPr>
          </w:p>
        </w:tc>
        <w:tc>
          <w:tcPr>
            <w:tcW w:w="6560" w:type="dxa"/>
            <w:vAlign w:val="bottom"/>
            <w:gridSpan w:val="5"/>
          </w:tcPr>
          <w:p>
            <w:pPr>
              <w:spacing w:after="0"/>
              <w:rPr>
                <w:rFonts w:ascii="Times New Roman" w:cs="Times New Roman" w:eastAsia="Times New Roman" w:hAnsi="Times New Roman"/>
                <w:sz w:val="18"/>
                <w:szCs w:val="18"/>
                <w:u w:val="single" w:color="auto"/>
                <w:color w:val="0000EE"/>
              </w:rPr>
            </w:pPr>
            <w:hyperlink r:id="rId29">
              <w:r>
                <w:rPr>
                  <w:rFonts w:ascii="Times New Roman" w:cs="Times New Roman" w:eastAsia="Times New Roman" w:hAnsi="Times New Roman"/>
                  <w:sz w:val="18"/>
                  <w:szCs w:val="18"/>
                  <w:u w:val="single" w:color="auto"/>
                  <w:color w:val="0000EE"/>
                </w:rPr>
                <w:t>2013 Equity Incentive Plan, as amended, and form agreement thereunder</w:t>
              </w:r>
            </w:hyperlink>
          </w:p>
        </w:tc>
        <w:tc>
          <w:tcPr>
            <w:tcW w:w="2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9/21/2020</w:t>
            </w:r>
          </w:p>
        </w:tc>
      </w:tr>
      <w:tr>
        <w:trPr>
          <w:trHeight w:val="216"/>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300" w:type="dxa"/>
            <w:vAlign w:val="bottom"/>
          </w:tcPr>
          <w:p>
            <w:pPr>
              <w:spacing w:after="0"/>
              <w:rPr>
                <w:sz w:val="18"/>
                <w:szCs w:val="18"/>
                <w:color w:val="auto"/>
              </w:rPr>
            </w:pPr>
          </w:p>
        </w:tc>
        <w:tc>
          <w:tcPr>
            <w:tcW w:w="6560" w:type="dxa"/>
            <w:vAlign w:val="bottom"/>
            <w:gridSpan w:val="5"/>
          </w:tcPr>
          <w:p>
            <w:pPr>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2020 Equity Incentive Plan, and form agreements thereunder</w:t>
              </w:r>
            </w:hyperlink>
          </w:p>
        </w:tc>
        <w:tc>
          <w:tcPr>
            <w:tcW w:w="2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9/21/2020</w:t>
            </w:r>
          </w:p>
        </w:tc>
      </w:tr>
      <w:tr>
        <w:trPr>
          <w:trHeight w:val="216"/>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300" w:type="dxa"/>
            <w:vAlign w:val="bottom"/>
          </w:tcPr>
          <w:p>
            <w:pPr>
              <w:spacing w:after="0"/>
              <w:rPr>
                <w:sz w:val="18"/>
                <w:szCs w:val="18"/>
                <w:color w:val="auto"/>
              </w:rPr>
            </w:pPr>
          </w:p>
        </w:tc>
        <w:tc>
          <w:tcPr>
            <w:tcW w:w="6560" w:type="dxa"/>
            <w:vAlign w:val="bottom"/>
            <w:gridSpan w:val="5"/>
          </w:tcPr>
          <w:p>
            <w:pPr>
              <w:spacing w:after="0"/>
              <w:rPr>
                <w:rFonts w:ascii="Times New Roman" w:cs="Times New Roman" w:eastAsia="Times New Roman" w:hAnsi="Times New Roman"/>
                <w:sz w:val="18"/>
                <w:szCs w:val="18"/>
                <w:u w:val="single" w:color="auto"/>
                <w:color w:val="0000EE"/>
              </w:rPr>
            </w:pPr>
            <w:hyperlink r:id="rId31">
              <w:r>
                <w:rPr>
                  <w:rFonts w:ascii="Times New Roman" w:cs="Times New Roman" w:eastAsia="Times New Roman" w:hAnsi="Times New Roman"/>
                  <w:sz w:val="18"/>
                  <w:szCs w:val="18"/>
                  <w:u w:val="single" w:color="auto"/>
                  <w:color w:val="0000EE"/>
                </w:rPr>
                <w:t>2020 Employee Stock Purchase Plan and form agreements thereunder</w:t>
              </w:r>
            </w:hyperlink>
          </w:p>
        </w:tc>
        <w:tc>
          <w:tcPr>
            <w:tcW w:w="220" w:type="dxa"/>
            <w:vAlign w:val="bottom"/>
          </w:tcPr>
          <w:p>
            <w:pPr>
              <w:spacing w:after="0"/>
              <w:rPr>
                <w:sz w:val="18"/>
                <w:szCs w:val="18"/>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S-1/A</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333-248627</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9/21/2020</w:t>
            </w:r>
          </w:p>
        </w:tc>
      </w:tr>
      <w:tr>
        <w:trPr>
          <w:trHeight w:val="23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0"/>
                <w:szCs w:val="20"/>
                <w:color w:val="auto"/>
              </w:rPr>
            </w:pPr>
          </w:p>
        </w:tc>
        <w:tc>
          <w:tcPr>
            <w:tcW w:w="6560" w:type="dxa"/>
            <w:vAlign w:val="bottom"/>
            <w:gridSpan w:val="5"/>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Opinion of Wilson Sonsini Goodrich &amp; Rosati, Professional Corporation</w:t>
              </w:r>
            </w:hyperlink>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ectPr>
          <w:pgSz w:w="11900" w:h="16838" w:orient="portrait"/>
          <w:cols w:equalWidth="0" w:num="1">
            <w:col w:w="11000"/>
          </w:cols>
          <w:pgMar w:left="440" w:top="270" w:right="459" w:bottom="1440" w:gutter="0" w:footer="0" w:header="0"/>
        </w:sectPr>
      </w:pPr>
    </w:p>
    <w:bookmarkStart w:id="4" w:name="page5"/>
    <w:bookmarkEnd w:id="4"/>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37"/>
        </w:trPr>
        <w:tc>
          <w:tcPr>
            <w:tcW w:w="5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4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5480" w:type="dxa"/>
            <w:vAlign w:val="bottom"/>
            <w:tcBorders>
              <w:top w:val="single" w:sz="8" w:color="auto"/>
            </w:tcBorders>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0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23.1*</w:t>
            </w:r>
          </w:p>
        </w:tc>
        <w:tc>
          <w:tcPr>
            <w:tcW w:w="460" w:type="dxa"/>
            <w:vAlign w:val="bottom"/>
          </w:tcPr>
          <w:p>
            <w:pPr>
              <w:spacing w:after="0"/>
              <w:rPr>
                <w:sz w:val="16"/>
                <w:szCs w:val="16"/>
                <w:color w:val="auto"/>
              </w:rPr>
            </w:pPr>
          </w:p>
        </w:tc>
        <w:tc>
          <w:tcPr>
            <w:tcW w:w="7000" w:type="dxa"/>
            <w:vAlign w:val="bottom"/>
            <w:gridSpan w:val="4"/>
          </w:tcPr>
          <w:p>
            <w:pPr>
              <w:spacing w:after="0" w:line="185" w:lineRule="exact"/>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194"/>
        </w:trPr>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23.2*</w:t>
            </w:r>
          </w:p>
        </w:tc>
        <w:tc>
          <w:tcPr>
            <w:tcW w:w="7460" w:type="dxa"/>
            <w:vAlign w:val="bottom"/>
            <w:gridSpan w:val="5"/>
          </w:tcPr>
          <w:p>
            <w:pPr>
              <w:ind w:left="460"/>
              <w:spacing w:after="0" w:line="194"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Consent of Wilson Sonsini Goodrich &amp; Rosati, Professional Corporation (contained in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8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Exhibit 5.1 hereto)</w:t>
              </w:r>
            </w:hyperlink>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7460" w:type="dxa"/>
            <w:vAlign w:val="bottom"/>
            <w:gridSpan w:val="5"/>
          </w:tcPr>
          <w:p>
            <w:pPr>
              <w:ind w:left="4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Power of Attorney (contained on signature page hereto)</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7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File</w:t>
            </w:r>
          </w:p>
        </w:tc>
        <w:tc>
          <w:tcPr>
            <w:tcW w:w="8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0" w:type="dxa"/>
            <w:vAlign w:val="bottom"/>
          </w:tcPr>
          <w:p>
            <w:pPr>
              <w:spacing w:after="0"/>
              <w:rPr>
                <w:sz w:val="1"/>
                <w:szCs w:val="1"/>
                <w:color w:val="auto"/>
              </w:rPr>
            </w:pPr>
          </w:p>
        </w:tc>
      </w:tr>
      <w:tr>
        <w:trPr>
          <w:trHeight w:val="173"/>
        </w:trPr>
        <w:tc>
          <w:tcPr>
            <w:tcW w:w="720" w:type="dxa"/>
            <w:vAlign w:val="bottom"/>
            <w:gridSpan w:val="2"/>
            <w:vMerge w:val="continue"/>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880" w:type="dxa"/>
            <w:vAlign w:val="bottom"/>
            <w:gridSpan w:val="2"/>
            <w:vMerge w:val="continue"/>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3" w:lineRule="exact"/>
        <w:rPr>
          <w:sz w:val="20"/>
          <w:szCs w:val="20"/>
          <w:color w:val="auto"/>
        </w:rPr>
      </w:pPr>
    </w:p>
    <w:p>
      <w:pPr>
        <w:sectPr>
          <w:pgSz w:w="11900" w:h="16838" w:orient="portrait"/>
          <w:cols w:equalWidth="0" w:num="2">
            <w:col w:w="7964" w:space="380"/>
            <w:col w:w="2640"/>
          </w:cols>
          <w:pgMar w:left="436" w:top="277" w:right="479" w:bottom="1440" w:gutter="0" w:footer="0" w:header="0"/>
        </w:sectPr>
      </w:pPr>
    </w:p>
    <w:p>
      <w:pPr>
        <w:spacing w:after="0" w:line="1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40" w:hanging="439"/>
        <w:spacing w:after="0" w:line="255"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40" w:hanging="439"/>
        <w:spacing w:after="0" w:line="282"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periodic reports filed with or furnished to the Commission by the Registrant pursuant to Section 13 or Section 15(d) of the Exchange Act that are incorporated by reference in this Registration Statement.</w:t>
      </w:r>
    </w:p>
    <w:p>
      <w:pPr>
        <w:spacing w:after="0" w:line="81" w:lineRule="exact"/>
        <w:rPr>
          <w:sz w:val="20"/>
          <w:szCs w:val="20"/>
          <w:color w:val="auto"/>
        </w:rPr>
      </w:pPr>
    </w:p>
    <w:p>
      <w:pPr>
        <w:jc w:val="both"/>
        <w:ind w:left="964" w:right="300"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right="20" w:hanging="424"/>
        <w:spacing w:after="0" w:line="25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sz w:val="20"/>
          <w:szCs w:val="20"/>
          <w:color w:val="auto"/>
        </w:rPr>
      </w:pPr>
    </w:p>
    <w:p>
      <w:pPr>
        <w:ind w:left="424"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referenced in Item 6 of this Registration Statement,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ectPr>
          <w:pgSz w:w="11900" w:h="16838" w:orient="portrait"/>
          <w:cols w:equalWidth="0" w:num="1">
            <w:col w:w="10984"/>
          </w:cols>
          <w:pgMar w:left="436" w:top="277" w:right="47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on Form S-8 to be signed on its behalf by the undersigned, thereunto duly authorized, in the City of Cranbury, New Jersey, on September 28, 2020.</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David H. Mack, Ph.D. and Winston Kung as his or her true and lawful attorneys-in-fact and agents, with full power of substitution, for him or her and in his or her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on Form S-8 has been signed by the following persons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8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84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1"/>
                <w:szCs w:val="21"/>
                <w:color w:val="auto"/>
              </w:rPr>
            </w:pPr>
          </w:p>
        </w:tc>
        <w:tc>
          <w:tcPr>
            <w:tcW w:w="17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310"/>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President, Chief Executive Officer and Director </w:t>
            </w:r>
            <w:r>
              <w:rPr>
                <w:rFonts w:ascii="Times New Roman" w:cs="Times New Roman" w:eastAsia="Times New Roman" w:hAnsi="Times New Roman"/>
                <w:sz w:val="18"/>
                <w:szCs w:val="18"/>
                <w:i w:val="1"/>
                <w:iCs w:val="1"/>
                <w:color w:val="auto"/>
              </w:rPr>
              <w:t>(Principal</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Chief Operating Officer and Chief Financial Officer </w:t>
            </w:r>
            <w:r>
              <w:rPr>
                <w:rFonts w:ascii="Times New Roman" w:cs="Times New Roman" w:eastAsia="Times New Roman" w:hAnsi="Times New Roman"/>
                <w:sz w:val="18"/>
                <w:szCs w:val="18"/>
                <w:i w:val="1"/>
                <w:iCs w:val="1"/>
                <w:color w:val="auto"/>
              </w:rPr>
              <w:t>(Principal</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Winston Kung</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Financial and Accounting Officer)</w:t>
            </w: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Heyman, Ph.D.</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and Chairman of the Board of Directors</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Richard Heyman,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Arnold Levine</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Arnold Levine,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Arnold Oronsky</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Arnold Oronsky,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Thilo Schroeder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Thilo Schroeder, Ph.D.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Laurie Stelzer</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Laurie Stelzer</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1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Thompson</w:t>
            </w:r>
          </w:p>
        </w:tc>
        <w:tc>
          <w:tcPr>
            <w:tcW w:w="5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September 28, 2020</w:t>
            </w:r>
          </w:p>
        </w:tc>
      </w:tr>
      <w:tr>
        <w:trPr>
          <w:trHeight w:val="22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Peter Thompson, M.D.</w:t>
            </w:r>
          </w:p>
        </w:tc>
        <w:tc>
          <w:tcPr>
            <w:tcW w:w="1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165860"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165860" cy="471805"/>
                    </a:xfrm>
                    <a:prstGeom prst="rect">
                      <a:avLst/>
                    </a:prstGeom>
                    <a:noFill/>
                  </pic:spPr>
                </pic:pic>
              </a:graphicData>
            </a:graphic>
          </wp:anchor>
        </w:drawing>
      </w:r>
    </w:p>
    <w:p>
      <w:pPr>
        <w:spacing w:after="0" w:line="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7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1301 Avenue of the Americas, 40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w:t>
      </w:r>
    </w:p>
    <w:p>
      <w:pPr>
        <w:spacing w:after="0" w:line="9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New York, NY 10019-6022</w:t>
      </w:r>
    </w:p>
    <w:p>
      <w:pPr>
        <w:spacing w:after="0" w:line="9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HONE</w:t>
      </w:r>
      <w:r>
        <w:rPr>
          <w:rFonts w:ascii="Times New Roman" w:cs="Times New Roman" w:eastAsia="Times New Roman" w:hAnsi="Times New Roman"/>
          <w:sz w:val="18"/>
          <w:szCs w:val="18"/>
          <w:color w:val="auto"/>
        </w:rPr>
        <w:t>: 212.999.5800</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F</w:t>
      </w:r>
      <w:r>
        <w:rPr>
          <w:rFonts w:ascii="Times New Roman" w:cs="Times New Roman" w:eastAsia="Times New Roman" w:hAnsi="Times New Roman"/>
          <w:sz w:val="14"/>
          <w:szCs w:val="14"/>
          <w:color w:val="auto"/>
        </w:rPr>
        <w:t>AX</w:t>
      </w:r>
      <w:r>
        <w:rPr>
          <w:rFonts w:ascii="Times New Roman" w:cs="Times New Roman" w:eastAsia="Times New Roman" w:hAnsi="Times New Roman"/>
          <w:sz w:val="18"/>
          <w:szCs w:val="18"/>
          <w:color w:val="auto"/>
        </w:rPr>
        <w:t>: 212.999.5899</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28,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(609) 642-6670</w:t>
      </w:r>
    </w:p>
    <w:p>
      <w:pPr>
        <w:spacing w:after="0" w:line="230"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have examined the Registration Statement on Form S-8 (the “Registration Statement”) to be filed by PMV Pharmaceuticals, Inc., a Delaware corporation, with the Securities and Exchange Commission on or about the date hereof, in connection with the registration under the Securities Act of 1933, as amended, of (i) 4,406,374 shares of common stock, par value $0.00001 per share (“Common Stock”) reserved for issuance pursuant to the 2020 Equity Incentive Plan, (ii) 400,752 shares of Common Stock reserved for issuance pursuant to the 2020 Employee Stock Purchase Plan, and (iii) 4,072,084 shares of Common Stock that are subject to currently outstanding options under the 2013 Equity Incentive Plan (which plans are referred to herein as the “Plans” and which shares of Common Stock are referred to herein as the “Shares”).</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Professional Corporation</w:t>
      </w:r>
    </w:p>
    <w:p>
      <w:pPr>
        <w:sectPr>
          <w:pgSz w:w="11900" w:h="16838" w:orient="portrait"/>
          <w:cols w:equalWidth="0" w:num="1">
            <w:col w:w="11020"/>
          </w:cols>
          <w:pgMar w:left="440" w:top="117" w:right="4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2013 Equity Incentive Plan, 2020 Equity Incentive Plan and 2020 Employee Stock Purchase Plan of PMV Pharmaceuticals, Inc. of our report dated June 26, 2020 (except for the reverse stock split described in Note 2, as to which the date is September 21, 2020), with respect to the financial statements of PMV Pharmaceuticals, Inc. included in Amendment No. 2 to the Registration Statement (Form S-1 No. 333-248627) and related Prospectus of PMV Pharmaceuticals, Inc. filed with the Securities and Exchange Commission.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upperLetter"/>
      <w:start w:val="1"/>
    </w:lvl>
    <w:lvl w:ilvl="1">
      <w:lvlJc w:val="left"/>
      <w:lvlText w:val="(%2)"/>
      <w:numFmt w:val="decimal"/>
      <w:start w:val="2"/>
    </w:lvl>
  </w:abstractNum>
  <w:abstractNum w:abstractNumId="4">
    <w:nsid w:val="3D1B58BA"/>
    <w:multiLevelType w:val="hybridMultilevel"/>
    <w:lvl w:ilvl="0">
      <w:lvlJc w:val="left"/>
      <w:lvlText w:val="%1."/>
      <w:numFmt w:val="upperLetter"/>
      <w:start w:val="2"/>
    </w:lvl>
    <w:lvl w:ilvl="1">
      <w:lvlJc w:val="left"/>
      <w:lvlText w:val="%2"/>
      <w:numFmt w:val="decimal"/>
      <w:start w:val="1"/>
    </w:lvl>
  </w:abstractNum>
  <w:abstractNum w:abstractNumId="5">
    <w:nsid w:val="507ED7AB"/>
    <w:multiLevelType w:val="hybridMultilevel"/>
    <w:lvl w:ilvl="0">
      <w:lvlJc w:val="left"/>
      <w:lvlText w:val="%1."/>
      <w:numFmt w:val="upperLetter"/>
      <w:start w:val="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jpeg"/><Relationship Id="rId21" Type="http://schemas.openxmlformats.org/officeDocument/2006/relationships/hyperlink" Target="http://www.sec.gov/Archives/edgar/data/1699382/000119312520252783/d922470ds1a.htm" TargetMode="External"/><Relationship Id="rId22" Type="http://schemas.openxmlformats.org/officeDocument/2006/relationships/hyperlink" Target="http://www.sec.gov/Archives/edgar/data/1699382/000119312520250157/d14856d8a12b.htm" TargetMode="External"/><Relationship Id="rId24" Type="http://schemas.openxmlformats.org/officeDocument/2006/relationships/hyperlink" Target="http://www.sec.gov/Archives/edgar/data/1699382/000119312520249570/d922470dex31.htm" TargetMode="External"/><Relationship Id="rId25" Type="http://schemas.openxmlformats.org/officeDocument/2006/relationships/hyperlink" Target="http://www.sec.gov/Archives/edgar/data/0001699382/000119312520240132/d922470dex32.htm" TargetMode="External"/><Relationship Id="rId26" Type="http://schemas.openxmlformats.org/officeDocument/2006/relationships/hyperlink" Target="http://www.sec.gov/Archives/edgar/data/0001699382/000119312520240132/d922470dex33.htm" TargetMode="External"/><Relationship Id="rId27" Type="http://schemas.openxmlformats.org/officeDocument/2006/relationships/hyperlink" Target="http://www.sec.gov/Archives/edgar/data/0001699382/000119312520240132/d922470dex34.htm" TargetMode="External"/><Relationship Id="rId28" Type="http://schemas.openxmlformats.org/officeDocument/2006/relationships/hyperlink" Target="http://www.sec.gov/Archives/edgar/data/1699382/000119312520249570/d922470dex42.htm" TargetMode="External"/><Relationship Id="rId29" Type="http://schemas.openxmlformats.org/officeDocument/2006/relationships/hyperlink" Target="http://www.sec.gov/Archives/edgar/data/1699382/000119312520249570/d922470dex102.htm" TargetMode="External"/><Relationship Id="rId30" Type="http://schemas.openxmlformats.org/officeDocument/2006/relationships/hyperlink" Target="http://www.sec.gov/Archives/edgar/data/1699382/000119312520249570/d922470dex103.htm" TargetMode="External"/><Relationship Id="rId31" Type="http://schemas.openxmlformats.org/officeDocument/2006/relationships/hyperlink" Target="http://www.sec.gov/Archives/edgar/data/1699382/000119312520249570/d92247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2020-09-28T15:04:55Z</dcterms:created>
  <dcterms:modified xsi:type="dcterms:W3CDTF">2020-09-28T15:04:55Z</dcterms:modified>
</cp:coreProperties>
</file>