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PMV Pharmaceuticals,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69353Y103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69353Y103</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Boxer Capital, LLC</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5"/>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80" w:type="dxa"/>
            <w:vAlign w:val="bottom"/>
            <w:gridSpan w:val="3"/>
          </w:tcPr>
          <w:p>
            <w:pPr>
              <w:ind w:left="180"/>
              <w:spacing w:after="0"/>
              <w:rPr>
                <w:sz w:val="20"/>
                <w:szCs w:val="20"/>
                <w:color w:val="auto"/>
              </w:rPr>
            </w:pPr>
            <w:r>
              <w:rPr>
                <w:rFonts w:ascii="Arial" w:cs="Arial" w:eastAsia="Arial" w:hAnsi="Arial"/>
                <w:sz w:val="18"/>
                <w:szCs w:val="18"/>
                <w:color w:val="auto"/>
                <w:w w:val="94"/>
              </w:rPr>
              <w:t>SEC use only.</w:t>
            </w:r>
          </w:p>
        </w:tc>
        <w:tc>
          <w:tcPr>
            <w:tcW w:w="120" w:type="dxa"/>
            <w:vAlign w:val="bottom"/>
          </w:tcPr>
          <w:p>
            <w:pPr>
              <w:spacing w:after="0"/>
              <w:rPr>
                <w:sz w:val="19"/>
                <w:szCs w:val="19"/>
                <w:color w:val="auto"/>
              </w:rPr>
            </w:pPr>
          </w:p>
        </w:tc>
        <w:tc>
          <w:tcPr>
            <w:tcW w:w="9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2,838,236</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center"/>
              <w:spacing w:after="0" w:line="182" w:lineRule="exact"/>
              <w:rPr>
                <w:sz w:val="20"/>
                <w:szCs w:val="20"/>
                <w:color w:val="auto"/>
              </w:rPr>
            </w:pPr>
            <w:r>
              <w:rPr>
                <w:rFonts w:ascii="Arial" w:cs="Arial" w:eastAsia="Arial" w:hAnsi="Arial"/>
                <w:sz w:val="18"/>
                <w:szCs w:val="18"/>
                <w:color w:val="auto"/>
                <w:w w:val="79"/>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2,838,236</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320" w:type="dxa"/>
            <w:vAlign w:val="bottom"/>
            <w:gridSpan w:val="2"/>
          </w:tcPr>
          <w:p>
            <w:pPr>
              <w:jc w:val="center"/>
              <w:spacing w:after="0"/>
              <w:rPr>
                <w:sz w:val="20"/>
                <w:szCs w:val="20"/>
                <w:color w:val="auto"/>
              </w:rPr>
            </w:pPr>
            <w:r>
              <w:rPr>
                <w:rFonts w:ascii="Arial" w:cs="Arial" w:eastAsia="Arial" w:hAnsi="Arial"/>
                <w:sz w:val="12"/>
                <w:szCs w:val="12"/>
                <w:color w:val="auto"/>
                <w:w w:val="74"/>
              </w:rPr>
              <w:t>amount</w:t>
            </w:r>
          </w:p>
        </w:tc>
        <w:tc>
          <w:tcPr>
            <w:tcW w:w="9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2,838,236</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hanging="224"/>
        <w:spacing w:after="0" w:line="277"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45,380,354 shares of Common Stock outstanding as of November 10, 2021, as set forth in the Issuer’s Quarterly Report on Form 10-Q filed with the U.S. Securities and Exchange Commission (“SEC”) on November 12, 2021.</w:t>
      </w:r>
    </w:p>
    <w:p>
      <w:pPr>
        <w:sectPr>
          <w:pgSz w:w="11900" w:h="16838" w:orient="portrait"/>
          <w:cols w:equalWidth="0" w:num="1">
            <w:col w:w="11004"/>
          </w:cols>
          <w:pgMar w:left="436" w:top="274"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69353Y103</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Boxer Asset Management Inc.</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5"/>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80" w:type="dxa"/>
            <w:vAlign w:val="bottom"/>
            <w:gridSpan w:val="3"/>
          </w:tcPr>
          <w:p>
            <w:pPr>
              <w:ind w:left="180"/>
              <w:spacing w:after="0"/>
              <w:rPr>
                <w:sz w:val="20"/>
                <w:szCs w:val="20"/>
                <w:color w:val="auto"/>
              </w:rPr>
            </w:pPr>
            <w:r>
              <w:rPr>
                <w:rFonts w:ascii="Arial" w:cs="Arial" w:eastAsia="Arial" w:hAnsi="Arial"/>
                <w:sz w:val="18"/>
                <w:szCs w:val="18"/>
                <w:color w:val="auto"/>
                <w:w w:val="94"/>
              </w:rPr>
              <w:t>SEC use only.</w:t>
            </w:r>
          </w:p>
        </w:tc>
        <w:tc>
          <w:tcPr>
            <w:tcW w:w="120" w:type="dxa"/>
            <w:vAlign w:val="bottom"/>
          </w:tcPr>
          <w:p>
            <w:pPr>
              <w:spacing w:after="0"/>
              <w:rPr>
                <w:sz w:val="19"/>
                <w:szCs w:val="19"/>
                <w:color w:val="auto"/>
              </w:rPr>
            </w:pPr>
          </w:p>
        </w:tc>
        <w:tc>
          <w:tcPr>
            <w:tcW w:w="9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Bahamas</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2,838,236</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70"/>
              <w:spacing w:after="0" w:line="182" w:lineRule="exact"/>
              <w:rPr>
                <w:sz w:val="20"/>
                <w:szCs w:val="20"/>
                <w:color w:val="auto"/>
              </w:rPr>
            </w:pPr>
            <w:r>
              <w:rPr>
                <w:rFonts w:ascii="Arial" w:cs="Arial" w:eastAsia="Arial" w:hAnsi="Arial"/>
                <w:sz w:val="18"/>
                <w:szCs w:val="18"/>
                <w:color w:val="auto"/>
                <w:w w:val="99"/>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center"/>
              <w:spacing w:after="0" w:line="182" w:lineRule="exact"/>
              <w:rPr>
                <w:sz w:val="20"/>
                <w:szCs w:val="20"/>
                <w:color w:val="auto"/>
              </w:rPr>
            </w:pPr>
            <w:r>
              <w:rPr>
                <w:rFonts w:ascii="Arial" w:cs="Arial" w:eastAsia="Arial" w:hAnsi="Arial"/>
                <w:sz w:val="18"/>
                <w:szCs w:val="18"/>
                <w:color w:val="auto"/>
                <w:w w:val="79"/>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2,838,236</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320" w:type="dxa"/>
            <w:vAlign w:val="bottom"/>
            <w:gridSpan w:val="2"/>
          </w:tcPr>
          <w:p>
            <w:pPr>
              <w:jc w:val="center"/>
              <w:spacing w:after="0"/>
              <w:rPr>
                <w:sz w:val="20"/>
                <w:szCs w:val="20"/>
                <w:color w:val="auto"/>
              </w:rPr>
            </w:pPr>
            <w:r>
              <w:rPr>
                <w:rFonts w:ascii="Arial" w:cs="Arial" w:eastAsia="Arial" w:hAnsi="Arial"/>
                <w:sz w:val="12"/>
                <w:szCs w:val="12"/>
                <w:color w:val="auto"/>
                <w:w w:val="74"/>
              </w:rPr>
              <w:t>amount</w:t>
            </w:r>
          </w:p>
        </w:tc>
        <w:tc>
          <w:tcPr>
            <w:tcW w:w="9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2,838,236</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hanging="224"/>
        <w:spacing w:after="0" w:line="277"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45,380,354 shares of Common Stock outstanding as of November 10, 2021, as set forth in the Issuer’s Quarterly Report on Form 10-Q filed with the SEC on November 12, 2021.</w:t>
      </w:r>
    </w:p>
    <w:p>
      <w:pPr>
        <w:sectPr>
          <w:pgSz w:w="11900" w:h="16838" w:orient="portrait"/>
          <w:cols w:equalWidth="0" w:num="1">
            <w:col w:w="11004"/>
          </w:cols>
          <w:pgMar w:left="436" w:top="274" w:right="4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69353Y103</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Joe Lewis</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5"/>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80" w:type="dxa"/>
            <w:vAlign w:val="bottom"/>
            <w:gridSpan w:val="3"/>
          </w:tcPr>
          <w:p>
            <w:pPr>
              <w:ind w:left="180"/>
              <w:spacing w:after="0"/>
              <w:rPr>
                <w:sz w:val="20"/>
                <w:szCs w:val="20"/>
                <w:color w:val="auto"/>
              </w:rPr>
            </w:pPr>
            <w:r>
              <w:rPr>
                <w:rFonts w:ascii="Arial" w:cs="Arial" w:eastAsia="Arial" w:hAnsi="Arial"/>
                <w:sz w:val="18"/>
                <w:szCs w:val="18"/>
                <w:color w:val="auto"/>
                <w:w w:val="94"/>
              </w:rPr>
              <w:t>SEC use only.</w:t>
            </w:r>
          </w:p>
        </w:tc>
        <w:tc>
          <w:tcPr>
            <w:tcW w:w="120" w:type="dxa"/>
            <w:vAlign w:val="bottom"/>
          </w:tcPr>
          <w:p>
            <w:pPr>
              <w:spacing w:after="0"/>
              <w:rPr>
                <w:sz w:val="19"/>
                <w:szCs w:val="19"/>
                <w:color w:val="auto"/>
              </w:rPr>
            </w:pPr>
          </w:p>
        </w:tc>
        <w:tc>
          <w:tcPr>
            <w:tcW w:w="9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2,838,236</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70"/>
              <w:spacing w:after="0" w:line="182" w:lineRule="exact"/>
              <w:rPr>
                <w:sz w:val="20"/>
                <w:szCs w:val="20"/>
                <w:color w:val="auto"/>
              </w:rPr>
            </w:pPr>
            <w:r>
              <w:rPr>
                <w:rFonts w:ascii="Arial" w:cs="Arial" w:eastAsia="Arial" w:hAnsi="Arial"/>
                <w:sz w:val="18"/>
                <w:szCs w:val="18"/>
                <w:color w:val="auto"/>
                <w:w w:val="99"/>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center"/>
              <w:spacing w:after="0" w:line="182" w:lineRule="exact"/>
              <w:rPr>
                <w:sz w:val="20"/>
                <w:szCs w:val="20"/>
                <w:color w:val="auto"/>
              </w:rPr>
            </w:pPr>
            <w:r>
              <w:rPr>
                <w:rFonts w:ascii="Arial" w:cs="Arial" w:eastAsia="Arial" w:hAnsi="Arial"/>
                <w:sz w:val="18"/>
                <w:szCs w:val="18"/>
                <w:color w:val="auto"/>
                <w:w w:val="79"/>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2,838,236</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320" w:type="dxa"/>
            <w:vAlign w:val="bottom"/>
            <w:gridSpan w:val="2"/>
          </w:tcPr>
          <w:p>
            <w:pPr>
              <w:jc w:val="center"/>
              <w:spacing w:after="0"/>
              <w:rPr>
                <w:sz w:val="20"/>
                <w:szCs w:val="20"/>
                <w:color w:val="auto"/>
              </w:rPr>
            </w:pPr>
            <w:r>
              <w:rPr>
                <w:rFonts w:ascii="Arial" w:cs="Arial" w:eastAsia="Arial" w:hAnsi="Arial"/>
                <w:sz w:val="12"/>
                <w:szCs w:val="12"/>
                <w:color w:val="auto"/>
                <w:w w:val="74"/>
              </w:rPr>
              <w:t>amount</w:t>
            </w:r>
          </w:p>
        </w:tc>
        <w:tc>
          <w:tcPr>
            <w:tcW w:w="9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2,838,236</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hanging="224"/>
        <w:spacing w:after="0" w:line="277"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45,380,354 shares of Common Stock outstanding as of November 10, 2021, as set forth in the Issuer’s Quarterly Report on Form 10-Q filed with the SEC on November 12, 2021.</w:t>
      </w:r>
    </w:p>
    <w:p>
      <w:pPr>
        <w:sectPr>
          <w:pgSz w:w="11900" w:h="16838" w:orient="portrait"/>
          <w:cols w:equalWidth="0" w:num="1">
            <w:col w:w="11004"/>
          </w:cols>
          <w:pgMar w:left="436" w:top="274" w:right="45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69353Y103</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MVA Investors, LLC</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5"/>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80" w:type="dxa"/>
            <w:vAlign w:val="bottom"/>
            <w:gridSpan w:val="3"/>
          </w:tcPr>
          <w:p>
            <w:pPr>
              <w:ind w:left="180"/>
              <w:spacing w:after="0"/>
              <w:rPr>
                <w:sz w:val="20"/>
                <w:szCs w:val="20"/>
                <w:color w:val="auto"/>
              </w:rPr>
            </w:pPr>
            <w:r>
              <w:rPr>
                <w:rFonts w:ascii="Arial" w:cs="Arial" w:eastAsia="Arial" w:hAnsi="Arial"/>
                <w:sz w:val="18"/>
                <w:szCs w:val="18"/>
                <w:color w:val="auto"/>
                <w:w w:val="94"/>
              </w:rPr>
              <w:t>SEC use only.</w:t>
            </w:r>
          </w:p>
        </w:tc>
        <w:tc>
          <w:tcPr>
            <w:tcW w:w="120" w:type="dxa"/>
            <w:vAlign w:val="bottom"/>
          </w:tcPr>
          <w:p>
            <w:pPr>
              <w:spacing w:after="0"/>
              <w:rPr>
                <w:sz w:val="19"/>
                <w:szCs w:val="19"/>
                <w:color w:val="auto"/>
              </w:rPr>
            </w:pPr>
          </w:p>
        </w:tc>
        <w:tc>
          <w:tcPr>
            <w:tcW w:w="9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60,837</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center"/>
              <w:spacing w:after="0" w:line="182" w:lineRule="exact"/>
              <w:rPr>
                <w:sz w:val="20"/>
                <w:szCs w:val="20"/>
                <w:color w:val="auto"/>
              </w:rPr>
            </w:pPr>
            <w:r>
              <w:rPr>
                <w:rFonts w:ascii="Arial" w:cs="Arial" w:eastAsia="Arial" w:hAnsi="Arial"/>
                <w:sz w:val="18"/>
                <w:szCs w:val="18"/>
                <w:color w:val="auto"/>
                <w:w w:val="79"/>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60,837</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320" w:type="dxa"/>
            <w:vAlign w:val="bottom"/>
            <w:gridSpan w:val="2"/>
          </w:tcPr>
          <w:p>
            <w:pPr>
              <w:jc w:val="center"/>
              <w:spacing w:after="0"/>
              <w:rPr>
                <w:sz w:val="20"/>
                <w:szCs w:val="20"/>
                <w:color w:val="auto"/>
              </w:rPr>
            </w:pPr>
            <w:r>
              <w:rPr>
                <w:rFonts w:ascii="Arial" w:cs="Arial" w:eastAsia="Arial" w:hAnsi="Arial"/>
                <w:sz w:val="12"/>
                <w:szCs w:val="12"/>
                <w:color w:val="auto"/>
                <w:w w:val="74"/>
              </w:rPr>
              <w:t>amount</w:t>
            </w:r>
          </w:p>
        </w:tc>
        <w:tc>
          <w:tcPr>
            <w:tcW w:w="9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60,837</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hanging="224"/>
        <w:spacing w:after="0" w:line="277" w:lineRule="auto"/>
        <w:tabs>
          <w:tab w:leader="none" w:pos="22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45,380,354 shares of Common Stock outstanding as of November 10, 2021, as set forth in the Issuer’s Quarterly Report on Form 10-Q filed with the SEC on November 12, 2021.</w:t>
      </w:r>
    </w:p>
    <w:p>
      <w:pPr>
        <w:sectPr>
          <w:pgSz w:w="11900" w:h="16838" w:orient="portrait"/>
          <w:cols w:equalWidth="0" w:num="1">
            <w:col w:w="11004"/>
          </w:cols>
          <w:pgMar w:left="436" w:top="274"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69353Y103</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4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7"/>
              </w:rPr>
              <w:t>Aaron I. Davis</w:t>
            </w: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65"/>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80" w:type="dxa"/>
            <w:vAlign w:val="bottom"/>
            <w:gridSpan w:val="3"/>
          </w:tcPr>
          <w:p>
            <w:pPr>
              <w:ind w:left="180"/>
              <w:spacing w:after="0"/>
              <w:rPr>
                <w:sz w:val="20"/>
                <w:szCs w:val="20"/>
                <w:color w:val="auto"/>
              </w:rPr>
            </w:pPr>
            <w:r>
              <w:rPr>
                <w:rFonts w:ascii="Arial" w:cs="Arial" w:eastAsia="Arial" w:hAnsi="Arial"/>
                <w:sz w:val="18"/>
                <w:szCs w:val="18"/>
                <w:color w:val="auto"/>
                <w:w w:val="94"/>
              </w:rPr>
              <w:t>SEC use only.</w:t>
            </w:r>
          </w:p>
        </w:tc>
        <w:tc>
          <w:tcPr>
            <w:tcW w:w="120" w:type="dxa"/>
            <w:vAlign w:val="bottom"/>
          </w:tcPr>
          <w:p>
            <w:pPr>
              <w:spacing w:after="0"/>
              <w:rPr>
                <w:sz w:val="19"/>
                <w:szCs w:val="19"/>
                <w:color w:val="auto"/>
              </w:rPr>
            </w:pPr>
          </w:p>
        </w:tc>
        <w:tc>
          <w:tcPr>
            <w:tcW w:w="9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60,837</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70"/>
              <w:spacing w:after="0" w:line="182" w:lineRule="exact"/>
              <w:rPr>
                <w:sz w:val="20"/>
                <w:szCs w:val="20"/>
                <w:color w:val="auto"/>
              </w:rPr>
            </w:pPr>
            <w:r>
              <w:rPr>
                <w:rFonts w:ascii="Arial" w:cs="Arial" w:eastAsia="Arial" w:hAnsi="Arial"/>
                <w:sz w:val="18"/>
                <w:szCs w:val="18"/>
                <w:color w:val="auto"/>
                <w:w w:val="99"/>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center"/>
              <w:spacing w:after="0" w:line="182" w:lineRule="exact"/>
              <w:rPr>
                <w:sz w:val="20"/>
                <w:szCs w:val="20"/>
                <w:color w:val="auto"/>
              </w:rPr>
            </w:pPr>
            <w:r>
              <w:rPr>
                <w:rFonts w:ascii="Arial" w:cs="Arial" w:eastAsia="Arial" w:hAnsi="Arial"/>
                <w:sz w:val="18"/>
                <w:szCs w:val="18"/>
                <w:color w:val="auto"/>
                <w:w w:val="79"/>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60,837</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Aggregate</w:t>
            </w:r>
          </w:p>
        </w:tc>
        <w:tc>
          <w:tcPr>
            <w:tcW w:w="320" w:type="dxa"/>
            <w:vAlign w:val="bottom"/>
            <w:gridSpan w:val="2"/>
          </w:tcPr>
          <w:p>
            <w:pPr>
              <w:jc w:val="center"/>
              <w:spacing w:after="0"/>
              <w:rPr>
                <w:sz w:val="20"/>
                <w:szCs w:val="20"/>
                <w:color w:val="auto"/>
              </w:rPr>
            </w:pPr>
            <w:r>
              <w:rPr>
                <w:rFonts w:ascii="Arial" w:cs="Arial" w:eastAsia="Arial" w:hAnsi="Arial"/>
                <w:sz w:val="12"/>
                <w:szCs w:val="12"/>
                <w:color w:val="auto"/>
                <w:w w:val="74"/>
              </w:rPr>
              <w:t>amount</w:t>
            </w:r>
          </w:p>
        </w:tc>
        <w:tc>
          <w:tcPr>
            <w:tcW w:w="90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60,837</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24" w:hanging="224"/>
        <w:spacing w:after="0" w:line="277" w:lineRule="auto"/>
        <w:tabs>
          <w:tab w:leader="none" w:pos="22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45,380,354 shares of Common Stock outstanding as of November 10, 2021, as set forth in the Issuer’s Quarterly Report on Form 10-Q filed with the SEC on November 12, 2021.</w:t>
      </w:r>
    </w:p>
    <w:p>
      <w:pPr>
        <w:sectPr>
          <w:pgSz w:w="11900" w:h="16838" w:orient="portrait"/>
          <w:cols w:equalWidth="0" w:num="1">
            <w:col w:w="11004"/>
          </w:cols>
          <w:pgMar w:left="436" w:top="274" w:right="459" w:bottom="1440" w:gutter="0" w:footer="0" w:header="0"/>
        </w:sectPr>
      </w:pPr>
    </w:p>
    <w:bookmarkStart w:id="6" w:name="page7"/>
    <w:bookmarkEnd w:id="6"/>
    <w:p>
      <w:pPr>
        <w:ind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Amendment No. 1 (“Amendment No. 1”) amends and supplements the statement on Schedule 13G is filed on September 30, 2020 (the “Original Filing”) by Boxer Capital, LLC (“Boxer Capital”), Boxer Asset Management Inc. (“Boxer Management”), Joe Lewis, MVA Investors, LLC (“MVA Investors”) and Aaron I. Davis (together with Boxer Capital, Boxer Management, Joe Lewis and MVA Investors, the “Reporting Persons”). The Original Filing remains in effect except to the extent that it is amended, restated or superseded by information contained in this Amendment No. 1. Capitalized terms used and not defined in this Amendment No. 1 have the meanings set forth in the Original Filing, as amended.</w:t>
      </w:r>
    </w:p>
    <w:p>
      <w:pPr>
        <w:spacing w:after="0" w:line="30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sz w:val="20"/>
          <w:szCs w:val="20"/>
          <w:color w:val="auto"/>
        </w:rPr>
      </w:pPr>
    </w:p>
    <w:p>
      <w:pPr>
        <w:jc w:val="both"/>
        <w:ind w:right="400" w:firstLine="991"/>
        <w:spacing w:after="0" w:line="342" w:lineRule="auto"/>
        <w:rPr>
          <w:sz w:val="20"/>
          <w:szCs w:val="20"/>
          <w:color w:val="auto"/>
        </w:rPr>
      </w:pPr>
      <w:r>
        <w:rPr>
          <w:rFonts w:ascii="Arial" w:cs="Arial" w:eastAsia="Arial" w:hAnsi="Arial"/>
          <w:sz w:val="16"/>
          <w:szCs w:val="16"/>
          <w:color w:val="auto"/>
        </w:rPr>
        <w:t>Boxer, Boxer Management and Joe Lewis beneficially own 2,838,236 shares of Common Stock. MVA Investors and Aaron I. Davis beneficially own 60,837 shares of Common Stock. The Reporting Persons beneficially own, in the aggregate, 2,899,073 shares of Common Stock.</w:t>
      </w:r>
    </w:p>
    <w:p>
      <w:pPr>
        <w:spacing w:after="0" w:line="151" w:lineRule="exact"/>
        <w:rPr>
          <w:sz w:val="20"/>
          <w:szCs w:val="20"/>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The shares of Common Stock beneficially owned by Boxer Capital, Boxer Management and Joe Lewis represents 6.3% of the Issuer’s outstanding shares of Common Stock. The shares of Common Stock beneficially owned by MVA Investors and Aaron I. Davis represents 0.1% of the Issuer’s outstanding shares of Common Stock. The shares of Common Stock beneficially owned by the Reporting Persons represents, in the aggregate, 6.4% of the Issuer’s outstanding shares of Common Stock. All percentages are based on 45,380,354 shares of Common Stock outstanding as of November 10, 2021, as set forth in the Issuer’s Quarterly Report on Form 10-Q filed with the SEC on November 12, 2021.</w:t>
      </w:r>
    </w:p>
    <w:p>
      <w:pPr>
        <w:spacing w:after="0" w:line="188" w:lineRule="exact"/>
        <w:rPr>
          <w:sz w:val="20"/>
          <w:szCs w:val="20"/>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None of the Reporting Persons has sole power to vote or to direct the vote of any shares of Common Stock.</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17" w:lineRule="exact"/>
        <w:rPr>
          <w:sz w:val="20"/>
          <w:szCs w:val="20"/>
          <w:color w:val="auto"/>
        </w:rPr>
      </w:pPr>
    </w:p>
    <w:p>
      <w:pPr>
        <w:jc w:val="both"/>
        <w:ind w:right="540" w:firstLine="1432"/>
        <w:spacing w:after="0" w:line="263" w:lineRule="auto"/>
        <w:rPr>
          <w:sz w:val="20"/>
          <w:szCs w:val="20"/>
          <w:color w:val="auto"/>
        </w:rPr>
      </w:pPr>
      <w:r>
        <w:rPr>
          <w:rFonts w:ascii="Arial" w:cs="Arial" w:eastAsia="Arial" w:hAnsi="Arial"/>
          <w:sz w:val="18"/>
          <w:szCs w:val="18"/>
          <w:color w:val="auto"/>
        </w:rPr>
        <w:t>Boxer Capital, Boxer Management and Joe Lewis have shared power to vote or to direct the vote of the 2,838,236 shares of Common Stock they beneficially own. MVA Investors and Aaron I. Davis have shared power to vote or to direct the vote of the 60,837 shares of Common Stock they beneficially own.</w:t>
      </w:r>
    </w:p>
    <w:p>
      <w:pPr>
        <w:spacing w:after="0" w:line="89" w:lineRule="exact"/>
        <w:rPr>
          <w:sz w:val="20"/>
          <w:szCs w:val="20"/>
          <w:color w:val="auto"/>
        </w:rPr>
      </w:pPr>
    </w:p>
    <w:p>
      <w:pPr>
        <w:ind w:left="1420" w:hanging="439"/>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None of the Reporting Persons has sole power to dispose or to direct the disposition of any shares of Common Stock.</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17" w:lineRule="exact"/>
        <w:rPr>
          <w:sz w:val="20"/>
          <w:szCs w:val="20"/>
          <w:color w:val="auto"/>
        </w:rPr>
      </w:pPr>
    </w:p>
    <w:p>
      <w:pPr>
        <w:ind w:right="100" w:firstLine="1432"/>
        <w:spacing w:after="0" w:line="263" w:lineRule="auto"/>
        <w:rPr>
          <w:sz w:val="20"/>
          <w:szCs w:val="20"/>
          <w:color w:val="auto"/>
        </w:rPr>
      </w:pPr>
      <w:r>
        <w:rPr>
          <w:rFonts w:ascii="Arial" w:cs="Arial" w:eastAsia="Arial" w:hAnsi="Arial"/>
          <w:sz w:val="18"/>
          <w:szCs w:val="18"/>
          <w:color w:val="auto"/>
        </w:rPr>
        <w:t>Boxer Capital, Boxer Management and Joe Lewis have shared power to dispose or to direct the disposition of the 2,838,236 shares of Common Stock they beneficially own. MVA Investors and Aaron I. Davis have shared power to dispose or to direct the disposition of the 60,837 shares of Common Stock they beneficially own.</w:t>
      </w:r>
    </w:p>
    <w:p>
      <w:pPr>
        <w:sectPr>
          <w:pgSz w:w="11900" w:h="16838" w:orient="portrait"/>
          <w:cols w:equalWidth="0" w:num="1">
            <w:col w:w="10940"/>
          </w:cols>
          <w:pgMar w:left="440" w:top="274" w:right="519" w:bottom="1440" w:gutter="0" w:footer="0" w:header="0"/>
        </w:sectPr>
      </w:pPr>
    </w:p>
    <w:bookmarkStart w:id="7" w:name="page8"/>
    <w:bookmarkEnd w:id="7"/>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left="4" w:firstLine="436"/>
        <w:spacing w:after="0" w:line="259" w:lineRule="auto"/>
        <w:tabs>
          <w:tab w:leader="none" w:pos="6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5"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Exhibits</w:t>
      </w:r>
    </w:p>
    <w:p>
      <w:pPr>
        <w:spacing w:after="0" w:line="104" w:lineRule="exact"/>
        <w:rPr>
          <w:sz w:val="20"/>
          <w:szCs w:val="20"/>
          <w:color w:val="auto"/>
        </w:rPr>
      </w:pPr>
    </w:p>
    <w:p>
      <w:pPr>
        <w:ind w:left="1244" w:right="60" w:hanging="1244"/>
        <w:spacing w:after="0" w:line="277" w:lineRule="auto"/>
        <w:tabs>
          <w:tab w:leader="none" w:pos="12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Joint Filing Agreement, dated September 30, 2020, among the Reporting Persons, incorporated herein by reference to Exhibit 99.1 to the Schedule 13G filed on September 30, 2020.</w:t>
      </w:r>
    </w:p>
    <w:p>
      <w:pPr>
        <w:sectPr>
          <w:pgSz w:w="11900" w:h="16838" w:orient="portrait"/>
          <w:cols w:equalWidth="0" w:num="1">
            <w:col w:w="10884"/>
          </w:cols>
          <w:pgMar w:left="436" w:top="270" w:right="5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12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BOXER CAPITAL, LLC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Aaron I. Davis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BOXER ASSET MANAGEMENT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Callender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Jason Callender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JOSEPH C. LEWIS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Joseph C. Lewis, Individually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MVA INVESTORS, LLC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Aaron I. Davis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AARON I. DAVIS</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I. Davis</w:t>
            </w:r>
          </w:p>
        </w:tc>
      </w:tr>
      <w:tr>
        <w:trPr>
          <w:trHeight w:val="224"/>
        </w:trPr>
        <w:tc>
          <w:tcPr>
            <w:tcW w:w="58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Aaron I. Davis, Individually</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2"/>
    </w:lvl>
  </w:abstractNum>
  <w:abstractNum w:abstractNumId="10">
    <w:nsid w:val="140E0F76"/>
    <w:multiLevelType w:val="hybridMultilevel"/>
    <w:lvl w:ilvl="0">
      <w:lvlJc w:val="left"/>
      <w:lvlText w:val="(%1)"/>
      <w:numFmt w:val="lowerLetter"/>
      <w:start w:val="3"/>
    </w:lvl>
    <w:lvl w:ilvl="1">
      <w:lvlJc w:val="left"/>
      <w:lvlText w:val="(%2)"/>
      <w:numFmt w:val="lowerRoman"/>
      <w:start w:val="1"/>
    </w:lvl>
  </w:abstractNum>
  <w:abstractNum w:abstractNumId="11">
    <w:nsid w:val="3352255A"/>
    <w:multiLevelType w:val="hybridMultilevel"/>
    <w:lvl w:ilvl="0">
      <w:lvlJc w:val="left"/>
      <w:lvlText w:val="(%1)"/>
      <w:numFmt w:val="lowerRoman"/>
      <w:start w:val="3"/>
    </w:lvl>
  </w:abstractNum>
  <w:abstractNum w:abstractNumId="12">
    <w:nsid w:val="109CF92E"/>
    <w:multiLevelType w:val="hybridMultilevel"/>
    <w:lvl w:ilvl="0">
      <w:lvlJc w:val="left"/>
      <w:lvlText w:val="(%1)"/>
      <w:numFmt w:val="lowerLetter"/>
      <w:start w:val="3"/>
    </w:lvl>
  </w:abstractNum>
  <w:abstractNum w:abstractNumId="13">
    <w:nsid w:val="DED726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2022-02-14T15:29:54Z</dcterms:created>
  <dcterms:modified xsi:type="dcterms:W3CDTF">2022-02-14T15:29:54Z</dcterms:modified>
</cp:coreProperties>
</file>