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46-3218129</w:t>
      </w:r>
    </w:p>
    <w:p>
      <w:pPr>
        <w:spacing w:after="0" w:line="24" w:lineRule="exact"/>
        <w:rPr>
          <w:sz w:val="24"/>
          <w:szCs w:val="24"/>
          <w:color w:val="auto"/>
        </w:rPr>
      </w:pPr>
    </w:p>
    <w:p>
      <w:pPr>
        <w:sectPr>
          <w:pgSz w:w="11900" w:h="16838" w:orient="portrait"/>
          <w:cols w:equalWidth="0" w:num="3">
            <w:col w:w="4504" w:space="720"/>
            <w:col w:w="2880" w:space="720"/>
            <w:col w:w="2200"/>
          </w:cols>
          <w:pgMar w:left="436" w:top="41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1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 Clarke Drive, Suite 3</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Cranbury, New Jersey 08512</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of Registrant’s principal executive offices)</w:t>
      </w:r>
    </w:p>
    <w:p>
      <w:pPr>
        <w:spacing w:after="0" w:line="16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(609) 642-6670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PMVP</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 2022, PMV Pharmaceuticals, Inc. (the “Company”) held its virtual 2022 Annual Meeting of Stockholders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exclusively online via live webcast. The shareholders voted on the following proposals at the Annual Meeting: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two persons listed below as Class II Directors, each to serve until the Company’s 2025 Annual Meeting of Stockholders and until their respective successors has been duly elected and qualified, or until the earlier of the respective director’s death, resignation or retirement. The final voting results are as follows:</w:t>
      </w:r>
    </w:p>
    <w:p>
      <w:pPr>
        <w:spacing w:after="0" w:line="18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200" w:type="dxa"/>
            <w:vAlign w:val="bottom"/>
          </w:tcPr>
          <w:p>
            <w:pPr>
              <w:spacing w:after="0"/>
              <w:rPr>
                <w:sz w:val="13"/>
                <w:szCs w:val="13"/>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WITHHELD</w:t>
            </w:r>
          </w:p>
        </w:tc>
        <w:tc>
          <w:tcPr>
            <w:tcW w:w="2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NON-VOTE</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Arnold Levine, Ph.D.</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29,469,991</w:t>
            </w:r>
          </w:p>
        </w:tc>
        <w:tc>
          <w:tcPr>
            <w:tcW w:w="11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4,366,805</w:t>
            </w:r>
          </w:p>
        </w:tc>
        <w:tc>
          <w:tcPr>
            <w:tcW w:w="14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1,914,535</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Charles M. Baum, M.D., Ph.D.</w:t>
            </w: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29,134,747</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12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4,702,049</w:t>
            </w:r>
          </w:p>
        </w:tc>
        <w:tc>
          <w:tcPr>
            <w:tcW w:w="2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1,914,535</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Non-Binding Advisory Vote to Approve the Compensation of the Company’s Named Executive Officers</w:t>
      </w:r>
    </w:p>
    <w:p>
      <w:pPr>
        <w:spacing w:after="0" w:line="11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paid to its named executive officers, disclosed pursuant to the compensation disclosure rules of the U.S. Securities and Exchange Commission (the “SEC”), including the compensation discussion and analysis, the compensation tables and the narrative discussion contained in the Company’s definitive proxy statement on Schedule 14A, filed with the SEC on April 22, 2022 (the “Proxy Statement”). The final voting results are as follows:</w:t>
      </w:r>
    </w:p>
    <w:p>
      <w:pPr>
        <w:spacing w:after="0" w:line="19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380" w:type="dxa"/>
            <w:vAlign w:val="bottom"/>
          </w:tcPr>
          <w:p>
            <w:pPr>
              <w:spacing w:after="0"/>
              <w:rPr>
                <w:sz w:val="13"/>
                <w:szCs w:val="13"/>
                <w:color w:val="auto"/>
              </w:rPr>
            </w:pPr>
          </w:p>
        </w:tc>
        <w:tc>
          <w:tcPr>
            <w:tcW w:w="19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AGAINST</w:t>
            </w:r>
          </w:p>
        </w:tc>
        <w:tc>
          <w:tcPr>
            <w:tcW w:w="36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ABSTAIN</w:t>
            </w:r>
          </w:p>
        </w:tc>
        <w:tc>
          <w:tcPr>
            <w:tcW w:w="36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NON-VOTE</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32,962,908</w:t>
            </w:r>
          </w:p>
        </w:tc>
        <w:tc>
          <w:tcPr>
            <w:tcW w:w="38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872,088</w:t>
            </w:r>
          </w:p>
        </w:tc>
        <w:tc>
          <w:tcPr>
            <w:tcW w:w="36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1,800</w:t>
            </w:r>
          </w:p>
        </w:tc>
        <w:tc>
          <w:tcPr>
            <w:tcW w:w="360" w:type="dxa"/>
            <w:vAlign w:val="bottom"/>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1,914,535</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Proposal 3. Non-Binding Advisory Vote on the Frequency of Future Stockholder Advisory Votes on the Compensation of the Company’s Named Executive Officers</w:t>
      </w:r>
    </w:p>
    <w:p>
      <w:pPr>
        <w:spacing w:after="0" w:line="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a vote to hold future stockholder advisory votes on the compensation of its named executive officers every one year. The final voting results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TWO</w:t>
            </w: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r>
      <w:tr>
        <w:trPr>
          <w:trHeight w:val="185"/>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ONE YEAR</w:t>
            </w:r>
          </w:p>
        </w:tc>
        <w:tc>
          <w:tcPr>
            <w:tcW w:w="12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YEARS</w:t>
            </w:r>
          </w:p>
        </w:tc>
        <w:tc>
          <w:tcPr>
            <w:tcW w:w="1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 YEARS</w:t>
            </w:r>
          </w:p>
        </w:tc>
        <w:tc>
          <w:tcPr>
            <w:tcW w:w="1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c>
          <w:tcPr>
            <w:tcW w:w="1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NON-VOTE</w:t>
            </w:r>
          </w:p>
        </w:tc>
      </w:tr>
      <w:tr>
        <w:trPr>
          <w:trHeight w:val="216"/>
        </w:trPr>
        <w:tc>
          <w:tcPr>
            <w:tcW w:w="146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33,827,318</w:t>
            </w:r>
          </w:p>
        </w:tc>
        <w:tc>
          <w:tcPr>
            <w:tcW w:w="1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2,527</w:t>
            </w:r>
          </w:p>
        </w:tc>
        <w:tc>
          <w:tcPr>
            <w:tcW w:w="12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6,051</w:t>
            </w:r>
          </w:p>
        </w:tc>
        <w:tc>
          <w:tcPr>
            <w:tcW w:w="12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900</w:t>
            </w:r>
          </w:p>
        </w:tc>
        <w:tc>
          <w:tcPr>
            <w:tcW w:w="12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1,914,535</w:t>
            </w:r>
          </w:p>
        </w:tc>
      </w:tr>
    </w:tbl>
    <w:p>
      <w:pPr>
        <w:spacing w:after="0" w:line="21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Consistent with the recommendation of the Company’s Board of Directors and based on these results, the Company will conduct future non-binding advisory votes on the compensation of the Company’s named executive officers every year. This policy will remain in effect until the next non-binding advisory stockholder vote on the frequency of future stockholder advisory votes on the compensation of the Company’s named executive officers, expected to be held at the Company’s 2025 annual meeting of stockholders.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 Ratification of Independent Registered Public Accounting Firm</w:t>
      </w:r>
    </w:p>
    <w:p>
      <w:pPr>
        <w:spacing w:after="0" w:line="11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Company’s Board of Directors of Ernst &amp; Young LLP as the Company’s independent registered public accounting firm for the fiscal year ending December 31, 2022.</w:t>
      </w:r>
    </w:p>
    <w:p>
      <w:pPr>
        <w:sectPr>
          <w:pgSz w:w="11900" w:h="16838" w:orient="portrait"/>
          <w:cols w:equalWidth="0" w:num="1">
            <w:col w:w="11020"/>
          </w:cols>
          <w:pgMar w:left="440" w:top="29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final voting results are as follows: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24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r>
      <w:tr>
        <w:trPr>
          <w:trHeight w:val="216"/>
        </w:trPr>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35,746,657</w:t>
            </w:r>
          </w:p>
        </w:tc>
        <w:tc>
          <w:tcPr>
            <w:tcW w:w="24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4,223</w:t>
            </w:r>
          </w:p>
        </w:tc>
        <w:tc>
          <w:tcPr>
            <w:tcW w:w="24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451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foregoing proposals, see the Proxy Statement as filed with the SEC.</w:t>
      </w:r>
    </w:p>
    <w:p>
      <w:pPr>
        <w:sectPr>
          <w:pgSz w:w="11900" w:h="16838" w:orient="portrait"/>
          <w:cols w:equalWidth="0" w:num="1">
            <w:col w:w="10019"/>
          </w:cols>
          <w:pgMar w:left="440" w:top="297" w:right="1440"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Winston Kung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Chief Operating Officer and Chief Financial Officer</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2022</w:t>
      </w:r>
    </w:p>
    <w:sectPr>
      <w:pgSz w:w="11900" w:h="16838" w:orient="portrait"/>
      <w:cols w:equalWidth="0" w:num="1">
        <w:col w:w="10720"/>
      </w:cols>
      <w:pgMar w:left="440" w:top="29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2022-06-06T14:48:51Z</dcterms:created>
  <dcterms:modified xsi:type="dcterms:W3CDTF">2022-06-06T14:48:51Z</dcterms:modified>
</cp:coreProperties>
</file>