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6,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PMV PHARMACEUTICALS,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760" w:type="dxa"/>
        <w:tblCellMar>
          <w:top w:w="0" w:type="dxa"/>
          <w:left w:w="0" w:type="dxa"/>
          <w:bottom w:w="0" w:type="dxa"/>
          <w:right w:w="0" w:type="dxa"/>
        </w:tblCellMar>
      </w:tblPr>
      <w:tr>
        <w:trPr>
          <w:trHeight w:val="203"/>
        </w:trPr>
        <w:tc>
          <w:tcPr>
            <w:tcW w:w="3680" w:type="dxa"/>
            <w:vAlign w:val="bottom"/>
          </w:tcPr>
          <w:p>
            <w:pPr>
              <w:jc w:val="center"/>
              <w:ind w:right="178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240" w:type="dxa"/>
            <w:vAlign w:val="bottom"/>
          </w:tcPr>
          <w:p>
            <w:pPr>
              <w:jc w:val="center"/>
              <w:ind w:left="1805"/>
              <w:spacing w:after="0"/>
              <w:rPr>
                <w:sz w:val="20"/>
                <w:szCs w:val="20"/>
                <w:color w:val="auto"/>
              </w:rPr>
            </w:pPr>
            <w:r>
              <w:rPr>
                <w:rFonts w:ascii="Times New Roman" w:cs="Times New Roman" w:eastAsia="Times New Roman" w:hAnsi="Times New Roman"/>
                <w:sz w:val="17"/>
                <w:szCs w:val="17"/>
                <w:b w:val="1"/>
                <w:bCs w:val="1"/>
                <w:color w:val="auto"/>
              </w:rPr>
              <w:t>46-3218129</w:t>
            </w:r>
          </w:p>
        </w:tc>
      </w:tr>
      <w:tr>
        <w:trPr>
          <w:trHeight w:val="142"/>
        </w:trPr>
        <w:tc>
          <w:tcPr>
            <w:tcW w:w="3680" w:type="dxa"/>
            <w:vAlign w:val="bottom"/>
          </w:tcPr>
          <w:p>
            <w:pPr>
              <w:jc w:val="center"/>
              <w:ind w:right="1785"/>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240" w:type="dxa"/>
            <w:vAlign w:val="bottom"/>
          </w:tcPr>
          <w:p>
            <w:pPr>
              <w:jc w:val="center"/>
              <w:ind w:left="180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680" w:type="dxa"/>
            <w:vAlign w:val="bottom"/>
          </w:tcPr>
          <w:p>
            <w:pPr>
              <w:jc w:val="center"/>
              <w:ind w:right="1805"/>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240" w:type="dxa"/>
            <w:vAlign w:val="bottom"/>
          </w:tcPr>
          <w:p>
            <w:pPr>
              <w:jc w:val="center"/>
              <w:ind w:left="1805"/>
              <w:spacing w:after="0"/>
              <w:rPr>
                <w:sz w:val="20"/>
                <w:szCs w:val="20"/>
                <w:color w:val="auto"/>
              </w:rPr>
            </w:pPr>
            <w:r>
              <w:rPr>
                <w:rFonts w:ascii="Times New Roman" w:cs="Times New Roman" w:eastAsia="Times New Roman" w:hAnsi="Times New Roman"/>
                <w:sz w:val="14"/>
                <w:szCs w:val="14"/>
                <w:b w:val="1"/>
                <w:bCs w:val="1"/>
                <w:color w:val="auto"/>
                <w:w w:val="97"/>
              </w:rPr>
              <w:t>Identification Number)</w:t>
            </w: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400 Alexander Park Drive, Suite 301</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Princeton, NJ 08540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(609) 642-6670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2020 Equity Incentive Plan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David H. Mack, Ph.D.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PMV Pharmaceuticals,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400 Alexander Park Drive, Suite 301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Princeton, NJ 08540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(609) 642-6670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150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4700" w:type="dxa"/>
            <w:vAlign w:val="bottom"/>
          </w:tcPr>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234"/>
        </w:trPr>
        <w:tc>
          <w:tcPr>
            <w:tcW w:w="288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Kenneth A. Clark</w:t>
            </w:r>
          </w:p>
        </w:tc>
        <w:tc>
          <w:tcPr>
            <w:tcW w:w="4700" w:type="dxa"/>
            <w:vAlign w:val="bottom"/>
          </w:tcPr>
          <w:p>
            <w:pPr>
              <w:jc w:val="center"/>
              <w:ind w:left="2469"/>
              <w:spacing w:after="0"/>
              <w:rPr>
                <w:sz w:val="20"/>
                <w:szCs w:val="20"/>
                <w:color w:val="auto"/>
              </w:rPr>
            </w:pPr>
            <w:r>
              <w:rPr>
                <w:rFonts w:ascii="Times New Roman" w:cs="Times New Roman" w:eastAsia="Times New Roman" w:hAnsi="Times New Roman"/>
                <w:sz w:val="14"/>
                <w:szCs w:val="14"/>
                <w:b w:val="1"/>
                <w:bCs w:val="1"/>
                <w:color w:val="auto"/>
                <w:w w:val="97"/>
              </w:rPr>
              <w:t>Michael Carulli</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Tony Jeffries</w:t>
            </w:r>
          </w:p>
        </w:tc>
        <w:tc>
          <w:tcPr>
            <w:tcW w:w="4700" w:type="dxa"/>
            <w:vAlign w:val="bottom"/>
          </w:tcPr>
          <w:p>
            <w:pPr>
              <w:jc w:val="center"/>
              <w:ind w:left="2469"/>
              <w:spacing w:after="0" w:line="143" w:lineRule="exact"/>
              <w:rPr>
                <w:sz w:val="20"/>
                <w:szCs w:val="20"/>
                <w:color w:val="auto"/>
              </w:rPr>
            </w:pPr>
            <w:r>
              <w:rPr>
                <w:rFonts w:ascii="Times New Roman" w:cs="Times New Roman" w:eastAsia="Times New Roman" w:hAnsi="Times New Roman"/>
                <w:sz w:val="14"/>
                <w:szCs w:val="14"/>
                <w:b w:val="1"/>
                <w:bCs w:val="1"/>
                <w:color w:val="auto"/>
                <w:w w:val="98"/>
              </w:rPr>
              <w:t>Chief Financial Officer</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8"/>
              </w:rPr>
              <w:t>Megan J. Baier</w:t>
            </w:r>
          </w:p>
        </w:tc>
        <w:tc>
          <w:tcPr>
            <w:tcW w:w="4700" w:type="dxa"/>
            <w:vAlign w:val="bottom"/>
          </w:tcPr>
          <w:p>
            <w:pPr>
              <w:jc w:val="center"/>
              <w:ind w:left="2489"/>
              <w:spacing w:after="0" w:line="143" w:lineRule="exact"/>
              <w:rPr>
                <w:sz w:val="20"/>
                <w:szCs w:val="20"/>
                <w:color w:val="auto"/>
              </w:rPr>
            </w:pPr>
            <w:r>
              <w:rPr>
                <w:rFonts w:ascii="Times New Roman" w:cs="Times New Roman" w:eastAsia="Times New Roman" w:hAnsi="Times New Roman"/>
                <w:sz w:val="14"/>
                <w:szCs w:val="14"/>
                <w:b w:val="1"/>
                <w:bCs w:val="1"/>
                <w:color w:val="auto"/>
                <w:w w:val="98"/>
              </w:rPr>
              <w:t>PMV Pharmaceuticals, Inc.</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7"/>
              </w:rPr>
              <w:t>David G. Sharon</w:t>
            </w:r>
          </w:p>
        </w:tc>
        <w:tc>
          <w:tcPr>
            <w:tcW w:w="4700" w:type="dxa"/>
            <w:vAlign w:val="bottom"/>
          </w:tcPr>
          <w:p>
            <w:pPr>
              <w:jc w:val="center"/>
              <w:ind w:left="2469"/>
              <w:spacing w:after="0" w:line="143" w:lineRule="exact"/>
              <w:rPr>
                <w:sz w:val="20"/>
                <w:szCs w:val="20"/>
                <w:color w:val="auto"/>
              </w:rPr>
            </w:pPr>
            <w:r>
              <w:rPr>
                <w:rFonts w:ascii="Times New Roman" w:cs="Times New Roman" w:eastAsia="Times New Roman" w:hAnsi="Times New Roman"/>
                <w:sz w:val="14"/>
                <w:szCs w:val="14"/>
                <w:b w:val="1"/>
                <w:bCs w:val="1"/>
                <w:color w:val="auto"/>
                <w:w w:val="98"/>
              </w:rPr>
              <w:t>400 Alexander Park Drive, Suite 301</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7"/>
              </w:rPr>
              <w:t>Wilson Sonsini Goodrich &amp; Rosati, P.C.</w:t>
            </w:r>
          </w:p>
        </w:tc>
        <w:tc>
          <w:tcPr>
            <w:tcW w:w="4700" w:type="dxa"/>
            <w:vAlign w:val="bottom"/>
          </w:tcPr>
          <w:p>
            <w:pPr>
              <w:jc w:val="center"/>
              <w:ind w:left="2469"/>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Princeton, NJ 08540</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8"/>
              </w:rPr>
              <w:t>31 West 52</w:t>
            </w:r>
            <w:r>
              <w:rPr>
                <w:rFonts w:ascii="Times New Roman" w:cs="Times New Roman" w:eastAsia="Times New Roman" w:hAnsi="Times New Roman"/>
                <w:sz w:val="10"/>
                <w:szCs w:val="10"/>
                <w:b w:val="1"/>
                <w:bCs w:val="1"/>
                <w:color w:val="auto"/>
                <w:w w:val="98"/>
              </w:rPr>
              <w:t>nd</w:t>
            </w:r>
            <w:r>
              <w:rPr>
                <w:rFonts w:ascii="Times New Roman" w:cs="Times New Roman" w:eastAsia="Times New Roman" w:hAnsi="Times New Roman"/>
                <w:sz w:val="14"/>
                <w:szCs w:val="14"/>
                <w:b w:val="1"/>
                <w:bCs w:val="1"/>
                <w:color w:val="auto"/>
                <w:w w:val="98"/>
              </w:rPr>
              <w:t xml:space="preserve"> Street, Fifth Floor</w:t>
            </w:r>
          </w:p>
        </w:tc>
        <w:tc>
          <w:tcPr>
            <w:tcW w:w="4700" w:type="dxa"/>
            <w:vAlign w:val="bottom"/>
          </w:tcPr>
          <w:p>
            <w:pPr>
              <w:jc w:val="center"/>
              <w:ind w:left="2489"/>
              <w:spacing w:after="0" w:line="143" w:lineRule="exact"/>
              <w:rPr>
                <w:sz w:val="20"/>
                <w:szCs w:val="20"/>
                <w:color w:val="auto"/>
              </w:rPr>
            </w:pPr>
            <w:r>
              <w:rPr>
                <w:rFonts w:ascii="Times New Roman" w:cs="Times New Roman" w:eastAsia="Times New Roman" w:hAnsi="Times New Roman"/>
                <w:sz w:val="14"/>
                <w:szCs w:val="14"/>
                <w:b w:val="1"/>
                <w:bCs w:val="1"/>
                <w:color w:val="auto"/>
                <w:w w:val="98"/>
              </w:rPr>
              <w:t>(609) 642-6670</w:t>
            </w:r>
          </w:p>
        </w:tc>
      </w:tr>
      <w:tr>
        <w:trPr>
          <w:trHeight w:val="142"/>
        </w:trPr>
        <w:tc>
          <w:tcPr>
            <w:tcW w:w="2880" w:type="dxa"/>
            <w:vAlign w:val="bottom"/>
          </w:tcPr>
          <w:p>
            <w:pPr>
              <w:jc w:val="center"/>
              <w:ind w:right="471"/>
              <w:spacing w:after="0" w:line="143" w:lineRule="exact"/>
              <w:rPr>
                <w:sz w:val="20"/>
                <w:szCs w:val="20"/>
                <w:color w:val="auto"/>
              </w:rPr>
            </w:pPr>
            <w:r>
              <w:rPr>
                <w:rFonts w:ascii="Times New Roman" w:cs="Times New Roman" w:eastAsia="Times New Roman" w:hAnsi="Times New Roman"/>
                <w:sz w:val="14"/>
                <w:szCs w:val="14"/>
                <w:b w:val="1"/>
                <w:bCs w:val="1"/>
                <w:color w:val="auto"/>
                <w:w w:val="96"/>
              </w:rPr>
              <w:t>New York, NY 10019</w:t>
            </w:r>
          </w:p>
        </w:tc>
        <w:tc>
          <w:tcPr>
            <w:tcW w:w="4700" w:type="dxa"/>
            <w:vAlign w:val="bottom"/>
          </w:tcPr>
          <w:p>
            <w:pPr>
              <w:spacing w:after="0"/>
              <w:rPr>
                <w:sz w:val="12"/>
                <w:szCs w:val="12"/>
                <w:color w:val="auto"/>
              </w:rPr>
            </w:pPr>
          </w:p>
        </w:tc>
      </w:tr>
      <w:tr>
        <w:trPr>
          <w:trHeight w:val="183"/>
        </w:trPr>
        <w:tc>
          <w:tcPr>
            <w:tcW w:w="288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(212) 999.5800</w:t>
            </w:r>
          </w:p>
        </w:tc>
        <w:tc>
          <w:tcPr>
            <w:tcW w:w="4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220345</wp:posOffset>
            </wp:positionV>
            <wp:extent cx="1414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sectPr>
      </w:pPr>
    </w:p>
    <w:bookmarkStart w:id="1" w:name="page2"/>
    <w:bookmarkEnd w:id="1"/>
    <w:p>
      <w:pPr>
        <w:ind w:left="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REGISTRATION OF ADDITIONAL SHARES PURSUANT TO GENERAL INSTRUCTION E</w:t>
      </w:r>
    </w:p>
    <w:p>
      <w:pPr>
        <w:spacing w:after="0" w:line="221" w:lineRule="exact"/>
        <w:rPr>
          <w:sz w:val="20"/>
          <w:szCs w:val="20"/>
          <w:color w:val="auto"/>
        </w:rPr>
      </w:pPr>
    </w:p>
    <w:p>
      <w:pPr>
        <w:jc w:val="both"/>
        <w:ind w:firstLine="951"/>
        <w:spacing w:after="0" w:line="259" w:lineRule="auto"/>
        <w:rPr>
          <w:sz w:val="20"/>
          <w:szCs w:val="20"/>
          <w:color w:val="auto"/>
        </w:rPr>
      </w:pPr>
      <w:r>
        <w:rPr>
          <w:rFonts w:ascii="Times New Roman" w:cs="Times New Roman" w:eastAsia="Times New Roman" w:hAnsi="Times New Roman"/>
          <w:sz w:val="17"/>
          <w:szCs w:val="17"/>
          <w:color w:val="auto"/>
        </w:rPr>
        <w:t>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plans is effective. The number of the Registrant’s common stock available for grant and issuance under the 2020 Equity Incentive Plan (“2020 Plan”) is subject to annual increase on the first day of each fiscal year beginning with fiscal year 2021, in an amount equal to the least of (i) 4,406,374 shares, (ii) five percent (5%) of the outstanding shares of the Registrant’s common stock on the last day of the immediately preceding fiscal year or (iii) such number of shares determined by the 2020 Plan administrator. On January 1, 2026, the number of shares of the Registrant’s common stock available for grant and issuance under the 2020 Plan increased by 2,666,470 shares. This Registration Statement registers such additional shares of the Registrant’s common stock.</w:t>
      </w:r>
    </w:p>
    <w:p>
      <w:pPr>
        <w:spacing w:after="0" w:line="177" w:lineRule="exact"/>
        <w:rPr>
          <w:sz w:val="20"/>
          <w:szCs w:val="20"/>
          <w:color w:val="auto"/>
        </w:rPr>
      </w:pPr>
    </w:p>
    <w:p>
      <w:pPr>
        <w:jc w:val="both"/>
        <w:ind w:firstLine="951"/>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 previously registered shares of common stock for issuance under the 2020 Plan and the 2020 Employee Stock Purchase Plan (“2020 ESPP”) pursuant to (i) a registration statement on Form S-8 (File No. </w:t>
      </w:r>
      <w:hyperlink r:id="rId20">
        <w:r>
          <w:rPr>
            <w:rFonts w:ascii="Times New Roman" w:cs="Times New Roman" w:eastAsia="Times New Roman" w:hAnsi="Times New Roman"/>
            <w:sz w:val="17"/>
            <w:szCs w:val="17"/>
            <w:u w:val="single" w:color="auto"/>
            <w:color w:val="0000EE"/>
          </w:rPr>
          <w:t>333-249094</w:t>
        </w:r>
      </w:hyperlink>
      <w:r>
        <w:rPr>
          <w:rFonts w:ascii="Times New Roman" w:cs="Times New Roman" w:eastAsia="Times New Roman" w:hAnsi="Times New Roman"/>
          <w:sz w:val="17"/>
          <w:szCs w:val="17"/>
          <w:color w:val="auto"/>
        </w:rPr>
        <w:t xml:space="preserve">) filed with the Commission on September 28, 2020, (ii) a registration statement on Form S-8 (File No. </w:t>
      </w:r>
      <w:hyperlink r:id="rId21">
        <w:r>
          <w:rPr>
            <w:rFonts w:ascii="Times New Roman" w:cs="Times New Roman" w:eastAsia="Times New Roman" w:hAnsi="Times New Roman"/>
            <w:sz w:val="17"/>
            <w:szCs w:val="17"/>
            <w:u w:val="single" w:color="auto"/>
            <w:color w:val="0000EE"/>
          </w:rPr>
          <w:t>333-256346</w:t>
        </w:r>
      </w:hyperlink>
      <w:r>
        <w:rPr>
          <w:rFonts w:ascii="Times New Roman" w:cs="Times New Roman" w:eastAsia="Times New Roman" w:hAnsi="Times New Roman"/>
          <w:sz w:val="17"/>
          <w:szCs w:val="17"/>
          <w:color w:val="auto"/>
        </w:rPr>
        <w:t xml:space="preserve">) filed with the Commission on May 21, 2021, (iii) a registration statement on Form S-8 (File No. </w:t>
      </w:r>
      <w:hyperlink r:id="rId22">
        <w:r>
          <w:rPr>
            <w:rFonts w:ascii="Times New Roman" w:cs="Times New Roman" w:eastAsia="Times New Roman" w:hAnsi="Times New Roman"/>
            <w:sz w:val="17"/>
            <w:szCs w:val="17"/>
            <w:u w:val="single" w:color="auto"/>
            <w:color w:val="0000EE"/>
          </w:rPr>
          <w:t>333-262308</w:t>
        </w:r>
      </w:hyperlink>
      <w:r>
        <w:rPr>
          <w:rFonts w:ascii="Times New Roman" w:cs="Times New Roman" w:eastAsia="Times New Roman" w:hAnsi="Times New Roman"/>
          <w:sz w:val="17"/>
          <w:szCs w:val="17"/>
          <w:color w:val="auto"/>
        </w:rPr>
        <w:t xml:space="preserve">) filed with the Commission on January 24, 2022, (iv) a registration statement on Form S-8 (File No. </w:t>
      </w:r>
      <w:hyperlink r:id="rId23">
        <w:r>
          <w:rPr>
            <w:rFonts w:ascii="Times New Roman" w:cs="Times New Roman" w:eastAsia="Times New Roman" w:hAnsi="Times New Roman"/>
            <w:sz w:val="17"/>
            <w:szCs w:val="17"/>
            <w:u w:val="single" w:color="auto"/>
            <w:color w:val="0000EE"/>
          </w:rPr>
          <w:t>333-269394</w:t>
        </w:r>
      </w:hyperlink>
      <w:r>
        <w:rPr>
          <w:rFonts w:ascii="Times New Roman" w:cs="Times New Roman" w:eastAsia="Times New Roman" w:hAnsi="Times New Roman"/>
          <w:sz w:val="17"/>
          <w:szCs w:val="17"/>
          <w:color w:val="auto"/>
        </w:rPr>
        <w:t xml:space="preserve">) filed with the Commission on January 25, 2023, (v) a registration statement on Form S-8 (File No. </w:t>
      </w:r>
      <w:hyperlink r:id="rId24">
        <w:r>
          <w:rPr>
            <w:rFonts w:ascii="Times New Roman" w:cs="Times New Roman" w:eastAsia="Times New Roman" w:hAnsi="Times New Roman"/>
            <w:sz w:val="17"/>
            <w:szCs w:val="17"/>
            <w:u w:val="single" w:color="auto"/>
            <w:color w:val="0000EE"/>
          </w:rPr>
          <w:t>333-276667</w:t>
        </w:r>
      </w:hyperlink>
      <w:r>
        <w:rPr>
          <w:rFonts w:ascii="Times New Roman" w:cs="Times New Roman" w:eastAsia="Times New Roman" w:hAnsi="Times New Roman"/>
          <w:sz w:val="17"/>
          <w:szCs w:val="17"/>
          <w:color w:val="auto"/>
        </w:rPr>
        <w:t>) filed with the Commission on January 24, 2024, and</w:t>
      </w:r>
    </w:p>
    <w:p>
      <w:pPr>
        <w:spacing w:after="0" w:line="4" w:lineRule="exact"/>
        <w:rPr>
          <w:rFonts w:ascii="Times New Roman" w:cs="Times New Roman" w:eastAsia="Times New Roman" w:hAnsi="Times New Roman"/>
          <w:sz w:val="17"/>
          <w:szCs w:val="17"/>
          <w:color w:val="auto"/>
        </w:rPr>
      </w:pPr>
    </w:p>
    <w:p>
      <w:pPr>
        <w:jc w:val="both"/>
        <w:spacing w:after="0" w:line="259" w:lineRule="auto"/>
        <w:tabs>
          <w:tab w:leader="none" w:pos="3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registration statement on Form S-8 (File No. </w:t>
      </w:r>
      <w:hyperlink r:id="rId25">
        <w:r>
          <w:rPr>
            <w:rFonts w:ascii="Times New Roman" w:cs="Times New Roman" w:eastAsia="Times New Roman" w:hAnsi="Times New Roman"/>
            <w:sz w:val="17"/>
            <w:szCs w:val="17"/>
            <w:u w:val="single" w:color="auto"/>
            <w:color w:val="0000EE"/>
          </w:rPr>
          <w:t>333-284560</w:t>
        </w:r>
      </w:hyperlink>
      <w:r>
        <w:rPr>
          <w:rFonts w:ascii="Times New Roman" w:cs="Times New Roman" w:eastAsia="Times New Roman" w:hAnsi="Times New Roman"/>
          <w:sz w:val="17"/>
          <w:szCs w:val="17"/>
          <w:color w:val="auto"/>
        </w:rPr>
        <w:t>) filed with the Commission on January 28, 2025 ((i), (ii), (iii), (iv), (v) and (vi), collectively, the “Prior Registration Statements”). In accordance with General Instruction E to Form S-8, the contents of the Prior Registration Statements are hereby incorporated by reference. In accordance with the instructional note to Part I of Form S-8 promulgated by the Commission, the information specified by Part I of Form S-8 has been omitted from this Registration Statement.</w:t>
      </w:r>
    </w:p>
    <w:p>
      <w:pPr>
        <w:spacing w:after="0" w:line="379"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rFonts w:ascii="Times New Roman" w:cs="Times New Roman" w:eastAsia="Times New Roman" w:hAnsi="Times New Roman"/>
          <w:sz w:val="17"/>
          <w:szCs w:val="17"/>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INFORMATION REQUIRED IN REGISTRATION STATEMENT</w:t>
      </w:r>
    </w:p>
    <w:p>
      <w:pPr>
        <w:spacing w:after="0" w:line="245" w:lineRule="exact"/>
        <w:rPr>
          <w:rFonts w:ascii="Times New Roman" w:cs="Times New Roman" w:eastAsia="Times New Roman" w:hAnsi="Times New Roman"/>
          <w:sz w:val="17"/>
          <w:szCs w:val="17"/>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17" w:lineRule="exact"/>
        <w:rPr>
          <w:rFonts w:ascii="Times New Roman" w:cs="Times New Roman" w:eastAsia="Times New Roman" w:hAnsi="Times New Roman"/>
          <w:sz w:val="17"/>
          <w:szCs w:val="17"/>
          <w:color w:val="auto"/>
        </w:rPr>
      </w:pPr>
    </w:p>
    <w:p>
      <w:pPr>
        <w:ind w:left="420"/>
        <w:spacing w:after="0"/>
        <w:rPr>
          <w:sz w:val="20"/>
          <w:szCs w:val="20"/>
          <w:color w:val="auto"/>
        </w:rPr>
      </w:pPr>
      <w:r>
        <w:rPr>
          <w:rFonts w:ascii="Times New Roman" w:cs="Times New Roman" w:eastAsia="Times New Roman" w:hAnsi="Times New Roman"/>
          <w:sz w:val="17"/>
          <w:szCs w:val="17"/>
          <w:color w:val="auto"/>
        </w:rPr>
        <w:t>The Registrant hereby incorporates by reference into this Registration Statement the following documents previously filed with the Commission:</w:t>
      </w:r>
    </w:p>
    <w:p>
      <w:pPr>
        <w:spacing w:after="0" w:line="115" w:lineRule="exact"/>
        <w:rPr>
          <w:rFonts w:ascii="Times New Roman" w:cs="Times New Roman" w:eastAsia="Times New Roman" w:hAnsi="Times New Roman"/>
          <w:sz w:val="17"/>
          <w:szCs w:val="17"/>
          <w:color w:val="auto"/>
        </w:rPr>
      </w:pPr>
    </w:p>
    <w:p>
      <w:pPr>
        <w:jc w:val="both"/>
        <w:ind w:firstLine="423"/>
        <w:spacing w:after="0" w:line="273" w:lineRule="auto"/>
        <w:tabs>
          <w:tab w:leader="none" w:pos="678" w:val="left"/>
        </w:tabs>
        <w:numPr>
          <w:ilvl w:val="0"/>
          <w:numId w:val="2"/>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Registrant’s Registration Statements on Form S-8 previously filed with the Commission on September 28, 2020 (File No. </w:t>
      </w:r>
      <w:hyperlink r:id="rId20">
        <w:r>
          <w:rPr>
            <w:rFonts w:ascii="Times New Roman" w:cs="Times New Roman" w:eastAsia="Times New Roman" w:hAnsi="Times New Roman"/>
            <w:sz w:val="17"/>
            <w:szCs w:val="17"/>
            <w:u w:val="single" w:color="auto"/>
            <w:color w:val="0000EE"/>
          </w:rPr>
          <w:t>333-249094</w:t>
        </w:r>
      </w:hyperlink>
      <w:r>
        <w:rPr>
          <w:rFonts w:ascii="Times New Roman" w:cs="Times New Roman" w:eastAsia="Times New Roman" w:hAnsi="Times New Roman"/>
          <w:sz w:val="17"/>
          <w:szCs w:val="17"/>
          <w:color w:val="auto"/>
        </w:rPr>
        <w:t xml:space="preserve">), May 21, 2021 (File No. </w:t>
      </w:r>
      <w:hyperlink r:id="rId21">
        <w:r>
          <w:rPr>
            <w:rFonts w:ascii="Times New Roman" w:cs="Times New Roman" w:eastAsia="Times New Roman" w:hAnsi="Times New Roman"/>
            <w:sz w:val="17"/>
            <w:szCs w:val="17"/>
            <w:u w:val="single" w:color="auto"/>
            <w:color w:val="0000EE"/>
          </w:rPr>
          <w:t>333-256346</w:t>
        </w:r>
      </w:hyperlink>
      <w:r>
        <w:rPr>
          <w:rFonts w:ascii="Times New Roman" w:cs="Times New Roman" w:eastAsia="Times New Roman" w:hAnsi="Times New Roman"/>
          <w:sz w:val="17"/>
          <w:szCs w:val="17"/>
          <w:color w:val="auto"/>
        </w:rPr>
        <w:t xml:space="preserve">), January 24, 2022 (File No. </w:t>
      </w:r>
      <w:hyperlink r:id="rId22">
        <w:r>
          <w:rPr>
            <w:rFonts w:ascii="Times New Roman" w:cs="Times New Roman" w:eastAsia="Times New Roman" w:hAnsi="Times New Roman"/>
            <w:sz w:val="17"/>
            <w:szCs w:val="17"/>
            <w:u w:val="single" w:color="auto"/>
            <w:color w:val="0000EE"/>
          </w:rPr>
          <w:t>333-262308</w:t>
        </w:r>
      </w:hyperlink>
      <w:r>
        <w:rPr>
          <w:rFonts w:ascii="Times New Roman" w:cs="Times New Roman" w:eastAsia="Times New Roman" w:hAnsi="Times New Roman"/>
          <w:sz w:val="17"/>
          <w:szCs w:val="17"/>
          <w:color w:val="auto"/>
        </w:rPr>
        <w:t xml:space="preserve">), January 25, 2023 (File No. </w:t>
      </w:r>
      <w:hyperlink r:id="rId23">
        <w:r>
          <w:rPr>
            <w:rFonts w:ascii="Times New Roman" w:cs="Times New Roman" w:eastAsia="Times New Roman" w:hAnsi="Times New Roman"/>
            <w:sz w:val="17"/>
            <w:szCs w:val="17"/>
            <w:u w:val="single" w:color="auto"/>
            <w:color w:val="0000EE"/>
          </w:rPr>
          <w:t>333-269394</w:t>
        </w:r>
      </w:hyperlink>
      <w:r>
        <w:rPr>
          <w:rFonts w:ascii="Times New Roman" w:cs="Times New Roman" w:eastAsia="Times New Roman" w:hAnsi="Times New Roman"/>
          <w:sz w:val="17"/>
          <w:szCs w:val="17"/>
          <w:color w:val="auto"/>
        </w:rPr>
        <w:t xml:space="preserve">), January 24, 2024 (File No. </w:t>
      </w:r>
      <w:hyperlink r:id="rId24">
        <w:r>
          <w:rPr>
            <w:rFonts w:ascii="Times New Roman" w:cs="Times New Roman" w:eastAsia="Times New Roman" w:hAnsi="Times New Roman"/>
            <w:sz w:val="17"/>
            <w:szCs w:val="17"/>
            <w:u w:val="single" w:color="auto"/>
            <w:color w:val="0000EE"/>
          </w:rPr>
          <w:t>333-276667</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January 28, 2025 (File No.</w:t>
      </w:r>
      <w:r>
        <w:rPr>
          <w:rFonts w:ascii="Times New Roman" w:cs="Times New Roman" w:eastAsia="Times New Roman" w:hAnsi="Times New Roman"/>
          <w:sz w:val="17"/>
          <w:szCs w:val="17"/>
          <w:color w:val="0000EE"/>
        </w:rPr>
        <w:t xml:space="preserve"> </w:t>
      </w:r>
      <w:hyperlink r:id="rId25">
        <w:r>
          <w:rPr>
            <w:rFonts w:ascii="Times New Roman" w:cs="Times New Roman" w:eastAsia="Times New Roman" w:hAnsi="Times New Roman"/>
            <w:sz w:val="17"/>
            <w:szCs w:val="17"/>
            <w:u w:val="single" w:color="auto"/>
            <w:color w:val="0000EE"/>
          </w:rPr>
          <w:t>333-284560</w:t>
        </w:r>
      </w:hyperlink>
      <w:r>
        <w:rPr>
          <w:rFonts w:ascii="Times New Roman" w:cs="Times New Roman" w:eastAsia="Times New Roman" w:hAnsi="Times New Roman"/>
          <w:sz w:val="17"/>
          <w:szCs w:val="17"/>
          <w:color w:val="000000"/>
        </w:rPr>
        <w:t>);</w:t>
      </w:r>
    </w:p>
    <w:p>
      <w:pPr>
        <w:spacing w:after="0" w:line="58" w:lineRule="exact"/>
        <w:rPr>
          <w:rFonts w:ascii="Times New Roman" w:cs="Times New Roman" w:eastAsia="Times New Roman" w:hAnsi="Times New Roman"/>
          <w:sz w:val="17"/>
          <w:szCs w:val="17"/>
          <w:color w:val="0000EE"/>
        </w:rPr>
      </w:pPr>
    </w:p>
    <w:p>
      <w:pPr>
        <w:ind w:firstLine="423"/>
        <w:spacing w:after="0" w:line="291" w:lineRule="auto"/>
        <w:tabs>
          <w:tab w:leader="none" w:pos="68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26">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filed with the Commission on March 6, 2026 (File No. 001-39539);</w:t>
      </w:r>
    </w:p>
    <w:p>
      <w:pPr>
        <w:spacing w:after="0" w:line="43" w:lineRule="exact"/>
        <w:rPr>
          <w:rFonts w:ascii="Times New Roman" w:cs="Times New Roman" w:eastAsia="Times New Roman" w:hAnsi="Times New Roman"/>
          <w:sz w:val="17"/>
          <w:szCs w:val="17"/>
          <w:color w:val="auto"/>
        </w:rPr>
      </w:pPr>
    </w:p>
    <w:p>
      <w:pPr>
        <w:jc w:val="both"/>
        <w:ind w:firstLine="423"/>
        <w:spacing w:after="0" w:line="263" w:lineRule="auto"/>
        <w:tabs>
          <w:tab w:leader="none" w:pos="68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a registration statement on </w:t>
      </w:r>
      <w:hyperlink r:id="rId27">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001-39539), filed with the Commission on September 21, 2020, pursuant to Section 12(b) of the Securities Exchange Act of 1934, as amended (the “Exchange Act”), as updated by the description of the Registrant’s common stock contained in </w:t>
      </w:r>
      <w:hyperlink r:id="rId28">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Registrant’s Annual report on </w:t>
      </w:r>
      <w:hyperlink r:id="rId2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2020, filed with the Commission on March 3, 2021, including any amendment or report filed for the purpose of updating such description; and</w:t>
      </w:r>
    </w:p>
    <w:p>
      <w:pPr>
        <w:spacing w:after="0" w:line="68" w:lineRule="exact"/>
        <w:rPr>
          <w:rFonts w:ascii="Times New Roman" w:cs="Times New Roman" w:eastAsia="Times New Roman" w:hAnsi="Times New Roman"/>
          <w:sz w:val="17"/>
          <w:szCs w:val="17"/>
          <w:color w:val="auto"/>
        </w:rPr>
      </w:pPr>
    </w:p>
    <w:p>
      <w:pPr>
        <w:jc w:val="both"/>
        <w:ind w:firstLine="423"/>
        <w:spacing w:after="0" w:line="266" w:lineRule="auto"/>
        <w:tabs>
          <w:tab w:leader="none" w:pos="69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w:t>
      </w:r>
    </w:p>
    <w:p>
      <w:pPr>
        <w:spacing w:after="0" w:line="105"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60"/>
          </w:cols>
          <w:pgMar w:left="660" w:top="262" w:right="67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from the date of filing of such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5620" w:type="dxa"/>
            <w:vAlign w:val="bottom"/>
            <w:gridSpan w:val="11"/>
          </w:tcPr>
          <w:p>
            <w:pPr>
              <w:ind w:left="2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98"/>
        </w:trPr>
        <w:tc>
          <w:tcPr>
            <w:tcW w:w="80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80" w:type="dxa"/>
            <w:vAlign w:val="bottom"/>
            <w:gridSpan w:val="9"/>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00" w:type="dxa"/>
            <w:vAlign w:val="bottom"/>
            <w:vMerge w:val="restart"/>
          </w:tcPr>
          <w:p>
            <w:pPr>
              <w:spacing w:after="0"/>
              <w:rPr>
                <w:sz w:val="8"/>
                <w:szCs w:val="8"/>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6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9"/>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1"/>
                <w:szCs w:val="21"/>
                <w:color w:val="auto"/>
              </w:rPr>
            </w:pPr>
          </w:p>
        </w:tc>
        <w:tc>
          <w:tcPr>
            <w:tcW w:w="5620" w:type="dxa"/>
            <w:vAlign w:val="bottom"/>
            <w:gridSpan w:val="11"/>
          </w:tcPr>
          <w:p>
            <w:pPr>
              <w:spacing w:after="0"/>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Amended and Restated Certificate of Incorporation of the Registrant</w:t>
              </w:r>
            </w:hyperlink>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001-39539</w:t>
            </w:r>
          </w:p>
        </w:tc>
        <w:tc>
          <w:tcPr>
            <w:tcW w:w="10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8"/>
              </w:rPr>
              <w:t>9/29/2020</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300" w:type="dxa"/>
            <w:vAlign w:val="bottom"/>
          </w:tcPr>
          <w:p>
            <w:pPr>
              <w:spacing w:after="0"/>
              <w:rPr>
                <w:sz w:val="24"/>
                <w:szCs w:val="24"/>
                <w:color w:val="auto"/>
              </w:rPr>
            </w:pPr>
          </w:p>
        </w:tc>
        <w:tc>
          <w:tcPr>
            <w:tcW w:w="4720" w:type="dxa"/>
            <w:vAlign w:val="bottom"/>
            <w:tcBorders>
              <w:top w:val="single" w:sz="8" w:color="0000EE"/>
            </w:tcBorders>
            <w:gridSpan w:val="8"/>
          </w:tcPr>
          <w:p>
            <w:pPr>
              <w:spacing w:after="0"/>
              <w:rPr>
                <w:rFonts w:ascii="Times New Roman" w:cs="Times New Roman" w:eastAsia="Times New Roman" w:hAnsi="Times New Roman"/>
                <w:sz w:val="17"/>
                <w:szCs w:val="17"/>
                <w:color w:val="0000EE"/>
              </w:rPr>
            </w:pPr>
            <w:hyperlink r:id="rId32">
              <w:r>
                <w:rPr>
                  <w:rFonts w:ascii="Times New Roman" w:cs="Times New Roman" w:eastAsia="Times New Roman" w:hAnsi="Times New Roman"/>
                  <w:sz w:val="17"/>
                  <w:szCs w:val="17"/>
                  <w:color w:val="0000EE"/>
                </w:rPr>
                <w:t>Amended and Restated Bylaws of the Registrant</w:t>
              </w:r>
            </w:hyperlink>
          </w:p>
        </w:tc>
        <w:tc>
          <w:tcPr>
            <w:tcW w:w="90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10-Q</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001-39539</w:t>
            </w: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8"/>
              </w:rPr>
              <w:t>5/10/2023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300" w:type="dxa"/>
            <w:vAlign w:val="bottom"/>
          </w:tcPr>
          <w:p>
            <w:pPr>
              <w:spacing w:after="0"/>
              <w:rPr>
                <w:sz w:val="24"/>
                <w:szCs w:val="24"/>
                <w:color w:val="auto"/>
              </w:rPr>
            </w:pPr>
          </w:p>
        </w:tc>
        <w:tc>
          <w:tcPr>
            <w:tcW w:w="366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r:id="rId33">
              <w:r>
                <w:rPr>
                  <w:rFonts w:ascii="Times New Roman" w:cs="Times New Roman" w:eastAsia="Times New Roman" w:hAnsi="Times New Roman"/>
                  <w:sz w:val="17"/>
                  <w:szCs w:val="17"/>
                  <w:color w:val="0000EE"/>
                </w:rPr>
                <w:t>Specimen common stock certificate of the Registrant</w:t>
              </w:r>
            </w:hyperlink>
          </w:p>
        </w:tc>
        <w:tc>
          <w:tcPr>
            <w:tcW w:w="196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333-248627</w:t>
            </w: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8"/>
              </w:rPr>
              <w:t>9/21/2020</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300" w:type="dxa"/>
            <w:vAlign w:val="bottom"/>
          </w:tcPr>
          <w:p>
            <w:pPr>
              <w:spacing w:after="0"/>
              <w:rPr>
                <w:sz w:val="24"/>
                <w:szCs w:val="24"/>
                <w:color w:val="auto"/>
              </w:rPr>
            </w:pPr>
          </w:p>
        </w:tc>
        <w:tc>
          <w:tcPr>
            <w:tcW w:w="5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Opinion of Wilson Sonsini Goodrich &amp; Rosati, Professional Corporation</w:t>
            </w:r>
          </w:p>
        </w:tc>
        <w:tc>
          <w:tcPr>
            <w:tcW w:w="60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300" w:type="dxa"/>
            <w:vAlign w:val="bottom"/>
          </w:tcPr>
          <w:p>
            <w:pPr>
              <w:spacing w:after="0"/>
              <w:rPr>
                <w:sz w:val="24"/>
                <w:szCs w:val="24"/>
                <w:color w:val="auto"/>
              </w:rPr>
            </w:pPr>
          </w:p>
        </w:tc>
        <w:tc>
          <w:tcPr>
            <w:tcW w:w="4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w:t>
            </w:r>
          </w:p>
        </w:tc>
        <w:tc>
          <w:tcPr>
            <w:tcW w:w="148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300" w:type="dxa"/>
            <w:vAlign w:val="bottom"/>
          </w:tcPr>
          <w:p>
            <w:pPr>
              <w:spacing w:after="0"/>
              <w:rPr>
                <w:sz w:val="24"/>
                <w:szCs w:val="24"/>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7"/>
                <w:szCs w:val="17"/>
                <w:color w:val="0000EE"/>
              </w:rPr>
              <w:t>Consent of Wilson Sonsini Goodrich   &amp; Rosati, Professional Corporation</w:t>
            </w:r>
          </w:p>
        </w:tc>
        <w:tc>
          <w:tcPr>
            <w:tcW w:w="164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0000EE"/>
              </w:rPr>
              <w:t>(contained in</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Borders>
              <w:top w:val="single" w:sz="8" w:color="0000EE"/>
            </w:tcBorders>
            <w:gridSpan w:val="11"/>
          </w:tcPr>
          <w:p>
            <w:pPr>
              <w:spacing w:after="0" w:line="187" w:lineRule="exact"/>
              <w:rPr>
                <w:sz w:val="20"/>
                <w:szCs w:val="20"/>
                <w:color w:val="auto"/>
              </w:rPr>
            </w:pPr>
            <w:r>
              <w:rPr>
                <w:rFonts w:ascii="Times New Roman" w:cs="Times New Roman" w:eastAsia="Times New Roman" w:hAnsi="Times New Roman"/>
                <w:sz w:val="17"/>
                <w:szCs w:val="17"/>
                <w:color w:val="0000EE"/>
              </w:rPr>
              <w:t>Exhibit 5.1 hereto)</w:t>
            </w:r>
          </w:p>
        </w:tc>
        <w:tc>
          <w:tcPr>
            <w:tcW w:w="10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300" w:type="dxa"/>
            <w:vAlign w:val="bottom"/>
          </w:tcPr>
          <w:p>
            <w:pPr>
              <w:spacing w:after="0"/>
              <w:rPr>
                <w:sz w:val="24"/>
                <w:szCs w:val="24"/>
                <w:color w:val="auto"/>
              </w:rPr>
            </w:pPr>
          </w:p>
        </w:tc>
        <w:tc>
          <w:tcPr>
            <w:tcW w:w="3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Power of Attorney (contained on signature page hereto)</w:t>
            </w:r>
          </w:p>
        </w:tc>
        <w:tc>
          <w:tcPr>
            <w:tcW w:w="178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300" w:type="dxa"/>
            <w:vAlign w:val="bottom"/>
          </w:tcPr>
          <w:p>
            <w:pPr>
              <w:spacing w:after="0"/>
              <w:rPr>
                <w:sz w:val="24"/>
                <w:szCs w:val="24"/>
                <w:color w:val="auto"/>
              </w:rPr>
            </w:pPr>
          </w:p>
        </w:tc>
        <w:tc>
          <w:tcPr>
            <w:tcW w:w="5620" w:type="dxa"/>
            <w:vAlign w:val="bottom"/>
            <w:gridSpan w:val="11"/>
          </w:tcPr>
          <w:p>
            <w:pPr>
              <w:spacing w:after="0"/>
              <w:rPr>
                <w:rFonts w:ascii="Times New Roman" w:cs="Times New Roman" w:eastAsia="Times New Roman" w:hAnsi="Times New Roman"/>
                <w:sz w:val="17"/>
                <w:szCs w:val="17"/>
                <w:color w:val="0000EE"/>
              </w:rPr>
            </w:pPr>
            <w:hyperlink r:id="rId34">
              <w:r>
                <w:rPr>
                  <w:rFonts w:ascii="Times New Roman" w:cs="Times New Roman" w:eastAsia="Times New Roman" w:hAnsi="Times New Roman"/>
                  <w:sz w:val="17"/>
                  <w:szCs w:val="17"/>
                  <w:color w:val="0000EE"/>
                </w:rPr>
                <w:t>2020 Equity Incentive Plan and forms of agreements thereunder</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333-248627</w:t>
            </w: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8"/>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300" w:type="dxa"/>
            <w:vAlign w:val="bottom"/>
          </w:tcPr>
          <w:p>
            <w:pPr>
              <w:spacing w:after="0"/>
              <w:rPr>
                <w:sz w:val="24"/>
                <w:szCs w:val="24"/>
                <w:color w:val="auto"/>
              </w:rPr>
            </w:pPr>
          </w:p>
        </w:tc>
        <w:tc>
          <w:tcPr>
            <w:tcW w:w="5620" w:type="dxa"/>
            <w:vAlign w:val="bottom"/>
            <w:gridSpan w:val="11"/>
          </w:tcPr>
          <w:p>
            <w:pPr>
              <w:spacing w:after="0"/>
              <w:rPr>
                <w:rFonts w:ascii="Times New Roman" w:cs="Times New Roman" w:eastAsia="Times New Roman" w:hAnsi="Times New Roman"/>
                <w:sz w:val="17"/>
                <w:szCs w:val="17"/>
                <w:color w:val="0000EE"/>
              </w:rPr>
            </w:pPr>
            <w:hyperlink r:id="rId35">
              <w:r>
                <w:rPr>
                  <w:rFonts w:ascii="Times New Roman" w:cs="Times New Roman" w:eastAsia="Times New Roman" w:hAnsi="Times New Roman"/>
                  <w:sz w:val="17"/>
                  <w:szCs w:val="17"/>
                  <w:color w:val="0000EE"/>
                </w:rPr>
                <w:t>2020 Employee Stock Purchase Plan and forms of agreements thereunder</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10-Q</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001-39539</w:t>
            </w:r>
          </w:p>
        </w:tc>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8"/>
              </w:rPr>
              <w:t>5/09/2024</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300" w:type="dxa"/>
            <w:vAlign w:val="bottom"/>
          </w:tcPr>
          <w:p>
            <w:pPr>
              <w:spacing w:after="0"/>
              <w:rPr>
                <w:sz w:val="24"/>
                <w:szCs w:val="24"/>
                <w:color w:val="auto"/>
              </w:rPr>
            </w:pPr>
          </w:p>
        </w:tc>
        <w:tc>
          <w:tcPr>
            <w:tcW w:w="50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Calculation of Filing Fee Table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40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69" w:lineRule="exact"/>
        <w:rPr>
          <w:sz w:val="20"/>
          <w:szCs w:val="20"/>
          <w:color w:val="auto"/>
        </w:rPr>
      </w:pPr>
    </w:p>
    <w:p>
      <w:pPr>
        <w:ind w:left="420" w:hanging="420"/>
        <w:spacing w:after="0"/>
        <w:tabs>
          <w:tab w:leader="none" w:pos="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60"/>
          </w:cols>
          <w:pgMar w:left="660" w:top="262"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Princeton, New Jersey, on March 6,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PMV PHARMACEUTICALS,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19050</wp:posOffset>
            </wp:positionV>
            <wp:extent cx="2458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David H. Mack, Ph.D.</w:t>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David H. Mack, Ph.D. and Michael Carulli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8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on Form S-8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33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9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H. Mack</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David H. Mack, Ph.D.</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Carulli</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Michael Carulli</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Heyman</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Chair of the Board</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Richard Heyman, Ph.D.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Charles M. Baum</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Charles M. Baum, M.D., Ph.D.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Arnold L. Levine</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Arnold Levine, Ph.D.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Carol Gallagher</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Carol Gallagher, Pharm.D.</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Laurie Stelzer</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Laurie Stelzer</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09"/>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Kirsten Flowers</w:t>
            </w: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March 6, 2026</w:t>
            </w:r>
          </w:p>
        </w:tc>
      </w:tr>
      <w:tr>
        <w:trPr>
          <w:trHeight w:val="219"/>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Kirsten Flowers</w:t>
            </w:r>
          </w:p>
        </w:tc>
        <w:tc>
          <w:tcPr>
            <w:tcW w:w="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344"/>
        </w:trPr>
        <w:tc>
          <w:tcPr>
            <w:tcW w:w="4020" w:type="dxa"/>
            <w:vAlign w:val="bottom"/>
          </w:tcPr>
          <w:p>
            <w:pPr>
              <w:spacing w:after="0"/>
              <w:rPr>
                <w:sz w:val="24"/>
                <w:szCs w:val="24"/>
                <w:color w:val="auto"/>
              </w:rPr>
            </w:pPr>
          </w:p>
        </w:tc>
        <w:tc>
          <w:tcPr>
            <w:tcW w:w="350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0560"/>
          </w:cols>
          <w:pgMar w:left="660" w:top="262" w:right="679" w:bottom="1440" w:gutter="0" w:footer="0" w:header="0"/>
        </w:sectPr>
      </w:pPr>
    </w:p>
    <w:bookmarkStart w:id="4" w:name="page5"/>
    <w:bookmarkEnd w:id="4"/>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233805" cy="583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233805" cy="583565"/>
                    </a:xfrm>
                    <a:prstGeom prst="rect">
                      <a:avLst/>
                    </a:prstGeom>
                    <a:noFill/>
                  </pic:spPr>
                </pic:pic>
              </a:graphicData>
            </a:graphic>
          </wp:anchor>
        </w:drawing>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Professional Corporation</w:t>
      </w:r>
    </w:p>
    <w:p>
      <w:pPr>
        <w:spacing w:after="0" w:line="1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Street, Fifth Floor</w:t>
      </w:r>
    </w:p>
    <w:p>
      <w:pPr>
        <w:spacing w:after="0" w:line="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New York, NY 10019-6022</w:t>
      </w:r>
    </w:p>
    <w:p>
      <w:pPr>
        <w:spacing w:after="0" w:line="10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HONE</w:t>
      </w:r>
      <w:r>
        <w:rPr>
          <w:rFonts w:ascii="Times New Roman" w:cs="Times New Roman" w:eastAsia="Times New Roman" w:hAnsi="Times New Roman"/>
          <w:sz w:val="17"/>
          <w:szCs w:val="17"/>
          <w:color w:val="auto"/>
        </w:rPr>
        <w:t>: 212.999.5800</w:t>
      </w:r>
    </w:p>
    <w:p>
      <w:pPr>
        <w:spacing w:after="0" w:line="3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F</w:t>
      </w:r>
      <w:r>
        <w:rPr>
          <w:rFonts w:ascii="Times New Roman" w:cs="Times New Roman" w:eastAsia="Times New Roman" w:hAnsi="Times New Roman"/>
          <w:sz w:val="14"/>
          <w:szCs w:val="14"/>
          <w:color w:val="auto"/>
        </w:rPr>
        <w:t>AX</w:t>
      </w:r>
      <w:r>
        <w:rPr>
          <w:rFonts w:ascii="Times New Roman" w:cs="Times New Roman" w:eastAsia="Times New Roman" w:hAnsi="Times New Roman"/>
          <w:sz w:val="17"/>
          <w:szCs w:val="17"/>
          <w:color w:val="auto"/>
        </w:rPr>
        <w:t>: 866.974.7329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March 6,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 Alexander Park Drive, Suite 301</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Princeton, NJ 08540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(609) 642-6670</w:t>
      </w:r>
    </w:p>
    <w:p>
      <w:pPr>
        <w:spacing w:after="0" w:line="10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Re:</w:t>
        <w:tab/>
        <w:t>Registration Statement on Form S-8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5" w:lineRule="exact"/>
        <w:rPr>
          <w:sz w:val="20"/>
          <w:szCs w:val="20"/>
          <w:color w:val="auto"/>
        </w:rPr>
      </w:pPr>
    </w:p>
    <w:p>
      <w:pPr>
        <w:jc w:val="both"/>
        <w:ind w:firstLine="422"/>
        <w:spacing w:after="0" w:line="266" w:lineRule="auto"/>
        <w:rPr>
          <w:sz w:val="20"/>
          <w:szCs w:val="20"/>
          <w:color w:val="auto"/>
        </w:rPr>
      </w:pPr>
      <w:r>
        <w:rPr>
          <w:rFonts w:ascii="Times New Roman" w:cs="Times New Roman" w:eastAsia="Times New Roman" w:hAnsi="Times New Roman"/>
          <w:sz w:val="17"/>
          <w:szCs w:val="17"/>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2,666,470 shares of your common stock, par value $0.00001 per share (the “EIP Shares”), reserved for issuance pursuant to the 2020 Equity Incentive Plan (the “2020 Plan”).</w:t>
      </w:r>
    </w:p>
    <w:p>
      <w:pPr>
        <w:spacing w:after="0" w:line="169" w:lineRule="exact"/>
        <w:rPr>
          <w:sz w:val="20"/>
          <w:szCs w:val="20"/>
          <w:color w:val="auto"/>
        </w:rPr>
      </w:pPr>
    </w:p>
    <w:p>
      <w:pPr>
        <w:jc w:val="both"/>
        <w:ind w:firstLine="422"/>
        <w:spacing w:after="0" w:line="291"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EIP Shares, when issued and sold in the manner referred to in the 2020 Plan and pursuant to the agreements that accompany the 2020 Plan, will be legally and validly issued, fully paid and nonassessable.</w:t>
      </w:r>
    </w:p>
    <w:p>
      <w:pPr>
        <w:spacing w:after="0" w:line="148" w:lineRule="exact"/>
        <w:rPr>
          <w:sz w:val="20"/>
          <w:szCs w:val="20"/>
          <w:color w:val="auto"/>
        </w:rPr>
      </w:pPr>
    </w:p>
    <w:p>
      <w:pPr>
        <w:jc w:val="both"/>
        <w:ind w:firstLine="422"/>
        <w:spacing w:after="0" w:line="291"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further consent to the use of our name wherever appearing in the Registration Statement and any amendments thereto.</w:t>
      </w:r>
    </w:p>
    <w:p>
      <w:pPr>
        <w:spacing w:after="0" w:line="17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Wilson Sonsini Goodrich &amp; Rosati, P.C.</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Professional Corporation</w:t>
      </w:r>
    </w:p>
    <w:p>
      <w:pPr>
        <w:spacing w:after="0" w:line="200" w:lineRule="exact"/>
        <w:rPr>
          <w:sz w:val="20"/>
          <w:szCs w:val="20"/>
          <w:color w:val="auto"/>
        </w:rPr>
      </w:pPr>
    </w:p>
    <w:p>
      <w:pPr>
        <w:jc w:val="center"/>
        <w:spacing w:after="0" w:line="324" w:lineRule="auto"/>
        <w:rPr>
          <w:sz w:val="20"/>
          <w:szCs w:val="20"/>
          <w:color w:val="auto"/>
        </w:rPr>
      </w:pPr>
      <w:r>
        <w:rPr>
          <w:rFonts w:ascii="Times New Roman" w:cs="Times New Roman" w:eastAsia="Times New Roman" w:hAnsi="Times New Roman"/>
          <w:sz w:val="16"/>
          <w:szCs w:val="16"/>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0560"/>
          </w:cols>
          <w:pgMar w:left="660" w:top="119"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2020 Equity Incentive Plan and 2020 Employee Stock Purchase Plan of PMV Pharmaceuticals, Inc. of our report dated March 6, 2026, with respect to the financial statements of PMV Pharmaceuticals, Inc. included in its Annual Report (Form 10-K) for the year ended December 31, 2025, filed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2026</w:t>
      </w:r>
    </w:p>
    <w:p>
      <w:pPr>
        <w:sectPr>
          <w:pgSz w:w="11900" w:h="16838" w:orient="portrait"/>
          <w:cols w:equalWidth="0" w:num="1">
            <w:col w:w="10560"/>
          </w:cols>
          <w:pgMar w:left="660" w:top="119" w:right="679" w:bottom="1440" w:gutter="0" w:footer="0" w:header="0"/>
        </w:sectPr>
      </w:pPr>
    </w:p>
    <w:bookmarkStart w:id="6" w:name="page7"/>
    <w:bookmarkEnd w:id="6"/>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PMV Pharmaceuticals,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4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Per Unit</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$0.00001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w w:val="99"/>
              </w:rPr>
              <w:t>per share,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2,666,470</w:t>
            </w:r>
          </w:p>
        </w:tc>
        <w:tc>
          <w:tcPr>
            <w:tcW w:w="40" w:type="dxa"/>
            <w:vAlign w:val="bottom"/>
          </w:tcPr>
          <w:p>
            <w:pPr>
              <w:spacing w:after="0"/>
              <w:rPr>
                <w:sz w:val="20"/>
                <w:szCs w:val="20"/>
                <w:color w:val="auto"/>
              </w:rPr>
            </w:pPr>
          </w:p>
        </w:tc>
        <w:tc>
          <w:tcPr>
            <w:tcW w:w="14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$ 1.55</w:t>
            </w:r>
          </w:p>
        </w:tc>
        <w:tc>
          <w:tcPr>
            <w:tcW w:w="4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$ 4,133,028.50</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$ 570.77</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vMerge w:val="restart"/>
            <w:shd w:val="clear" w:color="auto" w:fill="E7E7E2"/>
          </w:tcPr>
          <w:p>
            <w:pPr>
              <w:spacing w:after="0" w:line="233"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13"/>
                <w:szCs w:val="13"/>
                <w:color w:val="auto"/>
              </w:rPr>
            </w:pPr>
          </w:p>
        </w:tc>
        <w:tc>
          <w:tcPr>
            <w:tcW w:w="1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pursuant</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to the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2020</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$ 4,133,028.50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$ 570.77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$ 570.77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20" w:hanging="214"/>
        <w:spacing w:after="0" w:line="237" w:lineRule="auto"/>
        <w:tabs>
          <w:tab w:leader="none" w:pos="820" w:val="left"/>
        </w:tabs>
        <w:numPr>
          <w:ilvl w:val="0"/>
          <w:numId w:val="4"/>
        </w:numPr>
        <w:rPr>
          <w:rFonts w:ascii="Arial" w:cs="Arial" w:eastAsia="Arial" w:hAnsi="Arial"/>
          <w:sz w:val="25"/>
          <w:szCs w:val="25"/>
          <w:color w:val="auto"/>
          <w:vertAlign w:val="superscript"/>
        </w:rPr>
      </w:pPr>
      <w:r>
        <w:rPr>
          <w:rFonts w:ascii="Arial" w:cs="Arial" w:eastAsia="Arial" w:hAnsi="Arial"/>
          <w:sz w:val="20"/>
          <w:szCs w:val="20"/>
          <w:color w:val="auto"/>
        </w:rPr>
        <w:t>(1) Pursuant to Rule 416(a) under the Securities Act of 1933, as amended (the "Securities Act"), this Registration Statement shall cover any additional shares of the Registrant's common stock that become issuable under the 2020 Equity Incentive Plan (the "2020 Plan") by reason of any stock dividend, stock split, recapitalization, or other similar transaction effected without receipt of consideration that increases the number of the Registrant's outstanding shares of common stock. (2) Represents an automatic annual increase on January 1, 2026 equal to 5% of the total number of shares of the Registrant's common stock outstanding on December 31 of the preceding year, which annual increase is provided for in the 2020 Plan.</w:t>
      </w:r>
    </w:p>
    <w:p>
      <w:pPr>
        <w:spacing w:after="0" w:line="5" w:lineRule="exact"/>
        <w:rPr>
          <w:rFonts w:ascii="Arial" w:cs="Arial" w:eastAsia="Arial" w:hAnsi="Arial"/>
          <w:sz w:val="25"/>
          <w:szCs w:val="25"/>
          <w:color w:val="auto"/>
          <w:vertAlign w:val="superscript"/>
        </w:rPr>
      </w:pPr>
    </w:p>
    <w:p>
      <w:pPr>
        <w:ind w:left="820" w:right="760"/>
        <w:spacing w:after="0" w:line="238" w:lineRule="auto"/>
        <w:rPr>
          <w:rFonts w:ascii="Arial" w:cs="Arial" w:eastAsia="Arial" w:hAnsi="Arial"/>
          <w:sz w:val="25"/>
          <w:szCs w:val="25"/>
          <w:color w:val="auto"/>
          <w:vertAlign w:val="superscript"/>
        </w:rPr>
      </w:pPr>
      <w:r>
        <w:rPr>
          <w:rFonts w:ascii="Arial" w:cs="Arial" w:eastAsia="Arial" w:hAnsi="Arial"/>
          <w:sz w:val="21"/>
          <w:szCs w:val="21"/>
          <w:color w:val="auto"/>
        </w:rPr>
        <w:t>(3) Estimated in accordance with Rule 457(c) and 457(h) solely for the purpose of calculating the registration fee on the basis of $1.55 per share, which represents the average of the high and low prices of the Registrant's common stock as reported on the Nasdaq Global Select Market on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78105</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2"/>
                <w:szCs w:val="12"/>
                <w:color w:val="auto"/>
              </w:rPr>
            </w:pPr>
          </w:p>
        </w:tc>
        <w:tc>
          <w:tcPr>
            <w:tcW w:w="58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restart"/>
            <w:shd w:val="clear" w:color="auto" w:fill="9ADAF6"/>
          </w:tcPr>
          <w:p>
            <w:pPr>
              <w:ind w:left="120"/>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6"/>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jpeg"/><Relationship Id="rId40" Type="http://schemas.openxmlformats.org/officeDocument/2006/relationships/image" Target="media/image18.png"/><Relationship Id="rId20" Type="http://schemas.openxmlformats.org/officeDocument/2006/relationships/hyperlink" Target="http://www.sec.gov/Archives/edgar/data/1699382/000119312520256300/d87446ds8.htm" TargetMode="External"/><Relationship Id="rId21" Type="http://schemas.openxmlformats.org/officeDocument/2006/relationships/hyperlink" Target="http://www.sec.gov/Archives/edgar/data/1699382/000119312521168601/d156441ds8.htm" TargetMode="External"/><Relationship Id="rId22" Type="http://schemas.openxmlformats.org/officeDocument/2006/relationships/hyperlink" Target="http://www.sec.gov/Archives/edgar/data/1699382/000119312522016010/d301122ds8.htm" TargetMode="External"/><Relationship Id="rId23" Type="http://schemas.openxmlformats.org/officeDocument/2006/relationships/hyperlink" Target="http://www.sec.gov/Archives/edgar/data/1699382/000119312523014435/d403423ds8.htm" TargetMode="External"/><Relationship Id="rId24" Type="http://schemas.openxmlformats.org/officeDocument/2006/relationships/hyperlink" Target="http://www.sec.gov/Archives/edgar/data/1699382/000119312524013722/d740071ds8.htm" TargetMode="External"/><Relationship Id="rId25" Type="http://schemas.openxmlformats.org/officeDocument/2006/relationships/hyperlink" Target="http://www.sec.gov/Archives/edgar/data/1699382/000119312525014448/d873114ds8.htm" TargetMode="External"/><Relationship Id="rId26" Type="http://schemas.openxmlformats.org/officeDocument/2006/relationships/hyperlink" Target="http://www.sec.gov/ix?doc=/Archives/edgar/data/1699382/000119312526095014/pmvp-20251231.htm" TargetMode="External"/><Relationship Id="rId27" Type="http://schemas.openxmlformats.org/officeDocument/2006/relationships/hyperlink" Target="http://www.sec.gov/Archives/edgar/data/1699382/000119312520250157/d14856d8a12b.htm" TargetMode="External"/><Relationship Id="rId28" Type="http://schemas.openxmlformats.org/officeDocument/2006/relationships/hyperlink" Target="http://www.sec.gov/Archives/edgar/data/1699382/000156459021010578/pmvp-ex41_260.htm" TargetMode="External"/><Relationship Id="rId29" Type="http://schemas.openxmlformats.org/officeDocument/2006/relationships/hyperlink" Target="http://www.sec.gov/Archives/edgar/data/1699382/000156459021010578/pmvp-10k_20201231.htm" TargetMode="External"/><Relationship Id="rId31" Type="http://schemas.openxmlformats.org/officeDocument/2006/relationships/hyperlink" Target="http://www.sec.gov/Archives/edgar/data/1699382/000119312520257820/d95525dex31.htm" TargetMode="External"/><Relationship Id="rId32" Type="http://schemas.openxmlformats.org/officeDocument/2006/relationships/hyperlink" Target="http://www.sec.gov/Archives/edgar/data/1699382/000095017023020100/pmvp-ex3_3.htm" TargetMode="External"/><Relationship Id="rId33" Type="http://schemas.openxmlformats.org/officeDocument/2006/relationships/hyperlink" Target="http://www.sec.gov/Archives/edgar/data/1699382/000119312520249570/d922470dex42.htm" TargetMode="External"/><Relationship Id="rId34" Type="http://schemas.openxmlformats.org/officeDocument/2006/relationships/hyperlink" Target="http://www.sec.gov/Archives/edgar/data/1699382/000119312520249570/d922470dex103.htm" TargetMode="External"/><Relationship Id="rId35" Type="http://schemas.openxmlformats.org/officeDocument/2006/relationships/hyperlink" Target="http://www.sec.gov/Archives/edgar/data/1699382/000095017024056295/pmvp-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2026-03-06T08:24:45Z</dcterms:created>
  <dcterms:modified xsi:type="dcterms:W3CDTF">2026-03-06T08:24:45Z</dcterms:modified>
</cp:coreProperties>
</file>