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ownership.xml.htm"/>
      <w:bookmarkStart w:id="1" w:name="ksownership"/>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2"/>
            </w:tblGrid>
            <w:tr>
              <w:trPr/>
              <w:tc>
                <w:tcPr>
                  <w:tcW w:w="3452" w:type="dxa"/>
                  <w:tcBorders/>
                  <w:shd w:fill="auto" w:val="clear"/>
                  <w:vAlign w:val="center"/>
                </w:tcPr>
                <w:p>
                  <w:pPr>
                    <w:pStyle w:val="TableContents"/>
                    <w:spacing w:before="0" w:after="283"/>
                    <w:rPr/>
                  </w:pPr>
                  <w:hyperlink r:id="rId3">
                    <w:r>
                      <w:rPr>
                        <w:rStyle w:val="InternetLink"/>
                      </w:rPr>
                      <w:t>ORBIMED ADVISORS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2"/>
            </w:tblGrid>
            <w:tr>
              <w:trPr/>
              <w:tc>
                <w:tcPr>
                  <w:tcW w:w="345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601 LEXINGTON AVENUE</w:t>
                  </w:r>
                </w:p>
              </w:tc>
            </w:tr>
            <w:tr>
              <w:trPr/>
              <w:tc>
                <w:tcPr>
                  <w:tcW w:w="345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54TH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PMV Pharmaceuticals, Inc.</w:t>
              </w:r>
            </w:hyperlink>
            <w:r>
              <w:rPr/>
              <w:t xml:space="preserve"> [ </w:t>
            </w:r>
            <w:r>
              <w:rPr>
                <w:rFonts w:ascii="Times;serif" w:hAnsi="Times;serif"/>
                <w:color w:val="0000FF"/>
                <w:sz w:val="24"/>
                <w:highlight w:val="white"/>
              </w:rPr>
              <w:t>PMVP</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0"/>
              <w:gridCol w:w="441"/>
              <w:gridCol w:w="1030"/>
            </w:tblGrid>
            <w:tr>
              <w:trPr/>
              <w:tc>
                <w:tcPr>
                  <w:tcW w:w="44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03/29/2022</w:t>
            </w:r>
            <w:r>
              <w:rPr/>
              <w:t xml:space="preserve"> </w:t>
            </w:r>
          </w:p>
        </w:tc>
        <w:tc>
          <w:tcPr>
            <w:tcW w:w="306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1"/>
            </w:tblGrid>
            <w:tr>
              <w:trPr/>
              <w:tc>
                <w:tcPr>
                  <w:tcW w:w="440" w:type="dxa"/>
                  <w:tcBorders/>
                  <w:shd w:fill="auto" w:val="clear"/>
                  <w:vAlign w:val="center"/>
                </w:tcPr>
                <w:p>
                  <w:pPr>
                    <w:pStyle w:val="TableContents"/>
                    <w:spacing w:before="0" w:after="283"/>
                    <w:rPr>
                      <w:sz w:val="4"/>
                      <w:szCs w:val="4"/>
                    </w:rPr>
                  </w:pPr>
                  <w:r>
                    <w:rPr>
                      <w:sz w:val="4"/>
                      <w:szCs w:val="4"/>
                    </w:rPr>
                  </w:r>
                </w:p>
              </w:tc>
              <w:tc>
                <w:tcPr>
                  <w:tcW w:w="25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000"/>
        <w:gridCol w:w="911"/>
        <w:gridCol w:w="782"/>
        <w:gridCol w:w="605"/>
        <w:gridCol w:w="338"/>
        <w:gridCol w:w="1000"/>
        <w:gridCol w:w="420"/>
        <w:gridCol w:w="790"/>
        <w:gridCol w:w="1242"/>
        <w:gridCol w:w="960"/>
        <w:gridCol w:w="115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0"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0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9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4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15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00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03/29/2022</w:t>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365,000</w:t>
            </w:r>
          </w:p>
        </w:tc>
        <w:tc>
          <w:tcPr>
            <w:tcW w:w="42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21.52</w:t>
            </w:r>
            <w:r>
              <w:rPr>
                <w:rFonts w:ascii="Times;serif" w:hAnsi="Times;serif"/>
                <w:color w:val="008000"/>
                <w:position w:val="7"/>
                <w:sz w:val="16"/>
                <w:sz w:val="20"/>
                <w:highlight w:val="white"/>
              </w:rPr>
              <w:t>(1)</w:t>
            </w:r>
            <w:r>
              <w:rPr/>
              <w:t xml:space="preserve"> </w:t>
            </w:r>
          </w:p>
        </w:tc>
        <w:tc>
          <w:tcPr>
            <w:tcW w:w="124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109,500</w:t>
            </w:r>
          </w:p>
        </w:tc>
        <w:tc>
          <w:tcPr>
            <w:tcW w:w="96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(4)(7)</w:t>
            </w:r>
            <w:r>
              <w:rPr/>
              <w:t xml:space="preserve"> </w:t>
            </w:r>
          </w:p>
        </w:tc>
      </w:tr>
      <w:tr>
        <w:trPr/>
        <w:tc>
          <w:tcPr>
            <w:tcW w:w="200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03/30/2022</w:t>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75,000</w:t>
            </w:r>
          </w:p>
        </w:tc>
        <w:tc>
          <w:tcPr>
            <w:tcW w:w="42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22.39</w:t>
            </w:r>
            <w:r>
              <w:rPr>
                <w:rFonts w:ascii="Times;serif" w:hAnsi="Times;serif"/>
                <w:color w:val="008000"/>
                <w:position w:val="7"/>
                <w:sz w:val="16"/>
                <w:sz w:val="20"/>
                <w:highlight w:val="white"/>
              </w:rPr>
              <w:t>(2)</w:t>
            </w:r>
            <w:r>
              <w:rPr/>
              <w:t xml:space="preserve"> </w:t>
            </w:r>
          </w:p>
        </w:tc>
        <w:tc>
          <w:tcPr>
            <w:tcW w:w="124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34,500</w:t>
            </w:r>
          </w:p>
        </w:tc>
        <w:tc>
          <w:tcPr>
            <w:tcW w:w="96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(4)(7)</w:t>
            </w:r>
            <w:r>
              <w:rPr/>
              <w:t xml:space="preserve"> </w:t>
            </w:r>
          </w:p>
        </w:tc>
      </w:tr>
      <w:tr>
        <w:trPr/>
        <w:tc>
          <w:tcPr>
            <w:tcW w:w="200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03/31/2022</w:t>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34,500</w:t>
            </w:r>
          </w:p>
        </w:tc>
        <w:tc>
          <w:tcPr>
            <w:tcW w:w="42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21.17</w:t>
            </w:r>
            <w:r>
              <w:rPr>
                <w:rFonts w:ascii="Times;serif" w:hAnsi="Times;serif"/>
                <w:color w:val="008000"/>
                <w:position w:val="7"/>
                <w:sz w:val="16"/>
                <w:sz w:val="20"/>
                <w:highlight w:val="white"/>
              </w:rPr>
              <w:t>(3)</w:t>
            </w:r>
            <w:r>
              <w:rPr/>
              <w:t xml:space="preserve"> </w:t>
            </w:r>
          </w:p>
        </w:tc>
        <w:tc>
          <w:tcPr>
            <w:tcW w:w="124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96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(4)(7)</w:t>
            </w:r>
            <w:r>
              <w:rPr/>
              <w:t xml:space="preserve"> </w:t>
            </w:r>
          </w:p>
        </w:tc>
      </w:tr>
      <w:tr>
        <w:trPr/>
        <w:tc>
          <w:tcPr>
            <w:tcW w:w="200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1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4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6,475,291</w:t>
            </w:r>
          </w:p>
        </w:tc>
        <w:tc>
          <w:tcPr>
            <w:tcW w:w="96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(5)(7)</w:t>
            </w:r>
            <w:r>
              <w:rPr/>
              <w:t xml:space="preserve"> </w:t>
            </w:r>
          </w:p>
        </w:tc>
      </w:tr>
      <w:tr>
        <w:trPr/>
        <w:tc>
          <w:tcPr>
            <w:tcW w:w="200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1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4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114,039</w:t>
            </w:r>
          </w:p>
        </w:tc>
        <w:tc>
          <w:tcPr>
            <w:tcW w:w="96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5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(6)(7)</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ORBIMED ADVISORS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601 LEXINGTON AVENUE</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54TH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OrbiMed Capital GP V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601 LEXINGTON AVENUE</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54TH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OrbiMed Genesis GP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601 LEXINGTON AVENUE</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54TH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ORBIMED CAPITAL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601 LEXINGTON AVENUE</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54TH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These shares of the Issuer's common stock ("Shares") were sold in a block at a price of $21.52.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These shares of the Issuer's common stock ("Shares") were sold in a block at a price of $22.39.</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These shares of the Issuer's common stock ("Shares") were sold in a block at a price of $21.17.</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shares are held of record by OrbiMed Partners Master Fund Limited ("OPM"). OrbiMed Capital LLC ("OrbiMed Capital") is the investment advisor to OPM. OrbiMed Capital exercises voting and investment power through a management committee comprised of the Carl L. Gordon, Sven H. Borho, and W. Carter Neild, each of whom disclaims beneficial ownership of the shares held by OPM.</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The shares are held of record by OrbiMed Private Investments V, LP ("OPI V"). OrbiMed Capital GP V LLC ("GP V") is the general partner of OPI V, and OrbiMed Advisors LLC ("OrbiMed Advisors"), a registered investment adviser under the Investment Advisors Act of 1940, as amended, is the managing member of GP V. OrbiMed Advisors exercises this investment and voting power through a management committee comprised of Carl L. Gordon, Sven H. Borho, and W. Carter Neild, each of whom disclaims beneficial ownership of the shares held by OPI V.</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The shares are held of record by OrbiMed Genesis Master Fund, L.P. ("Genesis Master Fund"). OrbiMed Genesis GP LLC ("Genesis GP") is the general partner of Genesis Master Fund and OrbiMed Advisors is the managing member of Genesis GP. OrbiMed Advisors exercises voting and investment power through a management committee comprised of Carl L. Gordon, Sven H. Borho, and W. Carter Neild, each of whom disclaims beneficial ownership of the shares held by Genesis Master Fund.</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This report on Form 4 is jointly filed by OrbiMed Advisors LLC, GP V, Genesis GP, and OrbiMed Capital. Each of the Reporting Persons disclaims beneficial ownership of the securities reported herein for purposes of Rule 16a-1(a) under the Securities Exchange Act of 1943, as amended (the "Exchange Act"), except to the extent of its pecuniary interest therein, if any. This report shall not be deemed an admission that any such entity is a beneficial owner of such securities for purpose of Section 16 of the Exchange Act, or for any other purpose.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Carl Gordon Member of OrbiMed Advisors LLC</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Carl Gordon Member of OrbiMed Capital GP V LLC</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Carl Gordon Member of OrbiMed Genesis GP LLC</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Carl Gordon Member of OrbiMed Capital LLC</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055951" TargetMode="External"/><Relationship Id="rId4" Type="http://schemas.openxmlformats.org/officeDocument/2006/relationships/hyperlink" Target="http://www.sec.gov/cgi-bin/browse-edgar?action=getcompany&amp;CIK=0001699382" TargetMode="External"/><Relationship Id="rId5" Type="http://schemas.openxmlformats.org/officeDocument/2006/relationships/hyperlink" Target="http://www.sec.gov/cgi-bin/browse-edgar?action=getcompany&amp;CIK=0001055951" TargetMode="External"/><Relationship Id="rId6" Type="http://schemas.openxmlformats.org/officeDocument/2006/relationships/hyperlink" Target="http://www.sec.gov/cgi-bin/browse-edgar?action=getcompany&amp;CIK=0001615374" TargetMode="External"/><Relationship Id="rId7" Type="http://schemas.openxmlformats.org/officeDocument/2006/relationships/hyperlink" Target="http://www.sec.gov/cgi-bin/browse-edgar?action=getcompany&amp;CIK=0001808744" TargetMode="External"/><Relationship Id="rId8" Type="http://schemas.openxmlformats.org/officeDocument/2006/relationships/hyperlink" Target="http://www.sec.gov/cgi-bin/browse-edgar?action=getcompany&amp;CIK=0001157524"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1075</Words>
  <CharactersWithSpaces>6559</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