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0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0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00" w:type="dxa"/>
            <w:vAlign w:val="bottom"/>
            <w:gridSpan w:val="19"/>
            <w:vMerge w:val="restart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Heyman Richard A.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 RESEARCH WAY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9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-5669280</wp:posOffset>
            </wp:positionV>
            <wp:extent cx="7045960" cy="58223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2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subject to the option vest on the earlier of (i) June 8, 2024 or (ii) the day prior to the date of the Issuer's next annual meeting of stockholders.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3296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3530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84759" TargetMode="External"/><Relationship Id="rId9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2023-06-12T16:43:34Z</dcterms:created>
  <dcterms:modified xsi:type="dcterms:W3CDTF">2023-06-12T16:43:34Z</dcterms:modified>
</cp:coreProperties>
</file>