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ind w:left="920"/>
              <w:spacing w:after="0"/>
              <w:rPr>
                <w:sz w:val="20"/>
                <w:szCs w:val="20"/>
                <w:color w:val="auto"/>
              </w:rPr>
            </w:pPr>
            <w:r>
              <w:rPr>
                <w:rFonts w:ascii="Arial" w:cs="Arial" w:eastAsia="Arial" w:hAnsi="Arial"/>
                <w:sz w:val="18"/>
                <w:szCs w:val="18"/>
                <w:b w:val="1"/>
                <w:bCs w:val="1"/>
                <w:color w:val="auto"/>
              </w:rPr>
              <w:t>001-39539</w:t>
            </w:r>
          </w:p>
        </w:tc>
        <w:tc>
          <w:tcPr>
            <w:tcW w:w="2280" w:type="dxa"/>
            <w:vAlign w:val="bottom"/>
          </w:tcPr>
          <w:p>
            <w:pPr>
              <w:jc w:val="right"/>
              <w:ind w:right="4"/>
              <w:spacing w:after="0"/>
              <w:rPr>
                <w:sz w:val="20"/>
                <w:szCs w:val="20"/>
                <w:color w:val="auto"/>
              </w:rPr>
            </w:pPr>
            <w:r>
              <w:rPr>
                <w:rFonts w:ascii="Arial" w:cs="Arial" w:eastAsia="Arial" w:hAnsi="Arial"/>
                <w:sz w:val="18"/>
                <w:szCs w:val="18"/>
                <w:b w:val="1"/>
                <w:bCs w:val="1"/>
                <w:color w:val="auto"/>
              </w:rPr>
              <w:t>46-3218129</w:t>
            </w:r>
          </w:p>
        </w:tc>
      </w:tr>
      <w:tr>
        <w:trPr>
          <w:trHeight w:val="149"/>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(Commission</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2920" w:type="dxa"/>
            <w:vAlign w:val="bottom"/>
          </w:tcPr>
          <w:p>
            <w:pPr>
              <w:ind w:left="92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4"/>
              </w:rPr>
              <w:t>Identification No.)</w:t>
            </w:r>
          </w:p>
        </w:tc>
      </w:tr>
      <w:tr>
        <w:trPr>
          <w:trHeight w:val="333"/>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92"/>
              </w:rPr>
              <w:t>Clarke Drive, Suite 3,</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5"/>
              </w:rPr>
              <w:t>Cranbury, NJ</w:t>
            </w:r>
          </w:p>
        </w:tc>
        <w:tc>
          <w:tcPr>
            <w:tcW w:w="2920" w:type="dxa"/>
            <w:vAlign w:val="bottom"/>
          </w:tcPr>
          <w:p>
            <w:pPr>
              <w:spacing w:after="0"/>
              <w:rPr>
                <w:sz w:val="19"/>
                <w:szCs w:val="19"/>
                <w:color w:val="auto"/>
              </w:rPr>
            </w:pPr>
          </w:p>
        </w:tc>
        <w:tc>
          <w:tcPr>
            <w:tcW w:w="2280" w:type="dxa"/>
            <w:vAlign w:val="bottom"/>
          </w:tcPr>
          <w:p>
            <w:pPr>
              <w:jc w:val="right"/>
              <w:ind w:right="224"/>
              <w:spacing w:after="0"/>
              <w:rPr>
                <w:sz w:val="20"/>
                <w:szCs w:val="20"/>
                <w:color w:val="auto"/>
              </w:rPr>
            </w:pPr>
            <w:r>
              <w:rPr>
                <w:rFonts w:ascii="Arial" w:cs="Arial" w:eastAsia="Arial" w:hAnsi="Arial"/>
                <w:sz w:val="18"/>
                <w:szCs w:val="18"/>
                <w:b w:val="1"/>
                <w:bCs w:val="1"/>
                <w:color w:val="auto"/>
              </w:rPr>
              <w:t>08512</w:t>
            </w:r>
          </w:p>
        </w:tc>
      </w:tr>
      <w:tr>
        <w:trPr>
          <w:trHeight w:val="174"/>
        </w:trPr>
        <w:tc>
          <w:tcPr>
            <w:tcW w:w="32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920" w:type="dxa"/>
            <w:vAlign w:val="bottom"/>
          </w:tcPr>
          <w:p>
            <w:pPr>
              <w:spacing w:after="0"/>
              <w:rPr>
                <w:sz w:val="15"/>
                <w:szCs w:val="15"/>
                <w:color w:val="auto"/>
              </w:rPr>
            </w:pP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9"/>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PMVP</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August 13, 2021, PMV Pharmaceuticals, Inc. issued a press release announcing its financial results for the first quarter ended June 30,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attached as Exhibit 99.1 to this Current Report on Form 8-K and is incorporated herein by reference.</w:t>
      </w:r>
    </w:p>
    <w:p>
      <w:pPr>
        <w:spacing w:after="0" w:line="211"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440" w:type="dxa"/>
            <w:vAlign w:val="bottom"/>
            <w:gridSpan w:val="2"/>
            <w:vMerge w:val="restart"/>
          </w:tcPr>
          <w:p>
            <w:pPr>
              <w:ind w:left="4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4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550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PMV Pharmaceuticals, Inc., dated August 13, 2021.</w:t>
              </w:r>
            </w:hyperlink>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PMV Pharmaceuticals, Inc.</w:t>
      </w:r>
    </w:p>
    <w:p>
      <w:pPr>
        <w:spacing w:after="0" w:line="252"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Operating Officer, and</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3" w:name="page4"/>
    <w:bookmarkEnd w:id="3"/>
    <w:p>
      <w:pPr>
        <w:ind w:left="10180"/>
        <w:spacing w:after="0"/>
        <w:rPr>
          <w:sz w:val="20"/>
          <w:szCs w:val="20"/>
          <w:color w:val="auto"/>
        </w:rPr>
      </w:pPr>
      <w:r>
        <w:rPr>
          <w:rFonts w:ascii="Arial" w:cs="Arial" w:eastAsia="Arial" w:hAnsi="Arial"/>
          <w:sz w:val="19"/>
          <w:szCs w:val="19"/>
          <w:color w:val="auto"/>
        </w:rPr>
        <w:t>Exhibit 99.1</w:t>
      </w:r>
    </w:p>
    <w:p>
      <w:pPr>
        <w:spacing w:after="0" w:line="47" w:lineRule="exact"/>
        <w:rPr>
          <w:sz w:val="20"/>
          <w:szCs w:val="20"/>
          <w:color w:val="auto"/>
        </w:rPr>
      </w:pPr>
    </w:p>
    <w:p>
      <w:pPr>
        <w:ind w:right="540"/>
        <w:spacing w:after="0" w:line="255" w:lineRule="auto"/>
        <w:rPr>
          <w:sz w:val="20"/>
          <w:szCs w:val="20"/>
          <w:color w:val="auto"/>
        </w:rPr>
      </w:pPr>
      <w:r>
        <w:rPr>
          <w:rFonts w:ascii="Arial" w:cs="Arial" w:eastAsia="Arial" w:hAnsi="Arial"/>
          <w:sz w:val="43"/>
          <w:szCs w:val="43"/>
          <w:b w:val="1"/>
          <w:bCs w:val="1"/>
          <w:color w:val="auto"/>
        </w:rPr>
        <w:t>PMV Pharmaceuticals Reports Second Quarter 2021 Financial Results and Corporate Highlights</w:t>
      </w:r>
    </w:p>
    <w:p>
      <w:pPr>
        <w:spacing w:after="0" w:line="135" w:lineRule="exact"/>
        <w:rPr>
          <w:sz w:val="20"/>
          <w:szCs w:val="20"/>
          <w:color w:val="auto"/>
        </w:rPr>
      </w:pPr>
    </w:p>
    <w:p>
      <w:pPr>
        <w:ind w:left="760" w:hanging="44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22"/>
          <w:szCs w:val="22"/>
          <w:i w:val="1"/>
          <w:iCs w:val="1"/>
          <w:color w:val="auto"/>
        </w:rPr>
        <w:t>Continued enrollment in Phase 1/2 trial of first-in-class p53 Y220C reactivator PC14586</w:t>
      </w:r>
    </w:p>
    <w:p>
      <w:pPr>
        <w:spacing w:after="0" w:line="22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CRANBURY, NJ, August 13, 2021 (GLOBE NEWSWIRE) – PMV Pharmaceuticals, Inc. (Nasdaq: PMVP), a clinical-stage oncology company pioneering the discovery and development of small molecule, tumor- agnostic therapies designed to target p53 mutants, today reported financial results for the second quarter ended June 30, 2021 and provided corporate highlights.</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“We are encouraged by our execution in the clinic, with steady progress in the ongoing Phase 1/2 trial of PC14586,” said David Mack, Ph.D., President and Chief Executive Officer of PMV Pharma. “We believe PC14586, our first-in-class, tumor agnostic, p53 Y220C reactivator has the potential to transform outcomes for cancer patients. Furthermore, our strong balance sheet leaves us well positioned to continue to translate our deep scientific expertise to deliver benefits to patients.”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Highlights:</w:t>
      </w:r>
    </w:p>
    <w:p>
      <w:pPr>
        <w:spacing w:after="0" w:line="232" w:lineRule="exact"/>
        <w:rPr>
          <w:sz w:val="20"/>
          <w:szCs w:val="20"/>
          <w:color w:val="auto"/>
        </w:rPr>
      </w:pPr>
    </w:p>
    <w:p>
      <w:pPr>
        <w:jc w:val="both"/>
        <w:ind w:left="760" w:hanging="442"/>
        <w:spacing w:after="0" w:line="23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2"/>
          <w:szCs w:val="22"/>
          <w:color w:val="auto"/>
        </w:rPr>
        <w:t>Continued enrollment in the Phase 1 portion of a Phase 1/2 clinical trial of PC14586, the Company’s first-in-class, tumor-agnostic, investigational small molecule p53 Y220C reactivator, in patients with advanced solid tumors that have a p53 Y220C mutation (NCT04585750).</w:t>
      </w:r>
    </w:p>
    <w:p>
      <w:pPr>
        <w:spacing w:after="0" w:line="1" w:lineRule="exact"/>
        <w:rPr>
          <w:rFonts w:ascii="Arial" w:cs="Arial" w:eastAsia="Arial" w:hAnsi="Arial"/>
          <w:sz w:val="18"/>
          <w:szCs w:val="18"/>
          <w:color w:val="auto"/>
        </w:rPr>
      </w:pPr>
    </w:p>
    <w:p>
      <w:pPr>
        <w:ind w:left="760" w:hanging="4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22"/>
          <w:szCs w:val="22"/>
          <w:color w:val="auto"/>
        </w:rPr>
        <w:t>Activated twelve clinical trial sites in the United States, consisting of leading oncology centers.</w:t>
      </w:r>
    </w:p>
    <w:p>
      <w:pPr>
        <w:spacing w:after="0" w:line="206" w:lineRule="exact"/>
        <w:rPr>
          <w:rFonts w:ascii="Arial" w:cs="Arial" w:eastAsia="Arial" w:hAnsi="Arial"/>
          <w:sz w:val="18"/>
          <w:szCs w:val="18"/>
          <w:color w:val="auto"/>
        </w:rPr>
      </w:pPr>
    </w:p>
    <w:p>
      <w:pPr>
        <w:ind w:left="760" w:right="20" w:hanging="442"/>
        <w:spacing w:after="0" w:line="23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22"/>
          <w:szCs w:val="22"/>
          <w:color w:val="auto"/>
        </w:rPr>
        <w:t>Commenced construction of new corporate headquarters and state-of-the-art laboratories in Princeton, New Jersey.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2021 Financial Results</w:t>
      </w:r>
    </w:p>
    <w:p>
      <w:pPr>
        <w:spacing w:after="0" w:line="232" w:lineRule="exact"/>
        <w:rPr>
          <w:sz w:val="20"/>
          <w:szCs w:val="20"/>
          <w:color w:val="auto"/>
        </w:rPr>
      </w:pPr>
    </w:p>
    <w:p>
      <w:pPr>
        <w:jc w:val="both"/>
        <w:ind w:left="760" w:hanging="442"/>
        <w:spacing w:after="0" w:line="23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2"/>
          <w:szCs w:val="22"/>
          <w:color w:val="auto"/>
        </w:rPr>
        <w:t>PMV Pharma ended the second quarter with $339.0 million in cash, cash equivalents, and marketable securities, compared to $361.4 million as of December 31, 2020. Net cash used in operations was $22.1 million for the six months ended June 30, 2021, compared to $15.0 million for the six months ended June 30, 2020.</w:t>
      </w:r>
    </w:p>
    <w:p>
      <w:pPr>
        <w:spacing w:after="0" w:line="2" w:lineRule="exact"/>
        <w:rPr>
          <w:rFonts w:ascii="Arial" w:cs="Arial" w:eastAsia="Arial" w:hAnsi="Arial"/>
          <w:sz w:val="18"/>
          <w:szCs w:val="18"/>
          <w:color w:val="auto"/>
        </w:rPr>
      </w:pPr>
    </w:p>
    <w:p>
      <w:pPr>
        <w:ind w:left="760" w:hanging="442"/>
        <w:spacing w:after="0" w:line="230"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2"/>
          <w:szCs w:val="22"/>
          <w:color w:val="auto"/>
        </w:rPr>
        <w:t>Net loss for the six months ended June 30, 2021 was $24.5 million compared to $15.2 million for the six months ended June 30, 2020.</w:t>
      </w:r>
    </w:p>
    <w:p>
      <w:pPr>
        <w:spacing w:after="0" w:line="1" w:lineRule="exact"/>
        <w:rPr>
          <w:rFonts w:ascii="Arial" w:cs="Arial" w:eastAsia="Arial" w:hAnsi="Arial"/>
          <w:sz w:val="18"/>
          <w:szCs w:val="18"/>
          <w:color w:val="auto"/>
        </w:rPr>
      </w:pPr>
    </w:p>
    <w:p>
      <w:pPr>
        <w:jc w:val="both"/>
        <w:ind w:left="760" w:hanging="442"/>
        <w:spacing w:after="0" w:line="23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2"/>
          <w:szCs w:val="22"/>
          <w:color w:val="auto"/>
        </w:rPr>
        <w:t>Research and development (R&amp;D) expenses were $15.2 million for the six months ended June 30, 2021 compared to $11.8 million for the six months ended June 30, 2020. The increase in R&amp;D expenses was primarily due to increased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ind w:left="760"/>
        <w:spacing w:after="0" w:line="235" w:lineRule="auto"/>
        <w:rPr>
          <w:sz w:val="20"/>
          <w:szCs w:val="20"/>
          <w:color w:val="auto"/>
        </w:rPr>
      </w:pPr>
      <w:r>
        <w:rPr>
          <w:rFonts w:ascii="Arial" w:cs="Arial" w:eastAsia="Arial" w:hAnsi="Arial"/>
          <w:sz w:val="22"/>
          <w:szCs w:val="22"/>
          <w:color w:val="auto"/>
        </w:rPr>
        <w:t>and clinical expenses related to development of PC14586, the Company’s lead drug candidate.</w:t>
      </w:r>
    </w:p>
    <w:p>
      <w:pPr>
        <w:spacing w:after="0" w:line="1" w:lineRule="exact"/>
        <w:rPr>
          <w:sz w:val="20"/>
          <w:szCs w:val="20"/>
          <w:color w:val="auto"/>
        </w:rPr>
      </w:pPr>
    </w:p>
    <w:p>
      <w:pPr>
        <w:jc w:val="both"/>
        <w:ind w:left="760" w:right="20" w:hanging="442"/>
        <w:spacing w:after="0" w:line="23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22"/>
          <w:szCs w:val="22"/>
          <w:color w:val="auto"/>
        </w:rPr>
        <w:t>General and administrative (G&amp;A) expenses were $9.6 million for the six months ended June 30, 2021 compared to $4.0 million for the six months ended June 30, 2020. The increase in G&amp;A expenses was primarily due to costs relating to building the infrastructure necessary to operate as a public company.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p53</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p53 plays a pivotal role in preventing abnormal cells from becoming a tumor by inducing programmed cell death. Mutant p53 takes on oncogenic properties that endow cancer cells with a growth advantage and resistance to anti-cancer therapy. The p53 Y220C mutation is associated with many cancers, including but not limited to breast, non-small cell lung cancer, colorectal, pancreatic, and ovarian cancers.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PC14586</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PC14586 is a first-in-class, small molecule, p53 reactivator designed to selectively bind to the crevice present in the p53 Y220C mutant protein, hence, restoring the wild-type, or normal, p53 protein structure and tumor suppressing function. PC14586 is being developed for the treatment of patients with locally advanced or metastatic solid tumors that have the p53 Y220C mutation and has been granted Fast Track designation by the U.S. FDA.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PMV Pharma</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PMV Pharma is a clinical-stage oncology company pioneering the discovery and development of small molecule therapies designed to activate p53 function. Experts in p53 biology, cancer genetics, and medicinal chemistry, PMV Pharma is focused on delivering precision therapeutics that improve the lives of patients living with cancer. Along with the expertise of co-founder Dr. Arnold Levine, who discovered p53, PMV brings together leaders in the field to utilize over four decades of p53 biology to develop tumor- agnostic, targeted, pharmaceutical products. PMV Pharma is headquartered in Cranbury, New Jersey. For more information, please visit </w:t>
      </w:r>
      <w:r>
        <w:rPr>
          <w:rFonts w:ascii="Arial" w:cs="Arial" w:eastAsia="Arial" w:hAnsi="Arial"/>
          <w:sz w:val="22"/>
          <w:szCs w:val="22"/>
          <w:u w:val="single" w:color="auto"/>
          <w:color w:val="auto"/>
        </w:rPr>
        <w:t>www.pmvpharma.com</w:t>
      </w:r>
      <w:r>
        <w:rPr>
          <w:rFonts w:ascii="Arial" w:cs="Arial" w:eastAsia="Arial" w:hAnsi="Arial"/>
          <w:sz w:val="22"/>
          <w:szCs w:val="22"/>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the timing for patient enrollment and success of its current clinical trial for PC14586; the future plans or expectations for the Company’s discovery platform; and the period over which the Company estimates its existing cash and cash equivalents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10180"/>
        <w:spacing w:after="0"/>
        <w:rPr>
          <w:sz w:val="20"/>
          <w:szCs w:val="20"/>
          <w:color w:val="auto"/>
        </w:rPr>
      </w:pPr>
      <w:r>
        <w:rPr>
          <w:rFonts w:ascii="Arial" w:cs="Arial" w:eastAsia="Arial" w:hAnsi="Arial"/>
          <w:sz w:val="19"/>
          <w:szCs w:val="19"/>
          <w:color w:val="auto"/>
        </w:rPr>
        <w:t>Exhibit 99.1</w:t>
      </w:r>
    </w:p>
    <w:p>
      <w:pPr>
        <w:spacing w:after="0" w:line="25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sufficient to fund its current operating plan.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3, 2021, the Company’s Quarterly Report on Form 10-Q filed with the SEC on May 14, 2021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10180"/>
        <w:spacing w:after="0"/>
        <w:rPr>
          <w:sz w:val="20"/>
          <w:szCs w:val="20"/>
          <w:color w:val="auto"/>
        </w:rPr>
      </w:pPr>
      <w:r>
        <w:rPr>
          <w:rFonts w:ascii="Arial" w:cs="Arial" w:eastAsia="Arial" w:hAnsi="Arial"/>
          <w:sz w:val="19"/>
          <w:szCs w:val="19"/>
          <w:color w:val="auto"/>
        </w:rPr>
        <w:t>Exhibit 99.1</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PMV Pharmaceuticals, Inc.</w:t>
      </w:r>
    </w:p>
    <w:p>
      <w:pPr>
        <w:jc w:val="center"/>
        <w:ind w:right="20"/>
        <w:spacing w:after="0" w:line="230" w:lineRule="auto"/>
        <w:rPr>
          <w:sz w:val="20"/>
          <w:szCs w:val="20"/>
          <w:color w:val="auto"/>
        </w:rPr>
      </w:pPr>
      <w:r>
        <w:rPr>
          <w:rFonts w:ascii="Arial" w:cs="Arial" w:eastAsia="Arial" w:hAnsi="Arial"/>
          <w:sz w:val="22"/>
          <w:szCs w:val="22"/>
          <w:b w:val="1"/>
          <w:bCs w:val="1"/>
          <w:color w:val="auto"/>
        </w:rPr>
        <w:t>Condensed Balance Sheets</w:t>
      </w:r>
    </w:p>
    <w:p>
      <w:pPr>
        <w:jc w:val="center"/>
        <w:ind w:right="20"/>
        <w:spacing w:after="0" w:line="231" w:lineRule="auto"/>
        <w:rPr>
          <w:sz w:val="20"/>
          <w:szCs w:val="20"/>
          <w:color w:val="auto"/>
        </w:rPr>
      </w:pPr>
      <w:r>
        <w:rPr>
          <w:rFonts w:ascii="Arial" w:cs="Arial" w:eastAsia="Arial" w:hAnsi="Arial"/>
          <w:sz w:val="22"/>
          <w:szCs w:val="22"/>
          <w:b w:val="1"/>
          <w:bCs w:val="1"/>
          <w:color w:val="auto"/>
        </w:rPr>
        <w:t>(unaudited)</w:t>
      </w:r>
    </w:p>
    <w:p>
      <w:pPr>
        <w:jc w:val="center"/>
        <w:ind w:right="20"/>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189,423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 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noncurrent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355,910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(134,356)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(109,880)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359,121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355,910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365,531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7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p>
      <w:pPr>
        <w:ind w:left="10180"/>
        <w:spacing w:after="0"/>
        <w:rPr>
          <w:sz w:val="20"/>
          <w:szCs w:val="20"/>
          <w:color w:val="auto"/>
        </w:rPr>
      </w:pPr>
      <w:r>
        <w:rPr>
          <w:rFonts w:ascii="Arial" w:cs="Arial" w:eastAsia="Arial" w:hAnsi="Arial"/>
          <w:sz w:val="19"/>
          <w:szCs w:val="19"/>
          <w:color w:val="auto"/>
        </w:rPr>
        <w:t>Exhibit 99.1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PMV Pharmaceuticals,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Operations and Comprehensive Loss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4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7,664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5,804</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15,163</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FF0FC"/>
          </w:tcPr>
          <w:p>
            <w:pPr>
              <w:spacing w:after="0"/>
              <w:rPr>
                <w:sz w:val="19"/>
                <w:szCs w:val="19"/>
                <w:color w:val="auto"/>
              </w:rPr>
            </w:pPr>
          </w:p>
        </w:tc>
      </w:tr>
      <w:tr>
        <w:trPr>
          <w:trHeight w:val="223"/>
        </w:trPr>
        <w:tc>
          <w:tcPr>
            <w:tcW w:w="4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(15,739)</w:t>
            </w: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44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1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(15,219)</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100" w:type="dxa"/>
            <w:vAlign w:val="bottom"/>
          </w:tcPr>
          <w:p>
            <w:pPr>
              <w:spacing w:after="0"/>
              <w:rPr>
                <w:sz w:val="19"/>
                <w:szCs w:val="19"/>
                <w:color w:val="auto"/>
              </w:rPr>
            </w:pPr>
          </w:p>
        </w:tc>
      </w:tr>
      <w:tr>
        <w:trPr>
          <w:trHeight w:val="215"/>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on marketable</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 net of tax</w:t>
            </w:r>
          </w:p>
        </w:tc>
        <w:tc>
          <w:tcPr>
            <w:tcW w:w="13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r>
      <w:tr>
        <w:trPr>
          <w:trHeight w:val="263"/>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1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00" w:type="dxa"/>
            <w:vAlign w:val="bottom"/>
            <w:tcBorders>
              <w:bottom w:val="single" w:sz="8" w:color="CFF0FC"/>
            </w:tcBorders>
          </w:tcPr>
          <w:p>
            <w:pPr>
              <w:spacing w:after="0"/>
              <w:rPr>
                <w:sz w:val="22"/>
                <w:szCs w:val="22"/>
                <w:color w:val="auto"/>
              </w:rPr>
            </w:pPr>
          </w:p>
        </w:tc>
      </w:tr>
      <w:tr>
        <w:trPr>
          <w:trHeight w:val="210"/>
        </w:trPr>
        <w:tc>
          <w:tcPr>
            <w:tcW w:w="4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4420" w:type="dxa"/>
            <w:vAlign w:val="bottom"/>
          </w:tcPr>
          <w:p>
            <w:pPr>
              <w:ind w:left="260"/>
              <w:spacing w:after="0"/>
              <w:rPr>
                <w:sz w:val="20"/>
                <w:szCs w:val="20"/>
                <w:color w:val="auto"/>
              </w:rPr>
            </w:pPr>
            <w:r>
              <w:rPr>
                <w:rFonts w:ascii="Arial" w:cs="Arial" w:eastAsia="Arial" w:hAnsi="Arial"/>
                <w:sz w:val="18"/>
                <w:szCs w:val="18"/>
                <w:color w:val="auto"/>
              </w:rPr>
              <w:t>Net loss per share -- basic and diluted</w:t>
            </w:r>
          </w:p>
        </w:tc>
        <w:tc>
          <w:tcPr>
            <w:tcW w:w="1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196"/>
        </w:trPr>
        <w:tc>
          <w:tcPr>
            <w:tcW w:w="4420" w:type="dxa"/>
            <w:vAlign w:val="bottom"/>
            <w:tcBorders>
              <w:top w:val="single" w:sz="8" w:color="CFF0FC"/>
            </w:tcBorders>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common shares</w:t>
            </w:r>
          </w:p>
        </w:tc>
        <w:tc>
          <w:tcPr>
            <w:tcW w:w="13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0"/>
        </w:trPr>
        <w:tc>
          <w:tcPr>
            <w:tcW w:w="4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outstanding</w:t>
            </w:r>
          </w:p>
        </w:tc>
        <w:tc>
          <w:tcPr>
            <w:tcW w:w="1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45,070,104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44,928,518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For Investors &amp; Media:</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Winston Kung</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3AFFD"/>
        </w:rPr>
        <w:t>investors@pmvpharma.com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2021-08-13T05:17:30Z</dcterms:created>
  <dcterms:modified xsi:type="dcterms:W3CDTF">2021-08-13T05:17:30Z</dcterms:modified>
</cp:coreProperties>
</file>