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90170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109855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4060" w:right="2540" w:hanging="4052"/>
        <w:spacing w:after="0" w:line="423" w:lineRule="auto"/>
        <w:tabs>
          <w:tab w:leader="none" w:pos="469"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2021</w:t>
      </w:r>
    </w:p>
    <w:p>
      <w:pPr>
        <w:spacing w:after="0" w:line="27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27" w:lineRule="exact"/>
        <w:rPr>
          <w:sz w:val="24"/>
          <w:szCs w:val="24"/>
          <w:color w:val="auto"/>
        </w:rPr>
      </w:pPr>
    </w:p>
    <w:p>
      <w:pPr>
        <w:ind w:left="384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106045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PMV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99060</wp:posOffset>
            </wp:positionV>
            <wp:extent cx="1097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57" w:lineRule="exact"/>
        <w:rPr>
          <w:sz w:val="24"/>
          <w:szCs w:val="24"/>
          <w:color w:val="auto"/>
        </w:rPr>
      </w:pPr>
    </w:p>
    <w:tbl>
      <w:tblPr>
        <w:tblLayout w:type="fixed"/>
        <w:tblInd w:w="1780" w:type="dxa"/>
        <w:tblCellMar>
          <w:top w:w="0" w:type="dxa"/>
          <w:left w:w="0" w:type="dxa"/>
          <w:bottom w:w="0" w:type="dxa"/>
          <w:right w:w="0" w:type="dxa"/>
        </w:tblCellMar>
      </w:tblPr>
      <w:tr>
        <w:trPr>
          <w:trHeight w:val="198"/>
        </w:trPr>
        <w:tc>
          <w:tcPr>
            <w:tcW w:w="4120" w:type="dxa"/>
            <w:vAlign w:val="bottom"/>
          </w:tcPr>
          <w:p>
            <w:pPr>
              <w:jc w:val="center"/>
              <w:ind w:right="1988"/>
              <w:spacing w:after="0"/>
              <w:rPr>
                <w:sz w:val="20"/>
                <w:szCs w:val="20"/>
                <w:color w:val="auto"/>
              </w:rPr>
            </w:pPr>
            <w:r>
              <w:rPr>
                <w:rFonts w:ascii="Arial" w:cs="Arial" w:eastAsia="Arial" w:hAnsi="Arial"/>
                <w:sz w:val="16"/>
                <w:szCs w:val="16"/>
                <w:b w:val="1"/>
                <w:bCs w:val="1"/>
                <w:color w:val="auto"/>
                <w:w w:val="93"/>
              </w:rPr>
              <w:t>Delaware</w:t>
            </w:r>
          </w:p>
        </w:tc>
        <w:tc>
          <w:tcPr>
            <w:tcW w:w="3020" w:type="dxa"/>
            <w:vAlign w:val="bottom"/>
          </w:tcPr>
          <w:p>
            <w:pPr>
              <w:jc w:val="right"/>
              <w:ind w:right="30"/>
              <w:spacing w:after="0"/>
              <w:rPr>
                <w:sz w:val="20"/>
                <w:szCs w:val="20"/>
                <w:color w:val="auto"/>
              </w:rPr>
            </w:pPr>
            <w:r>
              <w:rPr>
                <w:rFonts w:ascii="Arial" w:cs="Arial" w:eastAsia="Arial" w:hAnsi="Arial"/>
                <w:sz w:val="16"/>
                <w:szCs w:val="16"/>
                <w:b w:val="1"/>
                <w:bCs w:val="1"/>
                <w:color w:val="auto"/>
              </w:rPr>
              <w:t>46-3218129</w:t>
            </w:r>
          </w:p>
        </w:tc>
      </w:tr>
      <w:tr>
        <w:trPr>
          <w:trHeight w:val="135"/>
        </w:trPr>
        <w:tc>
          <w:tcPr>
            <w:tcW w:w="4120" w:type="dxa"/>
            <w:vAlign w:val="bottom"/>
          </w:tcPr>
          <w:p>
            <w:pPr>
              <w:jc w:val="center"/>
              <w:ind w:right="1988"/>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70"/>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20" w:type="dxa"/>
            <w:vAlign w:val="bottom"/>
          </w:tcPr>
          <w:p>
            <w:pPr>
              <w:jc w:val="center"/>
              <w:ind w:right="1968"/>
              <w:spacing w:after="0"/>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70"/>
              <w:spacing w:after="0"/>
              <w:rPr>
                <w:sz w:val="20"/>
                <w:szCs w:val="20"/>
                <w:color w:val="auto"/>
              </w:rPr>
            </w:pPr>
            <w:r>
              <w:rPr>
                <w:rFonts w:ascii="Arial" w:cs="Arial" w:eastAsia="Arial" w:hAnsi="Arial"/>
                <w:sz w:val="13"/>
                <w:szCs w:val="13"/>
                <w:b w:val="1"/>
                <w:bCs w:val="1"/>
                <w:color w:val="auto"/>
                <w:w w:val="89"/>
              </w:rPr>
              <w:t>Identification No.)</w:t>
            </w:r>
          </w:p>
        </w:tc>
      </w:tr>
      <w:tr>
        <w:trPr>
          <w:trHeight w:val="286"/>
        </w:trPr>
        <w:tc>
          <w:tcPr>
            <w:tcW w:w="4120" w:type="dxa"/>
            <w:vAlign w:val="bottom"/>
          </w:tcPr>
          <w:p>
            <w:pPr>
              <w:jc w:val="center"/>
              <w:ind w:right="1988"/>
              <w:spacing w:after="0"/>
              <w:rPr>
                <w:sz w:val="20"/>
                <w:szCs w:val="20"/>
                <w:color w:val="auto"/>
              </w:rPr>
            </w:pPr>
            <w:r>
              <w:rPr>
                <w:rFonts w:ascii="Arial" w:cs="Arial" w:eastAsia="Arial" w:hAnsi="Arial"/>
                <w:sz w:val="16"/>
                <w:szCs w:val="16"/>
                <w:b w:val="1"/>
                <w:bCs w:val="1"/>
                <w:color w:val="auto"/>
                <w:w w:val="93"/>
              </w:rPr>
              <w:t>8 Clarke Drive, Suite 3</w:t>
            </w:r>
          </w:p>
        </w:tc>
        <w:tc>
          <w:tcPr>
            <w:tcW w:w="3020" w:type="dxa"/>
            <w:vAlign w:val="bottom"/>
          </w:tcPr>
          <w:p>
            <w:pPr>
              <w:spacing w:after="0"/>
              <w:rPr>
                <w:sz w:val="24"/>
                <w:szCs w:val="24"/>
                <w:color w:val="auto"/>
              </w:rPr>
            </w:pPr>
          </w:p>
        </w:tc>
      </w:tr>
      <w:tr>
        <w:trPr>
          <w:trHeight w:val="198"/>
        </w:trPr>
        <w:tc>
          <w:tcPr>
            <w:tcW w:w="4120" w:type="dxa"/>
            <w:vAlign w:val="bottom"/>
          </w:tcPr>
          <w:p>
            <w:pPr>
              <w:jc w:val="center"/>
              <w:ind w:right="1968"/>
              <w:spacing w:after="0"/>
              <w:rPr>
                <w:sz w:val="20"/>
                <w:szCs w:val="20"/>
                <w:color w:val="auto"/>
              </w:rPr>
            </w:pPr>
            <w:r>
              <w:rPr>
                <w:rFonts w:ascii="Arial" w:cs="Arial" w:eastAsia="Arial" w:hAnsi="Arial"/>
                <w:sz w:val="16"/>
                <w:szCs w:val="16"/>
                <w:b w:val="1"/>
                <w:bCs w:val="1"/>
                <w:color w:val="auto"/>
                <w:w w:val="95"/>
              </w:rPr>
              <w:t>Cranbury, NJ</w:t>
            </w:r>
          </w:p>
        </w:tc>
        <w:tc>
          <w:tcPr>
            <w:tcW w:w="3020" w:type="dxa"/>
            <w:vAlign w:val="bottom"/>
          </w:tcPr>
          <w:p>
            <w:pPr>
              <w:jc w:val="right"/>
              <w:ind w:right="210"/>
              <w:spacing w:after="0"/>
              <w:rPr>
                <w:sz w:val="20"/>
                <w:szCs w:val="20"/>
                <w:color w:val="auto"/>
              </w:rPr>
            </w:pPr>
            <w:r>
              <w:rPr>
                <w:rFonts w:ascii="Arial" w:cs="Arial" w:eastAsia="Arial" w:hAnsi="Arial"/>
                <w:sz w:val="16"/>
                <w:szCs w:val="16"/>
                <w:b w:val="1"/>
                <w:bCs w:val="1"/>
                <w:color w:val="auto"/>
              </w:rPr>
              <w:t>08512</w:t>
            </w:r>
          </w:p>
        </w:tc>
      </w:tr>
      <w:tr>
        <w:trPr>
          <w:trHeight w:val="164"/>
        </w:trPr>
        <w:tc>
          <w:tcPr>
            <w:tcW w:w="4120" w:type="dxa"/>
            <w:vAlign w:val="bottom"/>
          </w:tcPr>
          <w:p>
            <w:pPr>
              <w:jc w:val="center"/>
              <w:ind w:right="196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70"/>
              <w:spacing w:after="0"/>
              <w:rPr>
                <w:sz w:val="20"/>
                <w:szCs w:val="20"/>
                <w:color w:val="auto"/>
              </w:rPr>
            </w:pPr>
            <w:r>
              <w:rPr>
                <w:rFonts w:ascii="Arial" w:cs="Arial" w:eastAsia="Arial" w:hAnsi="Arial"/>
                <w:sz w:val="13"/>
                <w:szCs w:val="13"/>
                <w:b w:val="1"/>
                <w:bCs w:val="1"/>
                <w:color w:val="auto"/>
                <w:w w:val="90"/>
              </w:rPr>
              <w:t>(Zip Code)</w:t>
            </w:r>
          </w:p>
        </w:tc>
      </w:tr>
    </w:tbl>
    <w:p>
      <w:pPr>
        <w:spacing w:after="0" w:line="9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(609) 642-6670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106045</wp:posOffset>
            </wp:positionV>
            <wp:extent cx="1097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59"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$0.00001</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PMVP</w:t>
            </w:r>
          </w:p>
        </w:tc>
        <w:tc>
          <w:tcPr>
            <w:tcW w:w="1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bl>
    <w:p>
      <w:pPr>
        <w:spacing w:after="0" w:line="84" w:lineRule="exact"/>
        <w:rPr>
          <w:sz w:val="24"/>
          <w:szCs w:val="24"/>
          <w:color w:val="auto"/>
        </w:rPr>
      </w:pPr>
    </w:p>
    <w:p>
      <w:pPr>
        <w:jc w:val="both"/>
        <w:ind w:firstLine="632"/>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60" w:firstLine="632"/>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jc w:val="both"/>
        <w:ind w:right="240" w:firstLine="632"/>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2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32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280" w:type="dxa"/>
            <w:vAlign w:val="bottom"/>
          </w:tcPr>
          <w:p>
            <w:pPr>
              <w:spacing w:after="0"/>
              <w:rPr>
                <w:sz w:val="20"/>
                <w:szCs w:val="20"/>
                <w:color w:val="auto"/>
              </w:rPr>
            </w:pPr>
            <w:r>
              <w:rPr>
                <w:rFonts w:ascii="Arial" w:cs="Arial" w:eastAsia="Arial" w:hAnsi="Arial"/>
                <w:sz w:val="16"/>
                <w:szCs w:val="16"/>
                <w:color w:val="auto"/>
              </w:rPr>
              <w:t>Non-accelerated filer</w:t>
            </w:r>
          </w:p>
        </w:tc>
        <w:tc>
          <w:tcPr>
            <w:tcW w:w="32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32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2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4780" w:type="dxa"/>
            <w:vAlign w:val="bottom"/>
          </w:tcPr>
          <w:p>
            <w:pPr>
              <w:ind w:left="232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0" w:lineRule="exact"/>
        <w:rPr>
          <w:sz w:val="24"/>
          <w:szCs w:val="24"/>
          <w:color w:val="auto"/>
        </w:rPr>
      </w:pPr>
    </w:p>
    <w:p>
      <w:pPr>
        <w:ind w:right="460" w:firstLine="632"/>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640"/>
        <w:spacing w:after="0" w:line="184" w:lineRule="exact"/>
        <w:tabs>
          <w:tab w:leader="none" w:pos="8180" w:val="left"/>
          <w:tab w:leader="none" w:pos="88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7" w:lineRule="exact"/>
        <w:rPr>
          <w:sz w:val="24"/>
          <w:szCs w:val="24"/>
          <w:color w:val="auto"/>
        </w:rPr>
      </w:pPr>
    </w:p>
    <w:p>
      <w:pPr>
        <w:ind w:right="20" w:firstLine="632"/>
        <w:spacing w:after="0" w:line="214"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As of August 12, 2021, the registrant had 45,292,015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262255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80" w:type="dxa"/>
            <w:vAlign w:val="bottom"/>
            <w:gridSpan w:val="7"/>
          </w:tcPr>
          <w:p>
            <w:pPr>
              <w:ind w:left="1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300" w:type="dxa"/>
            <w:vAlign w:val="bottom"/>
            <w:gridSpan w:val="18"/>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2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Financial Statements (Unaudited)</w:t>
              </w:r>
            </w:hyperlink>
          </w:p>
        </w:tc>
        <w:tc>
          <w:tcPr>
            <w:tcW w:w="604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Balance Sheets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Statements of Operations and Comprehensive Loss (Unaudited)</w:t>
              </w:r>
            </w:hyperlink>
          </w:p>
        </w:tc>
        <w:tc>
          <w:tcPr>
            <w:tcW w:w="386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Statements of Convertible Preferred Stock and Stockholders’ (Deficit) Equity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340" w:type="dxa"/>
            <w:vAlign w:val="bottom"/>
            <w:tcBorders>
              <w:top w:val="single" w:sz="8" w:color="0000EE"/>
            </w:tcBorders>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Statements of Cash Flows (Unaudited)</w:t>
              </w:r>
            </w:hyperlink>
          </w:p>
        </w:tc>
        <w:tc>
          <w:tcPr>
            <w:tcW w:w="19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49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OTHER INFORMATION</w:t>
              </w:r>
            </w:hyperlink>
          </w:p>
        </w:tc>
        <w:tc>
          <w:tcPr>
            <w:tcW w:w="742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798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5"/>
          </w:tcPr>
          <w:p>
            <w:pPr>
              <w:spacing w:after="0"/>
              <w:rPr>
                <w:sz w:val="18"/>
                <w:szCs w:val="18"/>
                <w:color w:val="auto"/>
              </w:rPr>
            </w:pPr>
          </w:p>
        </w:tc>
        <w:tc>
          <w:tcPr>
            <w:tcW w:w="49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75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800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673"/>
        <w:spacing w:after="0" w:line="253" w:lineRule="auto"/>
        <w:rPr>
          <w:sz w:val="20"/>
          <w:szCs w:val="20"/>
          <w:color w:val="auto"/>
        </w:rPr>
      </w:pPr>
      <w:r>
        <w:rPr>
          <w:rFonts w:ascii="Arial" w:cs="Arial" w:eastAsia="Arial" w:hAnsi="Arial"/>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102" w:lineRule="exact"/>
        <w:rPr>
          <w:sz w:val="20"/>
          <w:szCs w:val="20"/>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980" w:right="180" w:hanging="297"/>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existing cash, cash equivalents and short-term marketable securities to fund our future operating expenses and capital expenditure requirements;</w:t>
      </w:r>
    </w:p>
    <w:p>
      <w:pPr>
        <w:spacing w:after="0" w:line="62"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raise additional funding before we can expect to generate any revenues from product sales;</w:t>
      </w:r>
    </w:p>
    <w:p>
      <w:pPr>
        <w:spacing w:after="0" w:line="117" w:lineRule="exact"/>
        <w:rPr>
          <w:rFonts w:ascii="Arial" w:cs="Arial" w:eastAsia="Arial" w:hAnsi="Arial"/>
          <w:sz w:val="18"/>
          <w:szCs w:val="18"/>
          <w:color w:val="auto"/>
        </w:rPr>
      </w:pPr>
    </w:p>
    <w:p>
      <w:pPr>
        <w:ind w:left="980" w:right="220" w:hanging="297"/>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for our operations, when needed, including funding necessary to complete further development and commercialization of our product candidates, if approved;</w:t>
      </w:r>
    </w:p>
    <w:p>
      <w:pPr>
        <w:spacing w:after="0" w:line="62"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and our ability to maximize those opportunities;</w:t>
      </w:r>
    </w:p>
    <w:p>
      <w:pPr>
        <w:spacing w:after="0" w:line="117" w:lineRule="exact"/>
        <w:rPr>
          <w:rFonts w:ascii="Arial" w:cs="Arial" w:eastAsia="Arial" w:hAnsi="Arial"/>
          <w:sz w:val="18"/>
          <w:szCs w:val="18"/>
          <w:color w:val="auto"/>
        </w:rPr>
      </w:pPr>
    </w:p>
    <w:p>
      <w:pPr>
        <w:ind w:left="980" w:right="1000" w:hanging="297"/>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preclinical studies, any clinical trials and, investigational new drug application (“IND”) and other regulatory submissions;</w:t>
      </w:r>
    </w:p>
    <w:p>
      <w:pPr>
        <w:spacing w:after="0" w:line="62"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of the number of patients expected to have certain p53 mutants and the number of patients that will enroll in our clinical trials;</w:t>
      </w:r>
    </w:p>
    <w:p>
      <w:pPr>
        <w:spacing w:after="0" w:line="140" w:lineRule="exact"/>
        <w:rPr>
          <w:rFonts w:ascii="Arial" w:cs="Arial" w:eastAsia="Arial" w:hAnsi="Arial"/>
          <w:sz w:val="16"/>
          <w:szCs w:val="16"/>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favorable results;</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product candidates, including the disease areas to be evaluated;</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focus of our clinical trials, and the reporting of data from those trials;</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17" w:lineRule="exact"/>
        <w:rPr>
          <w:rFonts w:ascii="Arial" w:cs="Arial" w:eastAsia="Arial" w:hAnsi="Arial"/>
          <w:sz w:val="18"/>
          <w:szCs w:val="18"/>
          <w:color w:val="auto"/>
        </w:rPr>
      </w:pPr>
    </w:p>
    <w:p>
      <w:pPr>
        <w:ind w:left="980" w:right="200" w:hanging="297"/>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benefits of potential future strategic collaborations with third parties and our ability to attract collaborators with development, regulatory and commercialization expertise;</w:t>
      </w:r>
    </w:p>
    <w:p>
      <w:pPr>
        <w:spacing w:after="0" w:line="62"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980" w:right="300" w:hanging="297"/>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our expectation to seek accelerated reviews or special designations, such as breakthrough therapy and orphan drug designation, for our product candidates;</w:t>
      </w:r>
    </w:p>
    <w:p>
      <w:pPr>
        <w:spacing w:after="0" w:line="62" w:lineRule="exact"/>
        <w:rPr>
          <w:rFonts w:ascii="Arial" w:cs="Arial" w:eastAsia="Arial" w:hAnsi="Arial"/>
          <w:sz w:val="18"/>
          <w:szCs w:val="18"/>
          <w:color w:val="auto"/>
        </w:rPr>
      </w:pPr>
    </w:p>
    <w:p>
      <w:pPr>
        <w:ind w:left="980" w:right="160" w:hanging="297"/>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for additional indications that we may pursue;</w:t>
      </w:r>
    </w:p>
    <w:p>
      <w:pPr>
        <w:spacing w:after="0" w:line="62"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28" w:lineRule="exact"/>
        <w:rPr>
          <w:rFonts w:ascii="Arial" w:cs="Arial" w:eastAsia="Arial" w:hAnsi="Arial"/>
          <w:sz w:val="17"/>
          <w:szCs w:val="17"/>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 to rely on third parties to conduct and support preclinical and clinical development;</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personnel and to identify, hire and then retain additional qualified personnel;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 w:name="page4"/>
    <w:bookmarkEnd w:id="3"/>
    <w:p>
      <w:pPr>
        <w:ind w:left="980" w:right="160" w:hanging="297"/>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ongoing COVID-19 pandemic; including the impact from quarantines, shelter-in-place, executive and similar government orders, on the conduct of business operations or the availability or cost of materials; or</w:t>
      </w:r>
    </w:p>
    <w:p>
      <w:pPr>
        <w:spacing w:after="0" w:line="62" w:lineRule="exact"/>
        <w:rPr>
          <w:rFonts w:ascii="Arial" w:cs="Arial" w:eastAsia="Arial" w:hAnsi="Arial"/>
          <w:sz w:val="18"/>
          <w:szCs w:val="18"/>
          <w:color w:val="auto"/>
        </w:rPr>
      </w:pPr>
    </w:p>
    <w:p>
      <w:pPr>
        <w:ind w:left="980" w:right="500" w:hanging="297"/>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 as amended.</w:t>
      </w:r>
    </w:p>
    <w:p>
      <w:pPr>
        <w:spacing w:after="0" w:line="76" w:lineRule="exact"/>
        <w:rPr>
          <w:sz w:val="20"/>
          <w:szCs w:val="20"/>
          <w:color w:val="auto"/>
        </w:rPr>
      </w:pPr>
    </w:p>
    <w:p>
      <w:pPr>
        <w:ind w:firstLine="673"/>
        <w:spacing w:after="0" w:line="289"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“Item 1A. Risk Factors” and elsewhere in our Annual Report on Form 10-K for the year ended December 31, 2020 as well as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72" w:lineRule="exact"/>
        <w:rPr>
          <w:sz w:val="20"/>
          <w:szCs w:val="20"/>
          <w:color w:val="auto"/>
        </w:rPr>
      </w:pPr>
    </w:p>
    <w:p>
      <w:pPr>
        <w:ind w:right="60" w:firstLine="673"/>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7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189,423</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361,422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 current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128,926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323,080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 noncurrent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Right-of-use assets, operating leases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10,763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355,910</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365,531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6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4,458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 current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noncurrent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18,063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20" w:type="dxa"/>
            <w:vAlign w:val="bottom"/>
          </w:tcPr>
          <w:p>
            <w:pPr>
              <w:ind w:left="260"/>
              <w:spacing w:after="0"/>
              <w:rPr>
                <w:sz w:val="20"/>
                <w:szCs w:val="20"/>
                <w:color w:val="auto"/>
              </w:rPr>
            </w:pPr>
            <w:r>
              <w:rPr>
                <w:rFonts w:ascii="Arial" w:cs="Arial" w:eastAsia="Arial" w:hAnsi="Arial"/>
                <w:sz w:val="18"/>
                <w:szCs w:val="18"/>
                <w:color w:val="auto"/>
                <w:w w:val="91"/>
              </w:rPr>
              <w:t>Preferred stock, $0.00001 par value, 5,000,000 shares authorized at June 30, 2021 (unaudited) and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60"/>
              <w:spacing w:after="0"/>
              <w:rPr>
                <w:sz w:val="20"/>
                <w:szCs w:val="20"/>
                <w:color w:val="auto"/>
              </w:rPr>
            </w:pPr>
            <w:r>
              <w:rPr>
                <w:rFonts w:ascii="Arial" w:cs="Arial" w:eastAsia="Arial" w:hAnsi="Arial"/>
                <w:sz w:val="18"/>
                <w:szCs w:val="18"/>
                <w:color w:val="auto"/>
                <w:w w:val="92"/>
              </w:rPr>
              <w:t>December 31, 2020. No shares issued or outstanding at June 30, 2021 (unaudited) and December</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31, 2020.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Common stock, $0.00001 par value, 1,000,000,000 shares authorized; 45,213,567 and 44,777,818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shares issued and outstanding at June 30, 2021 (unaudited) and December 31, 2020, respectively.</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472,196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469,001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(134,356)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(109,880)</w:t>
            </w:r>
          </w:p>
        </w:tc>
        <w:tc>
          <w:tcPr>
            <w:tcW w:w="0" w:type="dxa"/>
            <w:vAlign w:val="bottom"/>
          </w:tcPr>
          <w:p>
            <w:pPr>
              <w:spacing w:after="0"/>
              <w:rPr>
                <w:sz w:val="1"/>
                <w:szCs w:val="1"/>
                <w:color w:val="auto"/>
              </w:rPr>
            </w:pPr>
          </w:p>
        </w:tc>
      </w:tr>
      <w:tr>
        <w:trPr>
          <w:trHeight w:val="229"/>
        </w:trPr>
        <w:tc>
          <w:tcPr>
            <w:tcW w:w="752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337,847</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359,121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355,910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24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90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9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1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7,664</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5,804</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15,163</w:t>
            </w:r>
          </w:p>
        </w:tc>
        <w:tc>
          <w:tcPr>
            <w:tcW w:w="14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11,760</w:t>
            </w:r>
          </w:p>
        </w:tc>
        <w:tc>
          <w:tcPr>
            <w:tcW w:w="100" w:type="dxa"/>
            <w:vAlign w:val="bottom"/>
          </w:tcPr>
          <w:p>
            <w:pPr>
              <w:spacing w:after="0"/>
              <w:rPr>
                <w:sz w:val="19"/>
                <w:szCs w:val="19"/>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5,386</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3,979</w:t>
            </w:r>
          </w:p>
        </w:tc>
        <w:tc>
          <w:tcPr>
            <w:tcW w:w="100" w:type="dxa"/>
            <w:vAlign w:val="bottom"/>
            <w:shd w:val="clear" w:color="auto" w:fill="CFF0FC"/>
          </w:tcPr>
          <w:p>
            <w:pPr>
              <w:spacing w:after="0"/>
              <w:rPr>
                <w:sz w:val="19"/>
                <w:szCs w:val="19"/>
                <w:color w:val="auto"/>
              </w:rPr>
            </w:pPr>
          </w:p>
        </w:tc>
      </w:tr>
      <w:tr>
        <w:trPr>
          <w:trHeight w:val="223"/>
        </w:trPr>
        <w:tc>
          <w:tcPr>
            <w:tcW w:w="49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100" w:type="dxa"/>
            <w:vAlign w:val="bottom"/>
            <w:tcBorders>
              <w:bottom w:val="single" w:sz="8" w:color="CFF0FC"/>
            </w:tcBorders>
          </w:tcPr>
          <w:p>
            <w:pPr>
              <w:spacing w:after="0"/>
              <w:rPr>
                <w:sz w:val="19"/>
                <w:szCs w:val="19"/>
                <w:color w:val="auto"/>
              </w:rPr>
            </w:pPr>
          </w:p>
        </w:tc>
      </w:tr>
      <w:tr>
        <w:trPr>
          <w:trHeight w:val="223"/>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operations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(15,739)</w:t>
            </w:r>
          </w:p>
        </w:tc>
        <w:tc>
          <w:tcPr>
            <w:tcW w:w="10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FF0FC"/>
          </w:tcPr>
          <w:p>
            <w:pPr>
              <w:spacing w:after="0"/>
              <w:rPr>
                <w:sz w:val="19"/>
                <w:szCs w:val="19"/>
                <w:color w:val="auto"/>
              </w:rPr>
            </w:pPr>
          </w:p>
        </w:tc>
      </w:tr>
      <w:tr>
        <w:trPr>
          <w:trHeight w:val="229"/>
        </w:trPr>
        <w:tc>
          <w:tcPr>
            <w:tcW w:w="490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23"/>
        </w:trPr>
        <w:tc>
          <w:tcPr>
            <w:tcW w:w="49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w:t>
            </w:r>
          </w:p>
        </w:tc>
        <w:tc>
          <w:tcPr>
            <w:tcW w:w="8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900" w:type="dxa"/>
            <w:vAlign w:val="bottom"/>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(12,874)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(15,219)</w:t>
            </w:r>
          </w:p>
        </w:tc>
        <w:tc>
          <w:tcPr>
            <w:tcW w:w="100" w:type="dxa"/>
            <w:vAlign w:val="bottom"/>
          </w:tcPr>
          <w:p>
            <w:pPr>
              <w:spacing w:after="0"/>
              <w:rPr>
                <w:sz w:val="19"/>
                <w:szCs w:val="19"/>
                <w:color w:val="auto"/>
              </w:rPr>
            </w:pPr>
          </w:p>
        </w:tc>
      </w:tr>
      <w:tr>
        <w:trPr>
          <w:trHeight w:val="229"/>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3"/>
        </w:trPr>
        <w:tc>
          <w:tcPr>
            <w:tcW w:w="49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8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(12,874)</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(7,967)</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(15,221)</w:t>
            </w:r>
          </w:p>
        </w:tc>
        <w:tc>
          <w:tcPr>
            <w:tcW w:w="100" w:type="dxa"/>
            <w:vAlign w:val="bottom"/>
          </w:tcPr>
          <w:p>
            <w:pPr>
              <w:spacing w:after="0"/>
              <w:rPr>
                <w:sz w:val="19"/>
                <w:szCs w:val="19"/>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gains on marketable securities, net of tax</w:t>
            </w:r>
          </w:p>
        </w:tc>
        <w:tc>
          <w:tcPr>
            <w:tcW w:w="8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63"/>
        </w:trPr>
        <w:tc>
          <w:tcPr>
            <w:tcW w:w="4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Comprehensive loss</w:t>
            </w:r>
          </w:p>
        </w:tc>
        <w:tc>
          <w:tcPr>
            <w:tcW w:w="8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(12,854)</w:t>
            </w:r>
          </w:p>
        </w:tc>
        <w:tc>
          <w:tcPr>
            <w:tcW w:w="2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(7,879)</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(24,469)</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(15,213)</w:t>
            </w:r>
          </w:p>
        </w:tc>
        <w:tc>
          <w:tcPr>
            <w:tcW w:w="100" w:type="dxa"/>
            <w:vAlign w:val="bottom"/>
            <w:tcBorders>
              <w:bottom w:val="single" w:sz="8" w:color="CFF0FC"/>
            </w:tcBorders>
          </w:tcPr>
          <w:p>
            <w:pPr>
              <w:spacing w:after="0"/>
              <w:rPr>
                <w:sz w:val="22"/>
                <w:szCs w:val="22"/>
                <w:color w:val="auto"/>
              </w:rPr>
            </w:pPr>
          </w:p>
        </w:tc>
      </w:tr>
      <w:tr>
        <w:trPr>
          <w:trHeight w:val="210"/>
        </w:trPr>
        <w:tc>
          <w:tcPr>
            <w:tcW w:w="49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69"/>
        </w:trPr>
        <w:tc>
          <w:tcPr>
            <w:tcW w:w="4900" w:type="dxa"/>
            <w:vAlign w:val="bottom"/>
          </w:tcPr>
          <w:p>
            <w:pPr>
              <w:ind w:left="260"/>
              <w:spacing w:after="0"/>
              <w:rPr>
                <w:sz w:val="20"/>
                <w:szCs w:val="20"/>
                <w:color w:val="auto"/>
              </w:rPr>
            </w:pPr>
            <w:r>
              <w:rPr>
                <w:rFonts w:ascii="Arial" w:cs="Arial" w:eastAsia="Arial" w:hAnsi="Arial"/>
                <w:sz w:val="18"/>
                <w:szCs w:val="18"/>
                <w:color w:val="auto"/>
              </w:rPr>
              <w:t>Net loss per share -- basic and diluted</w:t>
            </w:r>
          </w:p>
        </w:tc>
        <w:tc>
          <w:tcPr>
            <w:tcW w:w="11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(0.29)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(0.54)</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r>
      <w:tr>
        <w:trPr>
          <w:trHeight w:val="210"/>
        </w:trPr>
        <w:tc>
          <w:tcPr>
            <w:tcW w:w="49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Weighted-average common shares outstanding</w:t>
            </w:r>
          </w:p>
        </w:tc>
        <w:tc>
          <w:tcPr>
            <w:tcW w:w="8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45,070,104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3,046,200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44,928,518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3,046,200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Convertible Preferred Stock and Stockholders’ (Deficit)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5"/>
          </w:tcPr>
          <w:p>
            <w:pPr>
              <w:ind w:left="420"/>
              <w:spacing w:after="0" w:line="149" w:lineRule="exact"/>
              <w:rPr>
                <w:sz w:val="20"/>
                <w:szCs w:val="20"/>
                <w:color w:val="auto"/>
              </w:rPr>
            </w:pPr>
            <w:r>
              <w:rPr>
                <w:rFonts w:ascii="Arial" w:cs="Arial" w:eastAsia="Arial" w:hAnsi="Arial"/>
                <w:sz w:val="14"/>
                <w:szCs w:val="14"/>
                <w:b w:val="1"/>
                <w:bCs w:val="1"/>
                <w:color w:val="auto"/>
              </w:rPr>
              <w:t>Convertible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6"/>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5"/>
          </w:tcPr>
          <w:p>
            <w:pPr>
              <w:ind w:left="30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vMerge w:val="continue"/>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Paid-in</w:t>
            </w:r>
          </w:p>
        </w:tc>
        <w:tc>
          <w:tcPr>
            <w:tcW w:w="1380" w:type="dxa"/>
            <w:vAlign w:val="bottom"/>
            <w:gridSpan w:val="4"/>
          </w:tcPr>
          <w:p>
            <w:pPr>
              <w:ind w:left="220"/>
              <w:spacing w:after="0"/>
              <w:rPr>
                <w:sz w:val="20"/>
                <w:szCs w:val="20"/>
                <w:color w:val="auto"/>
              </w:rPr>
            </w:pPr>
            <w:r>
              <w:rPr>
                <w:rFonts w:ascii="Arial" w:cs="Arial" w:eastAsia="Arial" w:hAnsi="Arial"/>
                <w:sz w:val="14"/>
                <w:szCs w:val="14"/>
                <w:b w:val="1"/>
                <w:bCs w:val="1"/>
                <w:color w:val="auto"/>
              </w:rPr>
              <w:t>Comprehensive</w:t>
            </w:r>
          </w:p>
        </w:tc>
        <w:tc>
          <w:tcPr>
            <w:tcW w:w="9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55"/>
        </w:trPr>
        <w:tc>
          <w:tcPr>
            <w:tcW w:w="29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right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4"/>
              </w:rPr>
              <w:t>Capital</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93"/>
              </w:rPr>
              <w:t>Loss (Gain)</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99"/>
              </w:rPr>
              <w:t>22,866,246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7"/>
              </w:rPr>
              <w:t>$ 168,933</w:t>
            </w:r>
          </w:p>
        </w:tc>
        <w:tc>
          <w:tcPr>
            <w:tcW w:w="2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3,046,200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ind w:left="4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(75,440)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w w:val="99"/>
              </w:rPr>
              <w:t>Stock-based compensation expense</w:t>
            </w: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80" w:type="dxa"/>
            <w:vAlign w:val="bottom"/>
            <w:tcBorders>
              <w:right w:val="single" w:sz="8" w:color="auto"/>
            </w:tcBorders>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(7,255)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(7,255)</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20"/>
                <w:szCs w:val="20"/>
                <w:color w:val="auto"/>
              </w:rPr>
            </w:pPr>
            <w:r>
              <w:rPr>
                <w:rFonts w:ascii="Arial" w:cs="Arial" w:eastAsia="Arial" w:hAnsi="Arial"/>
                <w:sz w:val="18"/>
                <w:szCs w:val="18"/>
                <w:color w:val="auto"/>
              </w:rPr>
              <w:t>Unrealized loss on available for sale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0"/>
                <w:szCs w:val="20"/>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9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99"/>
              </w:rPr>
              <w:t>22,866,246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7"/>
              </w:rPr>
              <w:t>$ 168,933</w:t>
            </w:r>
          </w:p>
        </w:tc>
        <w:tc>
          <w:tcPr>
            <w:tcW w:w="22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3,046,200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(82,695</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(77,513</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color w:val="auto"/>
                <w:w w:val="99"/>
              </w:rPr>
              <w:t>Stock-based compensation expense</w:t>
            </w: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80" w:type="dxa"/>
            <w:vAlign w:val="bottom"/>
            <w:tcBorders>
              <w:right w:val="single" w:sz="8" w:color="auto"/>
            </w:tcBorders>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(7,967)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20"/>
                <w:szCs w:val="20"/>
                <w:color w:val="auto"/>
              </w:rPr>
            </w:pPr>
            <w:r>
              <w:rPr>
                <w:rFonts w:ascii="Arial" w:cs="Arial" w:eastAsia="Arial" w:hAnsi="Arial"/>
                <w:sz w:val="18"/>
                <w:szCs w:val="18"/>
                <w:color w:val="auto"/>
                <w:w w:val="99"/>
              </w:rPr>
              <w:t>Unrealized gain on available for sale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2020</w:t>
            </w:r>
          </w:p>
        </w:tc>
        <w:tc>
          <w:tcPr>
            <w:tcW w:w="9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99"/>
              </w:rPr>
              <w:t>22,866,246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7"/>
              </w:rPr>
              <w:t>$ 168,933</w:t>
            </w:r>
          </w:p>
        </w:tc>
        <w:tc>
          <w:tcPr>
            <w:tcW w:w="22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3,046,200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(90,662</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(85,009</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vMerge w:val="restart"/>
          </w:tcPr>
          <w:p>
            <w:pPr>
              <w:jc w:val="center"/>
              <w:ind w:right="16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0"/>
        </w:trPr>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5"/>
          </w:tcPr>
          <w:p>
            <w:pPr>
              <w:ind w:left="460"/>
              <w:spacing w:after="0" w:line="149" w:lineRule="exact"/>
              <w:rPr>
                <w:sz w:val="20"/>
                <w:szCs w:val="20"/>
                <w:color w:val="auto"/>
              </w:rPr>
            </w:pPr>
            <w:r>
              <w:rPr>
                <w:rFonts w:ascii="Arial" w:cs="Arial" w:eastAsia="Arial" w:hAnsi="Arial"/>
                <w:sz w:val="14"/>
                <w:szCs w:val="14"/>
                <w:b w:val="1"/>
                <w:bCs w:val="1"/>
                <w:color w:val="auto"/>
              </w:rPr>
              <w:t>Convertible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5"/>
          </w:tcPr>
          <w:p>
            <w:pPr>
              <w:ind w:left="320"/>
              <w:spacing w:after="0"/>
              <w:rPr>
                <w:sz w:val="20"/>
                <w:szCs w:val="20"/>
                <w:color w:val="auto"/>
              </w:rPr>
            </w:pPr>
            <w:r>
              <w:rPr>
                <w:rFonts w:ascii="Arial" w:cs="Arial" w:eastAsia="Arial" w:hAnsi="Arial"/>
                <w:sz w:val="14"/>
                <w:szCs w:val="14"/>
                <w:b w:val="1"/>
                <w:bCs w:val="1"/>
                <w:color w:val="auto"/>
                <w:w w:val="99"/>
              </w:rPr>
              <w:t>Preferred Stock</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vMerge w:val="continue"/>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Paid-in</w:t>
            </w:r>
          </w:p>
        </w:tc>
        <w:tc>
          <w:tcPr>
            <w:tcW w:w="1380" w:type="dxa"/>
            <w:vAlign w:val="bottom"/>
            <w:gridSpan w:val="4"/>
          </w:tcPr>
          <w:p>
            <w:pPr>
              <w:ind w:left="220"/>
              <w:spacing w:after="0"/>
              <w:rPr>
                <w:sz w:val="20"/>
                <w:szCs w:val="20"/>
                <w:color w:val="auto"/>
              </w:rPr>
            </w:pPr>
            <w:r>
              <w:rPr>
                <w:rFonts w:ascii="Arial" w:cs="Arial" w:eastAsia="Arial" w:hAnsi="Arial"/>
                <w:sz w:val="14"/>
                <w:szCs w:val="14"/>
                <w:b w:val="1"/>
                <w:bCs w:val="1"/>
                <w:color w:val="auto"/>
              </w:rPr>
              <w:t>Comprehensive</w:t>
            </w:r>
          </w:p>
        </w:tc>
        <w:tc>
          <w:tcPr>
            <w:tcW w:w="9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w w:val="94"/>
              </w:rPr>
              <w:t>Amount</w:t>
            </w:r>
          </w:p>
        </w:tc>
        <w:tc>
          <w:tcPr>
            <w:tcW w:w="320" w:type="dxa"/>
            <w:vAlign w:val="bottom"/>
            <w:tcBorders>
              <w:right w:val="single" w:sz="8" w:color="auto"/>
            </w:tcBorders>
            <w:gridSpan w:val="2"/>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3"/>
              </w:rPr>
              <w:t>Loss (Gain)</w:t>
            </w:r>
          </w:p>
        </w:tc>
        <w:tc>
          <w:tcPr>
            <w:tcW w:w="160" w:type="dxa"/>
            <w:vAlign w:val="bottom"/>
          </w:tcPr>
          <w:p>
            <w:pPr>
              <w:spacing w:after="0"/>
              <w:rPr>
                <w:sz w:val="13"/>
                <w:szCs w:val="13"/>
                <w:color w:val="auto"/>
              </w:rPr>
            </w:pPr>
          </w:p>
        </w:tc>
        <w:tc>
          <w:tcPr>
            <w:tcW w:w="820" w:type="dxa"/>
            <w:vAlign w:val="bottom"/>
            <w:gridSpan w:val="2"/>
          </w:tcPr>
          <w:p>
            <w:pPr>
              <w:jc w:val="right"/>
              <w:ind w:right="281"/>
              <w:spacing w:after="0" w:line="155"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141"/>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gridSpan w:val="2"/>
            <w:shd w:val="clear" w:color="auto" w:fill="CFF0FC"/>
          </w:tcPr>
          <w:p>
            <w:pPr>
              <w:jc w:val="right"/>
              <w:ind w:right="277"/>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FF0FC"/>
              <w:right w:val="single" w:sz="8" w:color="auto"/>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44,777,818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469,001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 (109,880)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359,121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60" w:type="dxa"/>
            <w:vAlign w:val="bottom"/>
          </w:tcPr>
          <w:p>
            <w:pPr>
              <w:spacing w:after="0"/>
              <w:rPr>
                <w:sz w:val="19"/>
                <w:szCs w:val="19"/>
                <w:color w:val="auto"/>
              </w:rPr>
            </w:pPr>
          </w:p>
        </w:tc>
        <w:tc>
          <w:tcPr>
            <w:tcW w:w="7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103,351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w w:val="99"/>
              </w:rPr>
              <w:t>Stock-based compensation expense</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80" w:type="dxa"/>
            <w:vAlign w:val="bottom"/>
            <w:tcBorders>
              <w:right w:val="single" w:sz="8" w:color="auto"/>
            </w:tcBorders>
            <w:gridSpan w:val="3"/>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7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(11,602)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(11,602)</w:t>
            </w:r>
          </w:p>
        </w:tc>
        <w:tc>
          <w:tcPr>
            <w:tcW w:w="0" w:type="dxa"/>
            <w:vAlign w:val="bottom"/>
          </w:tcPr>
          <w:p>
            <w:pPr>
              <w:spacing w:after="0"/>
              <w:rPr>
                <w:sz w:val="1"/>
                <w:szCs w:val="1"/>
                <w:color w:val="auto"/>
              </w:rPr>
            </w:pPr>
          </w:p>
        </w:tc>
      </w:tr>
      <w:tr>
        <w:trPr>
          <w:trHeight w:val="215"/>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 on available for sale</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580" w:type="dxa"/>
            <w:vAlign w:val="bottom"/>
            <w:tcBorders>
              <w:right w:val="single" w:sz="8" w:color="auto"/>
            </w:tcBorders>
            <w:gridSpan w:val="3"/>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63"/>
        </w:trPr>
        <w:tc>
          <w:tcPr>
            <w:tcW w:w="2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March 31, 2021</w:t>
            </w:r>
          </w:p>
        </w:tc>
        <w:tc>
          <w:tcPr>
            <w:tcW w:w="160" w:type="dxa"/>
            <w:vAlign w:val="bottom"/>
            <w:tcBorders>
              <w:bottom w:val="single" w:sz="8" w:color="CFF0FC"/>
            </w:tcBorders>
          </w:tcPr>
          <w:p>
            <w:pPr>
              <w:spacing w:after="0"/>
              <w:rPr>
                <w:sz w:val="22"/>
                <w:szCs w:val="22"/>
                <w:color w:val="auto"/>
              </w:rPr>
            </w:pP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460" w:type="dxa"/>
            <w:vAlign w:val="bottom"/>
            <w:tcBorders>
              <w:top w:val="single" w:sz="8" w:color="auto"/>
              <w:bottom w:val="single" w:sz="8" w:color="auto"/>
            </w:tcBorders>
            <w:gridSpan w:val="2"/>
          </w:tcPr>
          <w:p>
            <w:pPr>
              <w:jc w:val="right"/>
              <w:ind w:right="277"/>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FF0FC"/>
              <w:right w:val="single" w:sz="8" w:color="auto"/>
            </w:tcBorders>
            <w:gridSpan w:val="2"/>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44,881,169</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469,790</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(121,482</w:t>
            </w:r>
          </w:p>
        </w:tc>
        <w:tc>
          <w:tcPr>
            <w:tcW w:w="140" w:type="dxa"/>
            <w:vAlign w:val="bottom"/>
            <w:tcBorders>
              <w:bottom w:val="single" w:sz="8" w:color="CFF0FC"/>
            </w:tcBorders>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348,295</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320" w:type="dxa"/>
            <w:vAlign w:val="bottom"/>
            <w:tcBorders>
              <w:right w:val="single" w:sz="8" w:color="auto"/>
            </w:tcBorders>
            <w:gridSpan w:val="2"/>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332,398</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ind w:left="4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w w:val="99"/>
              </w:rPr>
              <w:t>Stock-based compensation expense</w:t>
            </w:r>
          </w:p>
        </w:tc>
        <w:tc>
          <w:tcPr>
            <w:tcW w:w="160" w:type="dxa"/>
            <w:vAlign w:val="bottom"/>
          </w:tcPr>
          <w:p>
            <w:pPr>
              <w:spacing w:after="0"/>
              <w:rPr>
                <w:sz w:val="19"/>
                <w:szCs w:val="19"/>
                <w:color w:val="auto"/>
              </w:rPr>
            </w:pPr>
          </w:p>
        </w:tc>
        <w:tc>
          <w:tcPr>
            <w:tcW w:w="7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80" w:type="dxa"/>
            <w:vAlign w:val="bottom"/>
            <w:tcBorders>
              <w:right w:val="single" w:sz="8" w:color="auto"/>
            </w:tcBorders>
            <w:gridSpan w:val="3"/>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(12,874)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(12,874)</w:t>
            </w:r>
          </w:p>
        </w:tc>
        <w:tc>
          <w:tcPr>
            <w:tcW w:w="0" w:type="dxa"/>
            <w:vAlign w:val="bottom"/>
          </w:tcPr>
          <w:p>
            <w:pPr>
              <w:spacing w:after="0"/>
              <w:rPr>
                <w:sz w:val="1"/>
                <w:szCs w:val="1"/>
                <w:color w:val="auto"/>
              </w:rPr>
            </w:pPr>
          </w:p>
        </w:tc>
      </w:tr>
      <w:tr>
        <w:trPr>
          <w:trHeight w:val="215"/>
        </w:trPr>
        <w:tc>
          <w:tcPr>
            <w:tcW w:w="2920" w:type="dxa"/>
            <w:vAlign w:val="bottom"/>
          </w:tcPr>
          <w:p>
            <w:pPr>
              <w:spacing w:after="0"/>
              <w:rPr>
                <w:sz w:val="20"/>
                <w:szCs w:val="20"/>
                <w:color w:val="auto"/>
              </w:rPr>
            </w:pPr>
            <w:r>
              <w:rPr>
                <w:rFonts w:ascii="Arial" w:cs="Arial" w:eastAsia="Arial" w:hAnsi="Arial"/>
                <w:sz w:val="18"/>
                <w:szCs w:val="18"/>
                <w:color w:val="auto"/>
                <w:w w:val="99"/>
              </w:rPr>
              <w:t>Unrealized gain on available for sale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0"/>
                <w:szCs w:val="20"/>
                <w:color w:val="auto"/>
              </w:rPr>
            </w:pPr>
          </w:p>
        </w:tc>
        <w:tc>
          <w:tcPr>
            <w:tcW w:w="7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gridSpan w:val="2"/>
            <w:shd w:val="clear" w:color="auto" w:fill="CFF0FC"/>
          </w:tcPr>
          <w:p>
            <w:pPr>
              <w:jc w:val="right"/>
              <w:ind w:right="277"/>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FF0FC"/>
              <w:bottom w:val="single" w:sz="8" w:color="CFF0FC"/>
              <w:right w:val="single" w:sz="8" w:color="auto"/>
            </w:tcBorders>
            <w:gridSpan w:val="2"/>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45,213,567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472,196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2"/>
              </w:rPr>
              <w:t>$ (134,356</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337,847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776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(24,476)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(15,221)</w:t>
            </w: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Amortization of premiums on marketable securities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lease expense</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operating assets and liabilities:</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(570)</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(1,205)</w:t>
            </w: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(434)</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r>
      <w:tr>
        <w:trPr>
          <w:trHeight w:val="223"/>
        </w:trPr>
        <w:tc>
          <w:tcPr>
            <w:tcW w:w="77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(22,145)</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(586)</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(185,224)</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(14,618)</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Maturities of marketable securities</w:t>
            </w: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35,360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34,600</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(150,450)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19,931</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Payment of deferred offering costs</w:t>
            </w:r>
          </w:p>
        </w:tc>
        <w:tc>
          <w:tcPr>
            <w:tcW w:w="34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(171,177)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4,773</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361,422</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73,278</w:t>
            </w:r>
          </w:p>
        </w:tc>
        <w:tc>
          <w:tcPr>
            <w:tcW w:w="10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190,245</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78,051</w:t>
            </w:r>
          </w:p>
        </w:tc>
        <w:tc>
          <w:tcPr>
            <w:tcW w:w="10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Cash paid for income tax</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jc w:val="center"/>
        <w:ind w:left="680" w:right="7980" w:hanging="672"/>
        <w:spacing w:after="0" w:line="450" w:lineRule="auto"/>
        <w:tabs>
          <w:tab w:leader="none" w:pos="187" w:val="left"/>
        </w:tabs>
        <w:numPr>
          <w:ilvl w:val="0"/>
          <w:numId w:val="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Formation and Business of the Company Organization and Liquidity</w:t>
      </w:r>
    </w:p>
    <w:p>
      <w:pPr>
        <w:spacing w:after="0" w:line="1" w:lineRule="exact"/>
        <w:rPr>
          <w:sz w:val="20"/>
          <w:szCs w:val="20"/>
          <w:color w:val="auto"/>
        </w:rPr>
      </w:pPr>
    </w:p>
    <w:p>
      <w:pPr>
        <w:ind w:right="440" w:firstLine="673"/>
        <w:spacing w:after="0" w:line="259" w:lineRule="auto"/>
        <w:rPr>
          <w:sz w:val="20"/>
          <w:szCs w:val="20"/>
          <w:color w:val="auto"/>
        </w:rPr>
      </w:pPr>
      <w:r>
        <w:rPr>
          <w:rFonts w:ascii="Arial" w:cs="Arial" w:eastAsia="Arial" w:hAnsi="Arial"/>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clinical-stage oncology company pioneering the discovery and development of small molecule, tumor agnostic therapies designed to target p53 mutations. The Company’s headquarters are currently located in Cranbury, New Jersey.</w:t>
      </w:r>
    </w:p>
    <w:p>
      <w:pPr>
        <w:spacing w:after="0" w:line="79" w:lineRule="exact"/>
        <w:rPr>
          <w:sz w:val="20"/>
          <w:szCs w:val="20"/>
          <w:color w:val="auto"/>
        </w:rPr>
      </w:pPr>
    </w:p>
    <w:p>
      <w:pPr>
        <w:ind w:right="60" w:firstLine="673"/>
        <w:spacing w:after="0" w:line="254"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87" w:lineRule="exact"/>
        <w:rPr>
          <w:sz w:val="20"/>
          <w:szCs w:val="20"/>
          <w:color w:val="auto"/>
        </w:rPr>
      </w:pPr>
    </w:p>
    <w:p>
      <w:pPr>
        <w:ind w:firstLine="673"/>
        <w:spacing w:after="0" w:line="290" w:lineRule="auto"/>
        <w:rPr>
          <w:sz w:val="20"/>
          <w:szCs w:val="20"/>
          <w:color w:val="auto"/>
        </w:rPr>
      </w:pPr>
      <w:r>
        <w:rPr>
          <w:rFonts w:ascii="Arial" w:cs="Arial" w:eastAsia="Arial" w:hAnsi="Arial"/>
          <w:sz w:val="16"/>
          <w:szCs w:val="16"/>
          <w:color w:val="auto"/>
        </w:rPr>
        <w:t>On September 25, 2020, the Company completed an initial public offering (the “IPO”) of 13,529,750 shares of common stock, at a public offering price of $18.00 per share including the exercise in full by the underwriters of their option to purchase up to 1,764,750 additional shares of commons stock, for aggregate gross proceeds of $243,536 and its shares started trading on The Nasdaq Global Select Market under the ticker symbol “PMVP.” The Company received $223,161 in net proceeds after deducting underwriting discounts and commissions and other offering expenses payable by the Company. In connection with the closing of the IPO, all of the Company’s outstanding shares of convertible preferred stock outstanding at the time of the IPO automatically converted into 28,188,110 shares of common stock. On September 18, 2020, the Company amended its certificate of incorporation to effect a 5.2651-for-1 reverse stock split of its issued and outstanding common and convertible preferred stock. The accompanying unaudited condensed financial statements and related notes give retroactive effect to the reverse stock split for all periods presented.</w:t>
      </w:r>
    </w:p>
    <w:p>
      <w:pPr>
        <w:spacing w:after="0" w:line="57" w:lineRule="exact"/>
        <w:rPr>
          <w:sz w:val="20"/>
          <w:szCs w:val="20"/>
          <w:color w:val="auto"/>
        </w:rPr>
      </w:pPr>
    </w:p>
    <w:p>
      <w:pPr>
        <w:ind w:right="20" w:firstLine="673"/>
        <w:spacing w:after="0" w:line="291" w:lineRule="auto"/>
        <w:rPr>
          <w:sz w:val="20"/>
          <w:szCs w:val="20"/>
          <w:color w:val="auto"/>
        </w:rPr>
      </w:pPr>
      <w:r>
        <w:rPr>
          <w:rFonts w:ascii="Arial" w:cs="Arial" w:eastAsia="Arial" w:hAnsi="Arial"/>
          <w:sz w:val="16"/>
          <w:szCs w:val="16"/>
          <w:color w:val="auto"/>
        </w:rPr>
        <w:t>The Company has incurred net losses and negative cash flows from operations since its inception. During the three and six months ended June 30, 2021, the Company incurred a net loss of $12,874 and $24,476, respectively. As of June 30, 2021, the Company used $22,145 of cash for operations. At June 30, 2021, the Company had an accumulated deficit of $134,356. Cash, cash equivalents, and restricted cash at June 30, 2021 were $190,245. Short and long term marketable securities totaled $149,539 at June 30, 2021. Management expects to incur substantial additional operating losses for the next several years and will need to obtain additional debt or equity financings in order to complete development of its products, obtain regulatory approvals, launch and commercialize its products and continue research and development programs. The Company believes it has adequate cash and cash equivalents to operate for at least the next twelve months from the date of issuance of these unaudited condensed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Summary of Significant Accounting Policies</w:t>
      </w:r>
    </w:p>
    <w:p>
      <w:pPr>
        <w:spacing w:after="0" w:line="117" w:lineRule="exact"/>
        <w:rPr>
          <w:sz w:val="20"/>
          <w:szCs w:val="20"/>
          <w:color w:val="auto"/>
        </w:rPr>
      </w:pPr>
    </w:p>
    <w:p>
      <w:pPr>
        <w:ind w:right="160" w:firstLine="673"/>
        <w:spacing w:after="0" w:line="286" w:lineRule="auto"/>
        <w:rPr>
          <w:sz w:val="20"/>
          <w:szCs w:val="20"/>
          <w:color w:val="auto"/>
        </w:rPr>
      </w:pPr>
      <w:r>
        <w:rPr>
          <w:rFonts w:ascii="Arial" w:cs="Arial" w:eastAsia="Arial" w:hAnsi="Arial"/>
          <w:sz w:val="17"/>
          <w:szCs w:val="17"/>
          <w:color w:val="auto"/>
        </w:rPr>
        <w:t>The Company’s significant accounting policies are disclosed in the audited financial statements for the year ended December 31, 2020, included in the Company’s Annual Report on Form 10-K filed with the United States Securities and Exchange Commission (the “SEC”) on March 3, 2021. Since the date of those financial statements, there have been no changes to its significant accounting policies except as noted below.</w:t>
      </w:r>
    </w:p>
    <w:p>
      <w:pPr>
        <w:spacing w:after="0" w:line="273"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20" w:firstLine="673"/>
        <w:spacing w:after="0" w:line="272"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(“GAAP”) for interim financial information and with the interim period reporting requirements of Form 10-Q and Article 10 of Regulation S-X. The condensed balance sheet as of June 30, 2021, the condensed statements of operations and comprehensive loss, and condensed statements of convertible preferred stock and stockholders’ (deficit) equity for the three and six months ended June 30, 2021 and 2020, and the condensed statements of cash flows for the six months ended June 30, 2021 and 2020 are unaudited, but, in the opinion of management, include all adjustments, consisting only of normal recurring adjustments, which we consider necessary for a fair presentation of the financial position, operating results and cash flows for the periods presented. The results for any interim period are not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necessarily indicative of results for the year ending December 31, 2021 or for any other subsequent interim period. The condensed balance sheet at December 31, 2020 has been derived from our audited financial statements.</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0" w:firstLine="673"/>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the fair values of common stock, convertible preferred stock and stock-based compensation. Actual results could differ materially from those estimates.</w:t>
      </w:r>
    </w:p>
    <w:p>
      <w:pPr>
        <w:spacing w:after="0" w:line="30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firstLine="673"/>
        <w:spacing w:after="0" w:line="275" w:lineRule="auto"/>
        <w:rPr>
          <w:sz w:val="20"/>
          <w:szCs w:val="20"/>
          <w:color w:val="auto"/>
        </w:rPr>
      </w:pPr>
      <w:r>
        <w:rPr>
          <w:rFonts w:ascii="Arial" w:cs="Arial" w:eastAsia="Arial" w:hAnsi="Arial"/>
          <w:sz w:val="17"/>
          <w:szCs w:val="17"/>
          <w:color w:val="auto"/>
        </w:rPr>
        <w:t>In September 2020, the Company’s board of directors and stockholders approved an amendment to the Company’s amended and restated certificate of incorporation to affect a 5.2651-for-1 reverse stock split of the Company’s common stock and convertible preferred stock, which was effected on September 18, 2020. The par value of the common stock and convertible preferred stock were not adjusted as a result of the reverse stock split. Accordingly, all common stock, convertible preferred stock, stock options, and related per share amounts in these unaudited condensed financial statements have been retroactively adjusted for all periods presented to give effect to the reverse stock split.</w:t>
      </w:r>
    </w:p>
    <w:p>
      <w:pPr>
        <w:spacing w:after="0" w:line="284"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Management considers all highly liquid investments with original maturities of three months or less to be cash equivalents.</w:t>
      </w:r>
    </w:p>
    <w:p>
      <w:pPr>
        <w:spacing w:after="0" w:line="117" w:lineRule="exact"/>
        <w:rPr>
          <w:sz w:val="20"/>
          <w:szCs w:val="20"/>
          <w:color w:val="auto"/>
        </w:rPr>
      </w:pPr>
    </w:p>
    <w:p>
      <w:pPr>
        <w:ind w:firstLine="673"/>
        <w:spacing w:after="0" w:line="271" w:lineRule="auto"/>
        <w:rPr>
          <w:sz w:val="20"/>
          <w:szCs w:val="20"/>
          <w:color w:val="auto"/>
        </w:rPr>
      </w:pPr>
      <w:r>
        <w:rPr>
          <w:rFonts w:ascii="Arial" w:cs="Arial" w:eastAsia="Arial" w:hAnsi="Arial"/>
          <w:sz w:val="17"/>
          <w:szCs w:val="17"/>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As of June 30, 2021, the company’s long-term marketable debt securities have maturity dates no more than 2 years. The Company’s marketable debt securities are carried at fair value, with unrealized gains and losses, net of taxes, reported as a component of accumulated other comprehensive loss in stockholders’ deficit. Premiums and discounts on marketable debt securities are amortized into earnings over the life of the security. For the three months ended June 30, 2021 and 2020, the Company recorded $165 and $59 of amortization, respectively. For the six months ended June 30, 2021 and 2020, the Company recorded $332 and $147 of amortization, respectively</w:t>
      </w:r>
    </w:p>
    <w:p>
      <w:pPr>
        <w:spacing w:after="0" w:line="70" w:lineRule="exact"/>
        <w:rPr>
          <w:sz w:val="20"/>
          <w:szCs w:val="20"/>
          <w:color w:val="auto"/>
        </w:rPr>
      </w:pPr>
    </w:p>
    <w:p>
      <w:pPr>
        <w:ind w:right="300" w:firstLine="673"/>
        <w:spacing w:after="0" w:line="277" w:lineRule="auto"/>
        <w:rPr>
          <w:sz w:val="20"/>
          <w:szCs w:val="20"/>
          <w:color w:val="auto"/>
        </w:rPr>
      </w:pPr>
      <w:r>
        <w:rPr>
          <w:rFonts w:ascii="Arial" w:cs="Arial" w:eastAsia="Arial" w:hAnsi="Arial"/>
          <w:sz w:val="18"/>
          <w:szCs w:val="18"/>
          <w:color w:val="auto"/>
        </w:rPr>
        <w:t>Restricted cash as of June 30, 2021 included a $822 deposit at the Company’s commercial bank underlying a stand-by letter of credit issued in favor of a landlord (See Note 6) and is classified in current assets.</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100" w:firstLine="673"/>
        <w:spacing w:after="0" w:line="277" w:lineRule="auto"/>
        <w:rPr>
          <w:sz w:val="20"/>
          <w:szCs w:val="20"/>
          <w:color w:val="auto"/>
        </w:rPr>
      </w:pPr>
      <w:r>
        <w:rPr>
          <w:rFonts w:ascii="Arial" w:cs="Arial" w:eastAsia="Arial" w:hAnsi="Arial"/>
          <w:sz w:val="18"/>
          <w:szCs w:val="18"/>
          <w:color w:val="auto"/>
        </w:rPr>
        <w:t>The Company presents comprehensive loss in a single statement within its financial statements. Other comprehensive loss consists of unrealized gains and losses on marketable securities, net of tax.</w:t>
      </w:r>
    </w:p>
    <w:p>
      <w:pPr>
        <w:spacing w:after="0" w:line="346"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231F20"/>
        </w:rPr>
        <w:t>Leases</w:t>
      </w:r>
    </w:p>
    <w:p>
      <w:pPr>
        <w:spacing w:after="0" w:line="131" w:lineRule="exact"/>
        <w:rPr>
          <w:sz w:val="20"/>
          <w:szCs w:val="20"/>
          <w:color w:val="auto"/>
        </w:rPr>
      </w:pPr>
    </w:p>
    <w:p>
      <w:pPr>
        <w:ind w:right="60" w:firstLine="673"/>
        <w:spacing w:after="0" w:line="255" w:lineRule="auto"/>
        <w:rPr>
          <w:sz w:val="20"/>
          <w:szCs w:val="20"/>
          <w:color w:val="auto"/>
        </w:rPr>
      </w:pPr>
      <w:r>
        <w:rPr>
          <w:rFonts w:ascii="Arial" w:cs="Arial" w:eastAsia="Arial" w:hAnsi="Arial"/>
          <w:sz w:val="18"/>
          <w:szCs w:val="18"/>
          <w:color w:val="231F20"/>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assured to exercise. The Company’s policy is to not record leases with a lease term of 12 months or less on its balance sheets. The Company’s only existing leases are for office and laboratory space.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ind w:right="80" w:firstLine="673"/>
        <w:spacing w:after="0" w:line="263" w:lineRule="auto"/>
        <w:rPr>
          <w:sz w:val="20"/>
          <w:szCs w:val="20"/>
          <w:color w:val="auto"/>
        </w:rPr>
      </w:pPr>
      <w:r>
        <w:rPr>
          <w:rFonts w:ascii="Arial" w:cs="Arial" w:eastAsia="Arial" w:hAnsi="Arial"/>
          <w:sz w:val="18"/>
          <w:szCs w:val="18"/>
          <w:color w:val="231F20"/>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76" w:lineRule="exact"/>
        <w:rPr>
          <w:sz w:val="20"/>
          <w:szCs w:val="20"/>
          <w:color w:val="auto"/>
        </w:rPr>
      </w:pPr>
    </w:p>
    <w:p>
      <w:pPr>
        <w:ind w:right="100" w:firstLine="673"/>
        <w:spacing w:after="0" w:line="277" w:lineRule="auto"/>
        <w:rPr>
          <w:sz w:val="20"/>
          <w:szCs w:val="20"/>
          <w:color w:val="auto"/>
        </w:rPr>
      </w:pPr>
      <w:r>
        <w:rPr>
          <w:rFonts w:ascii="Arial" w:cs="Arial" w:eastAsia="Arial" w:hAnsi="Arial"/>
          <w:sz w:val="18"/>
          <w:szCs w:val="18"/>
          <w:color w:val="231F20"/>
        </w:rPr>
        <w:t>Lease expense for operating leases is recognized on a straight-line basis over the reasonably assured lease term based on the total lease payments and is included in operating expense in the statements of operations.</w:t>
      </w:r>
    </w:p>
    <w:p>
      <w:pPr>
        <w:spacing w:after="0" w:line="76" w:lineRule="exact"/>
        <w:rPr>
          <w:sz w:val="20"/>
          <w:szCs w:val="20"/>
          <w:color w:val="auto"/>
        </w:rPr>
      </w:pPr>
    </w:p>
    <w:p>
      <w:pPr>
        <w:ind w:right="200" w:firstLine="673"/>
        <w:spacing w:after="0" w:line="263" w:lineRule="auto"/>
        <w:rPr>
          <w:sz w:val="20"/>
          <w:szCs w:val="20"/>
          <w:color w:val="auto"/>
        </w:rPr>
      </w:pPr>
      <w:r>
        <w:rPr>
          <w:rFonts w:ascii="Arial" w:cs="Arial" w:eastAsia="Arial" w:hAnsi="Arial"/>
          <w:sz w:val="18"/>
          <w:szCs w:val="18"/>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Neither of the Company’s leases contain residual value guarantees.</w:t>
      </w:r>
    </w:p>
    <w:p>
      <w:pPr>
        <w:spacing w:after="0" w:line="89" w:lineRule="exact"/>
        <w:rPr>
          <w:sz w:val="20"/>
          <w:szCs w:val="20"/>
          <w:color w:val="auto"/>
        </w:rPr>
      </w:pPr>
    </w:p>
    <w:p>
      <w:pPr>
        <w:jc w:val="both"/>
        <w:ind w:right="100" w:firstLine="673"/>
        <w:spacing w:after="0" w:line="263" w:lineRule="auto"/>
        <w:rPr>
          <w:sz w:val="20"/>
          <w:szCs w:val="20"/>
          <w:color w:val="auto"/>
        </w:rPr>
      </w:pPr>
      <w:r>
        <w:rPr>
          <w:rFonts w:ascii="Arial" w:cs="Arial" w:eastAsia="Arial" w:hAnsi="Arial"/>
          <w:sz w:val="18"/>
          <w:szCs w:val="18"/>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292"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17" w:lineRule="exact"/>
        <w:rPr>
          <w:sz w:val="20"/>
          <w:szCs w:val="20"/>
          <w:color w:val="auto"/>
        </w:rPr>
      </w:pPr>
    </w:p>
    <w:p>
      <w:pPr>
        <w:ind w:firstLine="673"/>
        <w:spacing w:after="0" w:line="289" w:lineRule="auto"/>
        <w:rPr>
          <w:sz w:val="20"/>
          <w:szCs w:val="20"/>
          <w:color w:val="auto"/>
        </w:rPr>
      </w:pPr>
      <w:r>
        <w:rPr>
          <w:rFonts w:ascii="Arial" w:cs="Arial" w:eastAsia="Arial" w:hAnsi="Arial"/>
          <w:sz w:val="16"/>
          <w:szCs w:val="16"/>
          <w:color w:val="231F20"/>
        </w:rPr>
        <w:t xml:space="preserve">In February 2016, the Financial Accounting Standards Board (the “FASB”) issued ASU No. 2016-02, </w:t>
      </w:r>
      <w:r>
        <w:rPr>
          <w:rFonts w:ascii="Arial" w:cs="Arial" w:eastAsia="Arial" w:hAnsi="Arial"/>
          <w:sz w:val="16"/>
          <w:szCs w:val="16"/>
          <w:i w:val="1"/>
          <w:iCs w:val="1"/>
          <w:color w:val="231F20"/>
        </w:rPr>
        <w:t>Leases</w:t>
      </w:r>
      <w:r>
        <w:rPr>
          <w:rFonts w:ascii="Arial" w:cs="Arial" w:eastAsia="Arial" w:hAnsi="Arial"/>
          <w:sz w:val="16"/>
          <w:szCs w:val="16"/>
          <w:color w:val="231F20"/>
        </w:rPr>
        <w:t xml:space="preserve"> (Topic 842), as amended by multiple standards updates, in order to increase transparency and comparability among organizations by requiring lessees to recognize most leases on their balance sheets and making targeted changes to lessor accounting. The most significant change arising from the new standard is the recognition of right of use assets and lease liabilities for leases classified as operating leases. </w:t>
      </w:r>
      <w:r>
        <w:rPr>
          <w:rFonts w:ascii="Arial" w:cs="Arial" w:eastAsia="Arial" w:hAnsi="Arial"/>
          <w:sz w:val="16"/>
          <w:szCs w:val="16"/>
          <w:color w:val="000000"/>
        </w:rPr>
        <w:t>The right-of-use lease liability for operating leases is based on the net present value of future</w:t>
      </w:r>
      <w:r>
        <w:rPr>
          <w:rFonts w:ascii="Arial" w:cs="Arial" w:eastAsia="Arial" w:hAnsi="Arial"/>
          <w:sz w:val="16"/>
          <w:szCs w:val="16"/>
          <w:color w:val="231F20"/>
        </w:rPr>
        <w:t xml:space="preserve"> </w:t>
      </w:r>
      <w:r>
        <w:rPr>
          <w:rFonts w:ascii="Arial" w:cs="Arial" w:eastAsia="Arial" w:hAnsi="Arial"/>
          <w:sz w:val="16"/>
          <w:szCs w:val="16"/>
          <w:color w:val="000000"/>
        </w:rPr>
        <w:t xml:space="preserve">minimum lease payments. Additionally, the right-of-use asset for operating leases is based on the lease liability adjusted for the reclassification of certain balance sheet amounts such as the long term portion of straight line rent liability and deferred lease incentives. </w:t>
      </w:r>
      <w:r>
        <w:rPr>
          <w:rFonts w:ascii="Arial" w:cs="Arial" w:eastAsia="Arial" w:hAnsi="Arial"/>
          <w:sz w:val="16"/>
          <w:szCs w:val="16"/>
          <w:color w:val="231F20"/>
        </w:rPr>
        <w:t>Under the standard, disclosures are required</w:t>
      </w:r>
      <w:r>
        <w:rPr>
          <w:rFonts w:ascii="Arial" w:cs="Arial" w:eastAsia="Arial" w:hAnsi="Arial"/>
          <w:sz w:val="16"/>
          <w:szCs w:val="16"/>
          <w:color w:val="000000"/>
        </w:rPr>
        <w:t xml:space="preserve"> </w:t>
      </w:r>
      <w:r>
        <w:rPr>
          <w:rFonts w:ascii="Arial" w:cs="Arial" w:eastAsia="Arial" w:hAnsi="Arial"/>
          <w:sz w:val="16"/>
          <w:szCs w:val="16"/>
          <w:color w:val="231F20"/>
        </w:rPr>
        <w:t>to enable financial statement users to assess the amount, timing, and uncertainty of cash flows arising from the leases. Companies are also required to recognize and measure leases existing at, or entered into after, the adoption date using a modified retrospective approach, with certain practical expedients available. Comparative periods prior to adoption have not been retrospectively adjusted.</w:t>
      </w:r>
    </w:p>
    <w:p>
      <w:pPr>
        <w:spacing w:after="0" w:line="72" w:lineRule="exact"/>
        <w:rPr>
          <w:sz w:val="20"/>
          <w:szCs w:val="20"/>
          <w:color w:val="auto"/>
        </w:rPr>
      </w:pPr>
    </w:p>
    <w:p>
      <w:pPr>
        <w:ind w:right="80" w:firstLine="673"/>
        <w:spacing w:after="0" w:line="291" w:lineRule="auto"/>
        <w:rPr>
          <w:sz w:val="20"/>
          <w:szCs w:val="20"/>
          <w:color w:val="auto"/>
        </w:rPr>
      </w:pPr>
      <w:r>
        <w:rPr>
          <w:rFonts w:ascii="Arial" w:cs="Arial" w:eastAsia="Arial" w:hAnsi="Arial"/>
          <w:sz w:val="16"/>
          <w:szCs w:val="16"/>
          <w:color w:val="231F20"/>
        </w:rPr>
        <w:t>The Company adopted the standard effective January 1, 2021 using the modified retrospective transition method. Upon adoption, the Company applied the package of practical expedients that allows an entity to not reassess (i) whether any expired or existing contracts are or contain leases, (ii) lease classification for any expired or existing leases and (iii) initial direct costs for any expired or existing leases. The Company elected the practical expedient not to apply the recognition requirements to short-term leases, defined as a lease that at the commencement date has a lease term of 12 months or less that does not include a purchase option to purchase the underlying asset that the Company is reasonably certain to exercise. Furthermore, the Company has elected the practical expedient to not separate lease and non-lease components by class of underlying asset for its existing leases. As the Company enters into new leases, it will continue to evaluate this accounting policy for any new classes of underlying assets.</w:t>
      </w:r>
    </w:p>
    <w:p>
      <w:pPr>
        <w:spacing w:after="0" w:line="72" w:lineRule="exact"/>
        <w:rPr>
          <w:sz w:val="20"/>
          <w:szCs w:val="20"/>
          <w:color w:val="auto"/>
        </w:rPr>
      </w:pPr>
    </w:p>
    <w:p>
      <w:pPr>
        <w:ind w:right="340" w:firstLine="673"/>
        <w:spacing w:after="0" w:line="277" w:lineRule="auto"/>
        <w:rPr>
          <w:sz w:val="20"/>
          <w:szCs w:val="20"/>
          <w:color w:val="auto"/>
        </w:rPr>
      </w:pPr>
      <w:r>
        <w:rPr>
          <w:rFonts w:ascii="Arial" w:cs="Arial" w:eastAsia="Arial" w:hAnsi="Arial"/>
          <w:sz w:val="18"/>
          <w:szCs w:val="18"/>
          <w:color w:val="231F20"/>
        </w:rPr>
        <w:t>Upon adoption, the Company recorded ROU assets of $970 and lease liabilities of $1,129. The standard did not have a material impact on the statement of operations or statement of cash flows.</w:t>
      </w:r>
    </w:p>
    <w:p>
      <w:pPr>
        <w:spacing w:after="0" w:line="76" w:lineRule="exact"/>
        <w:rPr>
          <w:sz w:val="20"/>
          <w:szCs w:val="20"/>
          <w:color w:val="auto"/>
        </w:rPr>
      </w:pPr>
    </w:p>
    <w:p>
      <w:pPr>
        <w:ind w:right="80" w:firstLine="673"/>
        <w:spacing w:after="0" w:line="257" w:lineRule="auto"/>
        <w:rPr>
          <w:sz w:val="20"/>
          <w:szCs w:val="20"/>
          <w:color w:val="auto"/>
        </w:rPr>
      </w:pPr>
      <w:r>
        <w:rPr>
          <w:rFonts w:ascii="Arial" w:cs="Arial" w:eastAsia="Arial" w:hAnsi="Arial"/>
          <w:sz w:val="18"/>
          <w:szCs w:val="18"/>
          <w:color w:val="auto"/>
        </w:rPr>
        <w:t>In December 2019, the FASB issued ASU 2019-12, Income Taxes – Simplifying the Accounting for Income Taxes. The new guidance simplifies the accounting for income taxes by removing several exceptions in the current standard and adding guidance to reduce complexity in certain areas, such as requiring that an entity reflect the effect of an enacted change in tax laws or rates in the annual effective tax rate computation in the interim period that includes the enactment date. The Company adopted this standard as of January 1, 2021. The adoption did not have a material impact on the Company’s financial statements.</w:t>
      </w:r>
    </w:p>
    <w:p>
      <w:pPr>
        <w:spacing w:after="0" w:line="296"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ind w:right="20" w:firstLine="673"/>
        <w:spacing w:after="0" w:line="25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of cash and cash equivalents and marketable securities. Cash and cash equivalents include a checking account and a money market account held at one financial institution. At times, such deposits may be in excess of insured limits. The Company has not experienced any losses on its deposits of cash and cash equivalents. The Company’s marketable debt securities are carried at fair value and include any unrealized gains and losses. Any investments with unrealized losses are considered to be temporarily impaired.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9" w:lineRule="exact"/>
        <w:rPr>
          <w:sz w:val="20"/>
          <w:szCs w:val="20"/>
          <w:color w:val="auto"/>
        </w:rPr>
      </w:pPr>
    </w:p>
    <w:p>
      <w:pPr>
        <w:ind w:right="120" w:firstLine="673"/>
        <w:spacing w:after="0" w:line="259"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79" w:lineRule="exact"/>
        <w:rPr>
          <w:sz w:val="20"/>
          <w:szCs w:val="20"/>
          <w:color w:val="auto"/>
        </w:rPr>
      </w:pPr>
    </w:p>
    <w:p>
      <w:pPr>
        <w:jc w:val="both"/>
        <w:ind w:right="260" w:firstLine="673"/>
        <w:spacing w:after="0" w:line="311" w:lineRule="auto"/>
        <w:rPr>
          <w:sz w:val="20"/>
          <w:szCs w:val="20"/>
          <w:color w:val="auto"/>
        </w:rPr>
      </w:pPr>
      <w:r>
        <w:rPr>
          <w:rFonts w:ascii="Arial" w:cs="Arial" w:eastAsia="Arial" w:hAnsi="Arial"/>
          <w:sz w:val="16"/>
          <w:szCs w:val="16"/>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41" w:lineRule="exact"/>
        <w:rPr>
          <w:sz w:val="20"/>
          <w:szCs w:val="20"/>
          <w:color w:val="auto"/>
        </w:rPr>
      </w:pPr>
    </w:p>
    <w:p>
      <w:pPr>
        <w:ind w:firstLine="673"/>
        <w:spacing w:after="0" w:line="273" w:lineRule="auto"/>
        <w:rPr>
          <w:sz w:val="20"/>
          <w:szCs w:val="20"/>
          <w:color w:val="auto"/>
        </w:rPr>
      </w:pPr>
      <w:r>
        <w:rPr>
          <w:rFonts w:ascii="Arial" w:cs="Arial" w:eastAsia="Arial" w:hAnsi="Arial"/>
          <w:sz w:val="17"/>
          <w:szCs w:val="17"/>
          <w:color w:val="auto"/>
        </w:rPr>
        <w:t>In January 2020, the World Health Organization declared the outbreak of a novel coronavirus (COVID-19) as a “Public Health Emergency of International Concern,” which continues to spread throughout the world. The outbreak has adversely impacted global commercial activity and contributed to significant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full extent to which the COVID-19 outbreak will impact its operations or financial results remains uncertain.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Fair Value Measurements</w:t>
      </w:r>
    </w:p>
    <w:p>
      <w:pPr>
        <w:spacing w:after="0" w:line="117" w:lineRule="exact"/>
        <w:rPr>
          <w:sz w:val="20"/>
          <w:szCs w:val="20"/>
          <w:color w:val="auto"/>
        </w:rPr>
      </w:pPr>
    </w:p>
    <w:p>
      <w:pPr>
        <w:ind w:right="200" w:firstLine="673"/>
        <w:spacing w:after="0" w:line="342" w:lineRule="auto"/>
        <w:rPr>
          <w:sz w:val="20"/>
          <w:szCs w:val="20"/>
          <w:color w:val="auto"/>
        </w:rPr>
      </w:pPr>
      <w:r>
        <w:rPr>
          <w:rFonts w:ascii="Arial" w:cs="Arial" w:eastAsia="Arial" w:hAnsi="Arial"/>
          <w:sz w:val="16"/>
          <w:szCs w:val="16"/>
          <w:color w:val="auto"/>
        </w:rPr>
        <w:t>The Company’s financial assets consist of money market funds, U.S. government debt securities and corporate debt securities. The following tables show the Company’s cash equivalents and available-for-sale securities’ carrying amounts and fair values at June 30, 2021 and December 31, 2020: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2"/>
              </w:rPr>
              <w:t>As of June 30, 2021 (unaudited)</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81"/>
              <w:spacing w:after="0" w:line="133" w:lineRule="exact"/>
              <w:rPr>
                <w:sz w:val="20"/>
                <w:szCs w:val="20"/>
                <w:color w:val="auto"/>
              </w:rPr>
            </w:pPr>
            <w:r>
              <w:rPr>
                <w:rFonts w:ascii="Arial" w:cs="Arial" w:eastAsia="Arial" w:hAnsi="Arial"/>
                <w:sz w:val="14"/>
                <w:szCs w:val="14"/>
                <w:b w:val="1"/>
                <w:bCs w:val="1"/>
                <w:color w:val="auto"/>
                <w:w w:val="93"/>
              </w:rPr>
              <w:t>Quoted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2"/>
              </w:rPr>
              <w:t>priced 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0"/>
              </w:rPr>
              <w:t>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3"/>
              </w:rPr>
              <w:t>markets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77"/>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83"/>
        </w:trPr>
        <w:tc>
          <w:tcPr>
            <w:tcW w:w="3600" w:type="dxa"/>
            <w:vAlign w:val="bottom"/>
            <w:tcBorders>
              <w:top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Financial assets</w:t>
            </w:r>
          </w:p>
        </w:tc>
        <w:tc>
          <w:tcPr>
            <w:tcW w:w="16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38,865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38,865</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38,865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securities</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263,799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263,799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263,799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Government securities</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32,740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32,740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32,740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financial assets</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335,404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335,404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296,539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center"/>
              <w:ind w:left="678"/>
              <w:spacing w:after="0"/>
              <w:rPr>
                <w:sz w:val="20"/>
                <w:szCs w:val="20"/>
                <w:color w:val="auto"/>
              </w:rPr>
            </w:pPr>
            <w:r>
              <w:rPr>
                <w:rFonts w:ascii="Arial" w:cs="Arial" w:eastAsia="Arial" w:hAnsi="Arial"/>
                <w:sz w:val="14"/>
                <w:szCs w:val="14"/>
                <w:b w:val="1"/>
                <w:bCs w:val="1"/>
                <w:color w:val="auto"/>
                <w:w w:val="92"/>
              </w:rPr>
              <w:t>As of December 31, 2020</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81"/>
              <w:spacing w:after="0" w:line="133" w:lineRule="exact"/>
              <w:rPr>
                <w:sz w:val="20"/>
                <w:szCs w:val="20"/>
                <w:color w:val="auto"/>
              </w:rPr>
            </w:pPr>
            <w:r>
              <w:rPr>
                <w:rFonts w:ascii="Arial" w:cs="Arial" w:eastAsia="Arial" w:hAnsi="Arial"/>
                <w:sz w:val="14"/>
                <w:szCs w:val="14"/>
                <w:b w:val="1"/>
                <w:bCs w:val="1"/>
                <w:color w:val="auto"/>
                <w:w w:val="93"/>
              </w:rPr>
              <w:t>Quoted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1"/>
              </w:rPr>
              <w:t>Priced 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0"/>
              </w:rPr>
              <w:t>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77"/>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860" w:type="dxa"/>
            <w:vAlign w:val="bottom"/>
          </w:tcPr>
          <w:p>
            <w:pPr>
              <w:jc w:val="center"/>
              <w:ind w:right="81"/>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3"/>
        </w:trPr>
        <w:tc>
          <w:tcPr>
            <w:tcW w:w="3600" w:type="dxa"/>
            <w:vAlign w:val="bottom"/>
            <w:tcBorders>
              <w:top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Financial assets</w:t>
            </w:r>
          </w:p>
        </w:tc>
        <w:tc>
          <w:tcPr>
            <w:tcW w:w="16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auto"/>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240,033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240,033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240,033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securities</w:t>
            </w:r>
          </w:p>
        </w:tc>
        <w:tc>
          <w:tcPr>
            <w:tcW w:w="1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00" w:type="dxa"/>
            <w:vAlign w:val="bottom"/>
            <w:gridSpan w:val="2"/>
          </w:tcPr>
          <w:p>
            <w:pPr>
              <w:ind w:left="500"/>
              <w:spacing w:after="0"/>
              <w:rPr>
                <w:sz w:val="20"/>
                <w:szCs w:val="20"/>
                <w:color w:val="auto"/>
              </w:rPr>
            </w:pPr>
            <w:r>
              <w:rPr>
                <w:rFonts w:ascii="Arial" w:cs="Arial" w:eastAsia="Arial" w:hAnsi="Arial"/>
                <w:sz w:val="18"/>
                <w:szCs w:val="18"/>
                <w:color w:val="auto"/>
              </w:rPr>
              <w:t>Total financial assets</w:t>
            </w:r>
          </w:p>
        </w:tc>
        <w:tc>
          <w:tcPr>
            <w:tcW w:w="1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360,041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360,041</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240,033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120,008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firstLine="673"/>
        <w:spacing w:after="0" w:line="275" w:lineRule="auto"/>
        <w:rPr>
          <w:sz w:val="20"/>
          <w:szCs w:val="20"/>
          <w:color w:val="auto"/>
        </w:rPr>
      </w:pPr>
      <w:r>
        <w:rPr>
          <w:rFonts w:ascii="Arial" w:cs="Arial" w:eastAsia="Arial" w:hAnsi="Arial"/>
          <w:sz w:val="17"/>
          <w:szCs w:val="17"/>
          <w:b w:val="1"/>
          <w:bCs w:val="1"/>
          <w:i w:val="1"/>
          <w:iCs w:val="1"/>
          <w:color w:val="auto"/>
        </w:rPr>
        <w:t xml:space="preserve">Cash Equivalents </w:t>
      </w:r>
      <w:r>
        <w:rPr>
          <w:rFonts w:ascii="Arial" w:cs="Arial" w:eastAsia="Arial" w:hAnsi="Arial"/>
          <w:sz w:val="17"/>
          <w:szCs w:val="17"/>
          <w:color w:val="auto"/>
        </w:rPr>
        <w:t>— Cash equivalents of $185.9 million as of June 30, 2021 consisted of money market funds of $38.9 million and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debt securities of $147.0 million. Cash equivalents of $360.0 million as of December 31, 2020 consisted of money market funds of $240.0 million and corporate debt securities of $120.0 million. Money market funds are classified within level 1 of the fair value hierarchy because they are valued using quoted market prices in active markets, whereas corporate debt securities are classified within level 2 of the fair value hierarchy because they are valued using inputs other than quoted prices that are observable for the asset or liability either directly or indirectly.</w:t>
      </w:r>
    </w:p>
    <w:p>
      <w:pPr>
        <w:spacing w:after="0" w:line="68" w:lineRule="exact"/>
        <w:rPr>
          <w:sz w:val="20"/>
          <w:szCs w:val="20"/>
          <w:color w:val="auto"/>
        </w:rPr>
      </w:pPr>
    </w:p>
    <w:p>
      <w:pPr>
        <w:ind w:right="100" w:firstLine="673"/>
        <w:spacing w:after="0" w:line="277" w:lineRule="auto"/>
        <w:rPr>
          <w:sz w:val="20"/>
          <w:szCs w:val="20"/>
          <w:color w:val="auto"/>
        </w:rPr>
      </w:pPr>
      <w:r>
        <w:rPr>
          <w:rFonts w:ascii="Arial" w:cs="Arial" w:eastAsia="Arial" w:hAnsi="Arial"/>
          <w:sz w:val="18"/>
          <w:szCs w:val="18"/>
          <w:b w:val="1"/>
          <w:bCs w:val="1"/>
          <w:i w:val="1"/>
          <w:iCs w:val="1"/>
          <w:color w:val="auto"/>
        </w:rPr>
        <w:t xml:space="preserve">Marketable Securities </w:t>
      </w:r>
      <w:r>
        <w:rPr>
          <w:rFonts w:ascii="Arial" w:cs="Arial" w:eastAsia="Arial" w:hAnsi="Arial"/>
          <w:sz w:val="18"/>
          <w:szCs w:val="18"/>
          <w:color w:val="auto"/>
        </w:rPr>
        <w:t>— There were $128.9 million current marketable securities and $20.6 million noncurrent marketable securities as of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2021. There were no marketable securities as of December 31, 2020.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Property and Equipment,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Machinery &amp; equipment</w:t>
            </w:r>
          </w:p>
        </w:tc>
        <w:tc>
          <w:tcPr>
            <w:tcW w:w="27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2,243</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Computers</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Furniture &amp; fixtures</w:t>
            </w:r>
          </w:p>
        </w:tc>
        <w:tc>
          <w:tcPr>
            <w:tcW w:w="2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Assets not placed in service</w:t>
            </w:r>
          </w:p>
        </w:tc>
        <w:tc>
          <w:tcPr>
            <w:tcW w:w="2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2,965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(1,712)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7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80" w:firstLine="673"/>
        <w:spacing w:after="0" w:line="277" w:lineRule="auto"/>
        <w:rPr>
          <w:sz w:val="20"/>
          <w:szCs w:val="20"/>
          <w:color w:val="auto"/>
        </w:rPr>
      </w:pPr>
      <w:r>
        <w:rPr>
          <w:rFonts w:ascii="Arial" w:cs="Arial" w:eastAsia="Arial" w:hAnsi="Arial"/>
          <w:sz w:val="18"/>
          <w:szCs w:val="18"/>
          <w:color w:val="auto"/>
        </w:rPr>
        <w:t>Depreciation expense for the three months ended June 30, 2021 and 2020 was $71 and $87, respectively. Depreciation expense for the six months ended June 30, 2021 and 2020 was $150 and $182,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Accrued Expenses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Accrued expenses consist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20" w:type="dxa"/>
            <w:vAlign w:val="bottom"/>
          </w:tcPr>
          <w:p>
            <w:pPr>
              <w:jc w:val="center"/>
              <w:ind w:left="347"/>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3500" w:type="dxa"/>
            <w:vAlign w:val="bottom"/>
            <w:gridSpan w:val="2"/>
          </w:tcPr>
          <w:p>
            <w:pPr>
              <w:jc w:val="center"/>
              <w:ind w:left="2708"/>
              <w:spacing w:after="0" w:line="149" w:lineRule="exact"/>
              <w:rPr>
                <w:sz w:val="20"/>
                <w:szCs w:val="20"/>
                <w:color w:val="auto"/>
              </w:rPr>
            </w:pPr>
            <w:r>
              <w:rPr>
                <w:rFonts w:ascii="Arial" w:cs="Arial" w:eastAsia="Arial" w:hAnsi="Arial"/>
                <w:sz w:val="14"/>
                <w:szCs w:val="14"/>
                <w:b w:val="1"/>
                <w:bCs w:val="1"/>
                <w:color w:val="auto"/>
                <w:w w:val="89"/>
              </w:rPr>
              <w:t>2021</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40" w:type="dxa"/>
            <w:vAlign w:val="bottom"/>
            <w:tcBorders>
              <w:bottom w:val="single" w:sz="8" w:color="CFF0FC"/>
            </w:tcBorders>
          </w:tcPr>
          <w:p>
            <w:pPr>
              <w:spacing w:after="0"/>
              <w:rPr>
                <w:sz w:val="14"/>
                <w:szCs w:val="14"/>
                <w:color w:val="auto"/>
              </w:rPr>
            </w:pPr>
          </w:p>
        </w:tc>
        <w:tc>
          <w:tcPr>
            <w:tcW w:w="238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ind w:left="327"/>
              <w:spacing w:after="0"/>
              <w:rPr>
                <w:sz w:val="20"/>
                <w:szCs w:val="20"/>
                <w:color w:val="auto"/>
              </w:rPr>
            </w:pPr>
            <w:r>
              <w:rPr>
                <w:rFonts w:ascii="Arial" w:cs="Arial" w:eastAsia="Arial" w:hAnsi="Arial"/>
                <w:sz w:val="14"/>
                <w:szCs w:val="14"/>
                <w:b w:val="1"/>
                <w:bCs w:val="1"/>
                <w:color w:val="auto"/>
                <w:w w:val="94"/>
              </w:rPr>
              <w:t>(unaudited)</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23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2,160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Accrued legal and professional services</w:t>
            </w:r>
          </w:p>
        </w:tc>
        <w:tc>
          <w:tcPr>
            <w:tcW w:w="2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 costs</w:t>
            </w:r>
          </w:p>
        </w:tc>
        <w:tc>
          <w:tcPr>
            <w:tcW w:w="23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1,703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liabilities</w:t>
            </w:r>
          </w:p>
        </w:tc>
        <w:tc>
          <w:tcPr>
            <w:tcW w:w="23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38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4,458</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8580"/>
        <w:spacing w:after="0"/>
        <w:rPr>
          <w:sz w:val="20"/>
          <w:szCs w:val="20"/>
          <w:color w:val="auto"/>
        </w:rPr>
      </w:pPr>
      <w:r>
        <w:rPr>
          <w:rFonts w:ascii="Arial" w:cs="Arial" w:eastAsia="Arial" w:hAnsi="Arial"/>
          <w:sz w:val="15"/>
          <w:szCs w:val="15"/>
          <w:b w:val="1"/>
          <w:bCs w:val="1"/>
          <w:i w:val="1"/>
          <w:iCs w:val="1"/>
          <w:color w:val="auto"/>
        </w:rPr>
        <w:t>6. Commitments and Contingencies</w:t>
      </w:r>
    </w:p>
    <w:p>
      <w:pPr>
        <w:spacing w:after="0" w:line="152" w:lineRule="exact"/>
        <w:rPr>
          <w:sz w:val="20"/>
          <w:szCs w:val="20"/>
          <w:color w:val="auto"/>
        </w:rPr>
      </w:pPr>
    </w:p>
    <w:p>
      <w:pPr>
        <w:jc w:val="center"/>
        <w:ind w:right="858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80" w:firstLine="673"/>
        <w:spacing w:after="0" w:line="263" w:lineRule="auto"/>
        <w:rPr>
          <w:sz w:val="20"/>
          <w:szCs w:val="20"/>
          <w:color w:val="auto"/>
        </w:rPr>
      </w:pPr>
      <w:r>
        <w:rPr>
          <w:rFonts w:ascii="Arial" w:cs="Arial" w:eastAsia="Arial" w:hAnsi="Arial"/>
          <w:sz w:val="18"/>
          <w:szCs w:val="18"/>
          <w:color w:val="auto"/>
        </w:rPr>
        <w:t>In June 2015, the Company executed a noncancelable operating lease for approximately 13,000 square feet of laboratory, research and development, and office space in Cranbury, New Jersey for an initial base rent of $20.00 per square foot. This location operates as the Company’s current headquarters.</w:t>
      </w:r>
    </w:p>
    <w:p>
      <w:pPr>
        <w:spacing w:after="0" w:line="76" w:lineRule="exact"/>
        <w:rPr>
          <w:sz w:val="20"/>
          <w:szCs w:val="20"/>
          <w:color w:val="auto"/>
        </w:rPr>
      </w:pPr>
    </w:p>
    <w:p>
      <w:pPr>
        <w:ind w:right="80" w:firstLine="673"/>
        <w:spacing w:after="0" w:line="257" w:lineRule="auto"/>
        <w:rPr>
          <w:sz w:val="20"/>
          <w:szCs w:val="20"/>
          <w:color w:val="auto"/>
        </w:rPr>
      </w:pPr>
      <w:r>
        <w:rPr>
          <w:rFonts w:ascii="Arial" w:cs="Arial" w:eastAsia="Arial" w:hAnsi="Arial"/>
          <w:sz w:val="18"/>
          <w:szCs w:val="18"/>
          <w:color w:val="auto"/>
        </w:rPr>
        <w:t>In June 2017, the Company obtained an additional noncancelable operating lease for about 6,000 square feet of laboratory space in the same corporate center at an initial rental rate at $22.00 per square foot. As a result of the additional space, both leases will expire June 2022, with an option to renew for an additional five-year term. Both leases include a common area maintenance expense for $3.00 per square foot with an increase of 3% on the first month of each calendar year during the lease term and a management fee of 3% of the base rent. The Company is obligated to pay, on a pro-rata basis, real estate taxes and operating costs related to the premises.</w:t>
      </w:r>
    </w:p>
    <w:p>
      <w:pPr>
        <w:spacing w:after="0" w:line="93" w:lineRule="exact"/>
        <w:rPr>
          <w:sz w:val="20"/>
          <w:szCs w:val="20"/>
          <w:color w:val="auto"/>
        </w:rPr>
      </w:pPr>
    </w:p>
    <w:p>
      <w:pPr>
        <w:ind w:right="20" w:firstLine="673"/>
        <w:spacing w:after="0" w:line="255" w:lineRule="auto"/>
        <w:rPr>
          <w:sz w:val="20"/>
          <w:szCs w:val="20"/>
          <w:color w:val="auto"/>
        </w:rPr>
      </w:pPr>
      <w:r>
        <w:rPr>
          <w:rFonts w:ascii="Arial" w:cs="Arial" w:eastAsia="Arial" w:hAnsi="Arial"/>
          <w:sz w:val="18"/>
          <w:szCs w:val="18"/>
          <w:color w:val="auto"/>
        </w:rPr>
        <w:t>In August 2018, the Company executed two noncancelable operating leases. One lease for approximately 6,000 square feet for vivarium, laboratory and general office space in South Brunswick, New Jersey. The initial annual base rent is $15.50 per square foot and a management fee of 3% of the base rent. The Company is obligated to pay, on a pro-rata basis, insurance premiums, real estate taxes and operating costs related to the premises. The lease expires in July 2022, with an option for additional five-year term. The second lease is for office space in Lexington, Massachusetts, that expires August 2023, with an option to renew for a one-time, three-year extension. The initial annual base rent is $28.50 per square foot and will increase $1.00 per square foot at the end of each rent year.</w:t>
      </w:r>
    </w:p>
    <w:p>
      <w:pPr>
        <w:spacing w:after="0" w:line="111" w:lineRule="exact"/>
        <w:rPr>
          <w:sz w:val="20"/>
          <w:szCs w:val="20"/>
          <w:color w:val="auto"/>
        </w:rPr>
      </w:pPr>
    </w:p>
    <w:p>
      <w:pPr>
        <w:ind w:right="100" w:firstLine="673"/>
        <w:spacing w:after="0" w:line="277" w:lineRule="auto"/>
        <w:rPr>
          <w:sz w:val="20"/>
          <w:szCs w:val="20"/>
          <w:color w:val="auto"/>
        </w:rPr>
      </w:pPr>
      <w:r>
        <w:rPr>
          <w:rFonts w:ascii="Arial" w:cs="Arial" w:eastAsia="Arial" w:hAnsi="Arial"/>
          <w:sz w:val="18"/>
          <w:szCs w:val="18"/>
          <w:color w:val="auto"/>
        </w:rPr>
        <w:t>In 2018, the company received a lease incentive for the buildout of 420 Bedford Street in Lexington, MA. The Company was given an allowance for $165 on behalf of the lessor for construction of office space. Management recognizes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allowance as a lease incentive in its Right-of-Use asset and straight-lines the allowance throughout the term of the lease. As of June 30, 2021, the remaining rent incentive pertaining to the Lexington, MA lease totaled $83.</w:t>
      </w:r>
    </w:p>
    <w:p>
      <w:pPr>
        <w:spacing w:after="0" w:line="76" w:lineRule="exact"/>
        <w:rPr>
          <w:sz w:val="20"/>
          <w:szCs w:val="20"/>
          <w:color w:val="auto"/>
        </w:rPr>
      </w:pPr>
    </w:p>
    <w:p>
      <w:pPr>
        <w:ind w:right="40" w:firstLine="673"/>
        <w:spacing w:after="0" w:line="272" w:lineRule="auto"/>
        <w:rPr>
          <w:sz w:val="20"/>
          <w:szCs w:val="20"/>
          <w:color w:val="auto"/>
        </w:rPr>
      </w:pPr>
      <w:r>
        <w:rPr>
          <w:rFonts w:ascii="Arial" w:cs="Arial" w:eastAsia="Arial" w:hAnsi="Arial"/>
          <w:sz w:val="17"/>
          <w:szCs w:val="17"/>
          <w:color w:val="auto"/>
        </w:rPr>
        <w:t>In January 2021, the Company signed a lease for 50,581 square feet of office and laboratory space at One Research Way in Princeton, New Jersey. The Company intends to complete the relocation of their headquarters from Cranbury, NJ to One Research Way in Princeton NJ in early 2022. That lease term extends through 2032, has a five-year extension option, and is intended to replace our two existing facilities and the space is expected to become the Company’s future headquarters. Payment under this lease will total $19.6 million through May 2032. The Company received a lease incentive of $4.1 million from the lessor for a buildout of laboratory, vivarium, and office space, to be reimbursed to the Company in 2021 and 2022. Management estimated the timing and amounts of reimbursements and included them as a reduction of lease payments when initially measuring the lease liability and right-of-use asset upon commencement. As of June 30, 2021, no reimbursements were received.</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components of lease cost for the three and six months ended June 30, 2021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71"/>
        </w:trPr>
        <w:tc>
          <w:tcPr>
            <w:tcW w:w="4300" w:type="dxa"/>
            <w:vAlign w:val="bottom"/>
            <w:vMerge w:val="continue"/>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2"/>
              </w:rPr>
              <w:t>Ended June 30, 2021</w:t>
            </w:r>
          </w:p>
        </w:tc>
        <w:tc>
          <w:tcPr>
            <w:tcW w:w="160" w:type="dxa"/>
            <w:vAlign w:val="bottom"/>
          </w:tcPr>
          <w:p>
            <w:pPr>
              <w:spacing w:after="0"/>
              <w:rPr>
                <w:sz w:val="14"/>
                <w:szCs w:val="14"/>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Ended June 30, 2021</w:t>
            </w:r>
          </w:p>
        </w:tc>
        <w:tc>
          <w:tcPr>
            <w:tcW w:w="0" w:type="dxa"/>
            <w:vAlign w:val="bottom"/>
          </w:tcPr>
          <w:p>
            <w:pPr>
              <w:spacing w:after="0"/>
              <w:rPr>
                <w:sz w:val="1"/>
                <w:szCs w:val="1"/>
                <w:color w:val="auto"/>
              </w:rPr>
            </w:pPr>
          </w:p>
        </w:tc>
      </w:tr>
      <w:tr>
        <w:trPr>
          <w:trHeight w:val="223"/>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8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7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Variable lease cost</w:t>
            </w:r>
          </w:p>
        </w:tc>
        <w:tc>
          <w:tcPr>
            <w:tcW w:w="28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7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2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7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0" w:firstLine="673"/>
        <w:spacing w:after="0" w:line="277" w:lineRule="auto"/>
        <w:rPr>
          <w:sz w:val="20"/>
          <w:szCs w:val="20"/>
          <w:color w:val="auto"/>
        </w:rPr>
      </w:pPr>
      <w:r>
        <w:rPr>
          <w:rFonts w:ascii="Arial" w:cs="Arial" w:eastAsia="Arial" w:hAnsi="Arial"/>
          <w:sz w:val="18"/>
          <w:szCs w:val="18"/>
          <w:color w:val="auto"/>
        </w:rPr>
        <w:t>Amounts reported in the consolidated balance sheets for leases where the Company is the lessee as of June 30, 2021 were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20"/>
                <w:szCs w:val="20"/>
                <w:color w:val="auto"/>
              </w:rPr>
            </w:pPr>
            <w:r>
              <w:rPr>
                <w:rFonts w:ascii="Arial" w:cs="Arial" w:eastAsia="Arial" w:hAnsi="Arial"/>
                <w:sz w:val="14"/>
                <w:szCs w:val="14"/>
                <w:b w:val="1"/>
                <w:bCs w:val="1"/>
                <w:color w:val="auto"/>
              </w:rPr>
              <w:t>Operating Leases:</w:t>
            </w:r>
          </w:p>
        </w:tc>
        <w:tc>
          <w:tcPr>
            <w:tcW w:w="360" w:type="dxa"/>
            <w:vAlign w:val="bottom"/>
          </w:tcPr>
          <w:p>
            <w:pPr>
              <w:spacing w:after="0"/>
              <w:rPr>
                <w:sz w:val="14"/>
                <w:szCs w:val="14"/>
                <w:color w:val="auto"/>
              </w:rPr>
            </w:pPr>
          </w:p>
        </w:tc>
        <w:tc>
          <w:tcPr>
            <w:tcW w:w="24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7"/>
              </w:rPr>
              <w:t>Six Months Ended June 6/30/2021</w:t>
            </w:r>
          </w:p>
        </w:tc>
      </w:tr>
      <w:tr>
        <w:trPr>
          <w:trHeight w:val="223"/>
        </w:trPr>
        <w:tc>
          <w:tcPr>
            <w:tcW w:w="8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 operating leases</w:t>
            </w:r>
          </w:p>
        </w:tc>
        <w:tc>
          <w:tcPr>
            <w:tcW w:w="3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10,763</w:t>
            </w:r>
          </w:p>
        </w:tc>
        <w:tc>
          <w:tcPr>
            <w:tcW w:w="180" w:type="dxa"/>
            <w:vAlign w:val="bottom"/>
            <w:tcBorders>
              <w:top w:val="single" w:sz="8" w:color="CCEEFF"/>
            </w:tcBorders>
            <w:shd w:val="clear" w:color="auto" w:fill="CCEEFF"/>
          </w:tcPr>
          <w:p>
            <w:pPr>
              <w:spacing w:after="0"/>
              <w:rPr>
                <w:sz w:val="19"/>
                <w:szCs w:val="19"/>
                <w:color w:val="auto"/>
              </w:rPr>
            </w:pPr>
          </w:p>
        </w:tc>
      </w:tr>
      <w:tr>
        <w:trPr>
          <w:trHeight w:val="230"/>
        </w:trPr>
        <w:tc>
          <w:tcPr>
            <w:tcW w:w="8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w:t>
            </w:r>
          </w:p>
        </w:tc>
        <w:tc>
          <w:tcPr>
            <w:tcW w:w="1340" w:type="dxa"/>
            <w:vAlign w:val="bottom"/>
            <w:gridSpan w:val="2"/>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80" w:type="dxa"/>
            <w:vAlign w:val="bottom"/>
            <w:shd w:val="clear" w:color="auto" w:fill="CCEEFF"/>
          </w:tcPr>
          <w:p>
            <w:pPr>
              <w:spacing w:after="0"/>
              <w:rPr>
                <w:sz w:val="19"/>
                <w:szCs w:val="19"/>
                <w:color w:val="auto"/>
              </w:rPr>
            </w:pPr>
          </w:p>
        </w:tc>
      </w:tr>
      <w:tr>
        <w:trPr>
          <w:trHeight w:val="229"/>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liabilities, non-current</w:t>
            </w:r>
          </w:p>
        </w:tc>
        <w:tc>
          <w:tcPr>
            <w:tcW w:w="3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10,559</w:t>
            </w:r>
          </w:p>
        </w:tc>
        <w:tc>
          <w:tcPr>
            <w:tcW w:w="180" w:type="dxa"/>
            <w:vAlign w:val="bottom"/>
            <w:tcBorders>
              <w:bottom w:val="single" w:sz="8" w:color="CCEEFF"/>
            </w:tcBorders>
          </w:tcPr>
          <w:p>
            <w:pPr>
              <w:spacing w:after="0"/>
              <w:rPr>
                <w:sz w:val="19"/>
                <w:szCs w:val="19"/>
                <w:color w:val="auto"/>
              </w:rPr>
            </w:pPr>
          </w:p>
        </w:tc>
      </w:tr>
      <w:tr>
        <w:trPr>
          <w:trHeight w:val="223"/>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11,235</w:t>
            </w:r>
          </w:p>
        </w:tc>
        <w:tc>
          <w:tcPr>
            <w:tcW w:w="180" w:type="dxa"/>
            <w:vAlign w:val="bottom"/>
            <w:shd w:val="clear" w:color="auto" w:fill="CCEEFF"/>
          </w:tcPr>
          <w:p>
            <w:pPr>
              <w:spacing w:after="0"/>
              <w:rPr>
                <w:sz w:val="19"/>
                <w:szCs w:val="19"/>
                <w:color w:val="auto"/>
              </w:rPr>
            </w:pPr>
          </w:p>
        </w:tc>
      </w:tr>
      <w:tr>
        <w:trPr>
          <w:trHeight w:val="229"/>
        </w:trPr>
        <w:tc>
          <w:tcPr>
            <w:tcW w:w="8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80" w:type="dxa"/>
            <w:vAlign w:val="bottom"/>
            <w:shd w:val="clear" w:color="auto" w:fill="CCEEFF"/>
          </w:tcPr>
          <w:p>
            <w:pPr>
              <w:spacing w:after="0"/>
              <w:rPr>
                <w:sz w:val="19"/>
                <w:szCs w:val="19"/>
                <w:color w:val="auto"/>
              </w:rPr>
            </w:pP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5.75%</w:t>
            </w:r>
          </w:p>
        </w:tc>
      </w:tr>
      <w:tr>
        <w:trPr>
          <w:trHeight w:val="458"/>
        </w:trPr>
        <w:tc>
          <w:tcPr>
            <w:tcW w:w="8400" w:type="dxa"/>
            <w:vAlign w:val="bottom"/>
          </w:tcPr>
          <w:p>
            <w:pPr>
              <w:ind w:left="680"/>
              <w:spacing w:after="0"/>
              <w:rPr>
                <w:sz w:val="20"/>
                <w:szCs w:val="20"/>
                <w:color w:val="auto"/>
              </w:rPr>
            </w:pPr>
            <w:r>
              <w:rPr>
                <w:rFonts w:ascii="Arial" w:cs="Arial" w:eastAsia="Arial" w:hAnsi="Arial"/>
                <w:sz w:val="18"/>
                <w:szCs w:val="18"/>
                <w:color w:val="auto"/>
                <w:w w:val="94"/>
              </w:rPr>
              <w:t>Other information related to leases for the six months ended June 30, 2021 is as follows, in thousands: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840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500" w:type="dxa"/>
            <w:vAlign w:val="bottom"/>
            <w:gridSpan w:val="2"/>
          </w:tcPr>
          <w:p>
            <w:pPr>
              <w:spacing w:after="0"/>
              <w:rPr>
                <w:sz w:val="18"/>
                <w:szCs w:val="18"/>
                <w:color w:val="auto"/>
              </w:rPr>
            </w:pPr>
          </w:p>
        </w:tc>
      </w:tr>
      <w:tr>
        <w:trPr>
          <w:trHeight w:val="229"/>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340" w:type="dxa"/>
            <w:vAlign w:val="bottom"/>
            <w:gridSpan w:val="2"/>
            <w:shd w:val="clear" w:color="auto" w:fill="CCEEFF"/>
          </w:tcPr>
          <w:p>
            <w:pPr>
              <w:jc w:val="right"/>
              <w:ind w:right="736"/>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w:t>
            </w: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10,314</w:t>
            </w:r>
          </w:p>
        </w:tc>
      </w:tr>
    </w:tbl>
    <w:p>
      <w:pPr>
        <w:spacing w:after="0" w:line="228" w:lineRule="exact"/>
        <w:rPr>
          <w:sz w:val="20"/>
          <w:szCs w:val="20"/>
          <w:color w:val="auto"/>
        </w:rPr>
      </w:pPr>
    </w:p>
    <w:p>
      <w:pPr>
        <w:ind w:right="180" w:firstLine="673"/>
        <w:spacing w:after="0" w:line="277" w:lineRule="auto"/>
        <w:rPr>
          <w:sz w:val="20"/>
          <w:szCs w:val="20"/>
          <w:color w:val="auto"/>
        </w:rPr>
      </w:pPr>
      <w:r>
        <w:rPr>
          <w:rFonts w:ascii="Arial" w:cs="Arial" w:eastAsia="Arial" w:hAnsi="Arial"/>
          <w:sz w:val="18"/>
          <w:szCs w:val="18"/>
          <w:color w:val="auto"/>
        </w:rPr>
        <w:t>Future minimum lease payments, net of reimbursements, remaining as of June 30, 2021 under operating leases by fiscal year were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20"/>
                <w:szCs w:val="20"/>
                <w:color w:val="auto"/>
              </w:rPr>
            </w:pPr>
            <w:r>
              <w:rPr>
                <w:rFonts w:ascii="Arial" w:cs="Arial" w:eastAsia="Arial" w:hAnsi="Arial"/>
                <w:sz w:val="14"/>
                <w:szCs w:val="14"/>
                <w:b w:val="1"/>
                <w:bCs w:val="1"/>
                <w:color w:val="auto"/>
              </w:rPr>
              <w:t>Fiscal year</w:t>
            </w:r>
          </w:p>
        </w:tc>
        <w:tc>
          <w:tcPr>
            <w:tcW w:w="4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38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2022</w:t>
            </w:r>
          </w:p>
        </w:tc>
        <w:tc>
          <w:tcPr>
            <w:tcW w:w="4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2024</w:t>
            </w:r>
          </w:p>
        </w:tc>
        <w:tc>
          <w:tcPr>
            <w:tcW w:w="4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4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Less: Amounts representing imputed interest</w:t>
            </w:r>
          </w:p>
        </w:tc>
        <w:tc>
          <w:tcPr>
            <w:tcW w:w="4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(5,436)</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44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4440" w:type="dxa"/>
            <w:vAlign w:val="bottom"/>
            <w:vMerge w:val="restart"/>
          </w:tcPr>
          <w:p>
            <w:pPr>
              <w:jc w:val="right"/>
              <w:ind w:right="3030"/>
              <w:spacing w:after="0"/>
              <w:rPr>
                <w:sz w:val="20"/>
                <w:szCs w:val="20"/>
                <w:color w:val="auto"/>
              </w:rPr>
            </w:pPr>
            <w:r>
              <w:rPr>
                <w:rFonts w:ascii="Arial" w:cs="Arial" w:eastAsia="Arial" w:hAnsi="Arial"/>
                <w:sz w:val="18"/>
                <w:szCs w:val="18"/>
                <w:color w:val="auto"/>
              </w:rPr>
              <w:t>10</w:t>
            </w: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40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firstLine="673"/>
        <w:spacing w:after="0" w:line="277" w:lineRule="auto"/>
        <w:rPr>
          <w:sz w:val="20"/>
          <w:szCs w:val="20"/>
          <w:color w:val="auto"/>
        </w:rPr>
      </w:pPr>
      <w:r>
        <w:rPr>
          <w:rFonts w:ascii="Arial" w:cs="Arial" w:eastAsia="Arial" w:hAnsi="Arial"/>
          <w:sz w:val="18"/>
          <w:szCs w:val="18"/>
          <w:color w:val="auto"/>
        </w:rPr>
        <w:t>Rent expense recorded during the three months ended June 30, 2021 and 2020 was $531 and $140, respectively. Rent expense recorded during the six months ended June 30, 2021 and 2020 was $668 and $326, respectively.</w:t>
      </w:r>
    </w:p>
    <w:p>
      <w:pPr>
        <w:spacing w:after="0" w:line="76" w:lineRule="exact"/>
        <w:rPr>
          <w:sz w:val="20"/>
          <w:szCs w:val="20"/>
          <w:color w:val="auto"/>
        </w:rPr>
      </w:pPr>
    </w:p>
    <w:p>
      <w:pPr>
        <w:ind w:right="120" w:firstLine="673"/>
        <w:spacing w:after="0" w:line="259" w:lineRule="auto"/>
        <w:rPr>
          <w:sz w:val="20"/>
          <w:szCs w:val="20"/>
          <w:color w:val="auto"/>
        </w:rPr>
      </w:pPr>
      <w:r>
        <w:rPr>
          <w:rFonts w:ascii="Arial" w:cs="Arial" w:eastAsia="Arial" w:hAnsi="Arial"/>
          <w:sz w:val="18"/>
          <w:szCs w:val="18"/>
          <w:color w:val="auto"/>
        </w:rPr>
        <w:t>The company currently subleases the office space at 420 Bedford Street in Lexington, MA to another company. This sublease agreement expires in August, 2023. In April 2021, the company entered into a sublease agreement with the previous tenants of the office space at 1 Research Way in Princeton, NJ, to begin April 2021 and end June 2021. As of June 30, 2021, sublease income for the Company was $85 and $60 for the three and six months ended, respectively.</w:t>
      </w:r>
    </w:p>
    <w:p>
      <w:pPr>
        <w:spacing w:after="0" w:line="376"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80" w:firstLine="673"/>
        <w:spacing w:after="0" w:line="308" w:lineRule="auto"/>
        <w:rPr>
          <w:sz w:val="20"/>
          <w:szCs w:val="20"/>
          <w:color w:val="auto"/>
        </w:rPr>
      </w:pPr>
      <w:r>
        <w:rPr>
          <w:rFonts w:ascii="Arial" w:cs="Arial" w:eastAsia="Arial" w:hAnsi="Arial"/>
          <w:sz w:val="17"/>
          <w:szCs w:val="17"/>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At June 30, 2021, there were no purchase commitments with third-party suppliers.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Stockholders’ Equity</w:t>
      </w:r>
    </w:p>
    <w:p>
      <w:pPr>
        <w:spacing w:after="0" w:line="117" w:lineRule="exact"/>
        <w:rPr>
          <w:sz w:val="20"/>
          <w:szCs w:val="20"/>
          <w:color w:val="auto"/>
        </w:rPr>
      </w:pPr>
    </w:p>
    <w:p>
      <w:pPr>
        <w:ind w:right="20" w:firstLine="673"/>
        <w:spacing w:after="0" w:line="286" w:lineRule="auto"/>
        <w:rPr>
          <w:sz w:val="20"/>
          <w:szCs w:val="20"/>
          <w:color w:val="auto"/>
        </w:rPr>
      </w:pPr>
      <w:r>
        <w:rPr>
          <w:rFonts w:ascii="Arial" w:cs="Arial" w:eastAsia="Arial" w:hAnsi="Arial"/>
          <w:sz w:val="17"/>
          <w:szCs w:val="17"/>
          <w:color w:val="auto"/>
        </w:rPr>
        <w:t>The Company is authorized to issue up to 1,000,000,000 shares of common stock with a par value of $0.00001 per share and 5,000,000 shares of preferred stock with a par value of $0.00001 per share. At June 30, 2021 and December 31, 2020, there were 45,213,567 and 44,777,818 shares of common stock issued and outstanding, respectively, and no shares of preferred stock issued and outstanding.</w:t>
      </w:r>
    </w:p>
    <w:p>
      <w:pPr>
        <w:spacing w:after="0" w:line="57" w:lineRule="exact"/>
        <w:rPr>
          <w:sz w:val="20"/>
          <w:szCs w:val="20"/>
          <w:color w:val="auto"/>
        </w:rPr>
      </w:pPr>
    </w:p>
    <w:p>
      <w:pPr>
        <w:ind w:right="560" w:firstLine="673"/>
        <w:spacing w:after="0" w:line="277" w:lineRule="auto"/>
        <w:rPr>
          <w:sz w:val="20"/>
          <w:szCs w:val="20"/>
          <w:color w:val="auto"/>
        </w:rPr>
      </w:pPr>
      <w:r>
        <w:rPr>
          <w:rFonts w:ascii="Arial" w:cs="Arial" w:eastAsia="Arial" w:hAnsi="Arial"/>
          <w:sz w:val="18"/>
          <w:szCs w:val="18"/>
          <w:color w:val="auto"/>
        </w:rPr>
        <w:t>Common stockholders are entitled to receive dividends if and when declared by the board of directors subject to the rights of any preferred stockholders. As of June 30, 2021, no dividends on common stock had been declared by the Company.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Stock Plan</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firstLine="673"/>
        <w:spacing w:after="0" w:line="270" w:lineRule="auto"/>
        <w:rPr>
          <w:sz w:val="20"/>
          <w:szCs w:val="20"/>
          <w:color w:val="auto"/>
        </w:rPr>
      </w:pPr>
      <w:r>
        <w:rPr>
          <w:rFonts w:ascii="Arial" w:cs="Arial" w:eastAsia="Arial" w:hAnsi="Arial"/>
          <w:sz w:val="17"/>
          <w:szCs w:val="17"/>
          <w:color w:val="auto"/>
        </w:rPr>
        <w:t>The 2020 Equity Incentive Plan (the “2020 Plan”) was approved by the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is 4,406,374, which shall be increased, upon approval by the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2021, the board of directors exercised its discretion under clause (iii) to increase the number of shares of common stock reserved for issuance under the 2020 Plan by a lesser amount of 1,343,334 shares, effective as of January 1, 2021. As of June 30, 2021, there were 3,696,692 shares available for issuance under the 2020 Plan.</w:t>
      </w:r>
    </w:p>
    <w:p>
      <w:pPr>
        <w:spacing w:after="0" w:line="289"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right="140" w:firstLine="673"/>
        <w:spacing w:after="0" w:line="255" w:lineRule="auto"/>
        <w:rPr>
          <w:sz w:val="20"/>
          <w:szCs w:val="20"/>
          <w:color w:val="auto"/>
        </w:rPr>
      </w:pPr>
      <w:r>
        <w:rPr>
          <w:rFonts w:ascii="Arial" w:cs="Arial" w:eastAsia="Arial" w:hAnsi="Arial"/>
          <w:sz w:val="18"/>
          <w:szCs w:val="18"/>
          <w:color w:val="auto"/>
        </w:rPr>
        <w:t>The 2020 Employee Stock Purchase Plan (the “2020 ESPP”) was approved by the board of directors on September 24, 2020. A total of 400,572 shares of common stock were initially reserved for issuance under this plan, which shall be increased, upon approval by the board of directors, on January 1, 2021 to the lesser of (i) 801,504 shares of common stock, (ii) 1% of the outstanding shares of common stock on the last day of the immediately preceding fiscal year, or (iii) an amount determined by the board of directors or any of its committees no later than the last day of the immediately preceding fiscal year. On May 20, 2021, employees exercised their right to purchase 36,586 shares under the 2020 ESPP. As of June 30, 2021, 36,586 shares are issued or outstanding under the 2020 ESPP.</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35"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2013 Equity Incentive Plan</w:t>
      </w:r>
    </w:p>
    <w:p>
      <w:pPr>
        <w:spacing w:after="0" w:line="117" w:lineRule="exact"/>
        <w:rPr>
          <w:sz w:val="20"/>
          <w:szCs w:val="20"/>
          <w:color w:val="auto"/>
        </w:rPr>
      </w:pPr>
    </w:p>
    <w:p>
      <w:pPr>
        <w:ind w:right="160" w:firstLine="673"/>
        <w:spacing w:after="0" w:line="259" w:lineRule="auto"/>
        <w:rPr>
          <w:sz w:val="20"/>
          <w:szCs w:val="20"/>
          <w:color w:val="auto"/>
        </w:rPr>
      </w:pPr>
      <w:r>
        <w:rPr>
          <w:rFonts w:ascii="Arial" w:cs="Arial" w:eastAsia="Arial" w:hAnsi="Arial"/>
          <w:sz w:val="18"/>
          <w:szCs w:val="18"/>
          <w:color w:val="auto"/>
        </w:rPr>
        <w:t>In 2013, the Company adopted the 2013 Stock Plan (the “2013 Plan”). On September 24, 2020, this plan was replaced by the 2020 Plan, and future issuances of incentive instruments will be governed by that plan. Subject to the provisions of the 2020 Plan, the Company had the option to either forfeit or repurchase remaining shares under the 2013 Equity Incentive Plan on or after the registration date. The Company chose to forfeit the remaining shares.</w:t>
      </w:r>
    </w:p>
    <w:p>
      <w:pPr>
        <w:spacing w:after="0" w:line="295"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This table summarizes option activity for the six-month period ended June 30,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4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center"/>
              <w:ind w:left="5"/>
              <w:spacing w:after="0" w:line="147" w:lineRule="exact"/>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4700" w:type="dxa"/>
            <w:vAlign w:val="bottom"/>
          </w:tcPr>
          <w:p>
            <w:pPr>
              <w:spacing w:after="0"/>
              <w:rPr>
                <w:sz w:val="14"/>
                <w:szCs w:val="14"/>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1640" w:type="dxa"/>
            <w:vAlign w:val="bottom"/>
            <w:gridSpan w:val="2"/>
          </w:tcPr>
          <w:p>
            <w:pPr>
              <w:jc w:val="center"/>
              <w:ind w:left="5"/>
              <w:spacing w:after="0"/>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Intrinsic</w:t>
            </w:r>
          </w:p>
        </w:tc>
      </w:tr>
      <w:tr>
        <w:trPr>
          <w:trHeight w:val="162"/>
        </w:trPr>
        <w:tc>
          <w:tcPr>
            <w:tcW w:w="4700" w:type="dxa"/>
            <w:vAlign w:val="bottom"/>
          </w:tcPr>
          <w:p>
            <w:pPr>
              <w:spacing w:after="0"/>
              <w:rPr>
                <w:sz w:val="14"/>
                <w:szCs w:val="14"/>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Available</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2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r>
      <w:tr>
        <w:trPr>
          <w:trHeight w:val="171"/>
        </w:trPr>
        <w:tc>
          <w:tcPr>
            <w:tcW w:w="4700" w:type="dxa"/>
            <w:vAlign w:val="bottom"/>
          </w:tcPr>
          <w:p>
            <w:pPr>
              <w:spacing w:after="0"/>
              <w:rPr>
                <w:sz w:val="14"/>
                <w:szCs w:val="14"/>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for Grant</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Options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4"/>
                <w:szCs w:val="14"/>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000s)</w:t>
            </w:r>
          </w:p>
        </w:tc>
      </w:tr>
      <w:tr>
        <w:trPr>
          <w:trHeight w:val="223"/>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Balances,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4,609,725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4,090,970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385"/>
              <w:spacing w:after="0"/>
              <w:rPr>
                <w:sz w:val="20"/>
                <w:szCs w:val="20"/>
                <w:color w:val="auto"/>
              </w:rPr>
            </w:pPr>
            <w:r>
              <w:rPr>
                <w:rFonts w:ascii="Arial" w:cs="Arial" w:eastAsia="Arial" w:hAnsi="Arial"/>
                <w:sz w:val="18"/>
                <w:szCs w:val="18"/>
                <w:color w:val="auto"/>
              </w:rPr>
              <w:t>7.13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238,792</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Options retired under 2013 Equity Plan</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(237,542)</w:t>
            </w: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(703,274)</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703,274</w:t>
            </w:r>
          </w:p>
        </w:tc>
        <w:tc>
          <w:tcPr>
            <w:tcW w:w="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Options forfeited / cancelled</w:t>
            </w:r>
          </w:p>
        </w:tc>
        <w:tc>
          <w:tcPr>
            <w:tcW w:w="1120" w:type="dxa"/>
            <w:vAlign w:val="bottom"/>
          </w:tcPr>
          <w:p>
            <w:pPr>
              <w:jc w:val="right"/>
              <w:spacing w:after="0"/>
              <w:rPr>
                <w:sz w:val="20"/>
                <w:szCs w:val="20"/>
                <w:color w:val="auto"/>
              </w:rPr>
            </w:pPr>
            <w:r>
              <w:rPr>
                <w:rFonts w:ascii="Arial" w:cs="Arial" w:eastAsia="Arial" w:hAnsi="Arial"/>
                <w:sz w:val="18"/>
                <w:szCs w:val="18"/>
                <w:color w:val="auto"/>
              </w:rPr>
              <w:t>27,783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(27,783)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(399,163)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Balances June 30, 2021 (unaudited)</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3,696,692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4,367,298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640" w:type="dxa"/>
            <w:vAlign w:val="bottom"/>
            <w:gridSpan w:val="2"/>
          </w:tcPr>
          <w:p>
            <w:pPr>
              <w:jc w:val="right"/>
              <w:ind w:right="385"/>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116,310</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June 30, 2021</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70"/>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Vested and expected to vest</w:t>
            </w:r>
          </w:p>
        </w:tc>
        <w:tc>
          <w:tcPr>
            <w:tcW w:w="1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4,367,298</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7.55</w:t>
            </w:r>
          </w:p>
        </w:tc>
        <w:tc>
          <w:tcPr>
            <w:tcW w:w="1640" w:type="dxa"/>
            <w:vAlign w:val="bottom"/>
            <w:tcBorders>
              <w:bottom w:val="single" w:sz="8" w:color="CCEEFF"/>
            </w:tcBorders>
            <w:gridSpan w:val="2"/>
          </w:tcPr>
          <w:p>
            <w:pPr>
              <w:jc w:val="right"/>
              <w:ind w:right="385"/>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116,310</w:t>
            </w:r>
          </w:p>
        </w:tc>
        <w:tc>
          <w:tcPr>
            <w:tcW w:w="100" w:type="dxa"/>
            <w:vAlign w:val="bottom"/>
            <w:tcBorders>
              <w:bottom w:val="single" w:sz="8" w:color="CCEEFF"/>
            </w:tcBorders>
          </w:tcPr>
          <w:p>
            <w:pPr>
              <w:spacing w:after="0"/>
              <w:rPr>
                <w:sz w:val="23"/>
                <w:szCs w:val="23"/>
                <w:color w:val="auto"/>
              </w:rPr>
            </w:pPr>
          </w:p>
        </w:tc>
      </w:tr>
      <w:tr>
        <w:trPr>
          <w:trHeight w:val="210"/>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Exercisable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2,524,025</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640" w:type="dxa"/>
            <w:vAlign w:val="bottom"/>
            <w:tcBorders>
              <w:bottom w:val="single" w:sz="8" w:color="CCEEFF"/>
            </w:tcBorders>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5.91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673"/>
        <w:spacing w:after="0" w:line="277" w:lineRule="auto"/>
        <w:rPr>
          <w:sz w:val="20"/>
          <w:szCs w:val="20"/>
          <w:color w:val="auto"/>
        </w:rPr>
      </w:pPr>
      <w:r>
        <w:rPr>
          <w:rFonts w:ascii="Arial" w:cs="Arial" w:eastAsia="Arial" w:hAnsi="Arial"/>
          <w:sz w:val="18"/>
          <w:szCs w:val="18"/>
          <w:color w:val="auto"/>
        </w:rPr>
        <w:t>At June 30, 2021, the total compensation cost related to nonvested awards not yet recognized is $17,526. The weighted-average period over which the nonvested awards is expected to be recognized is 3.4 years.</w:t>
      </w:r>
    </w:p>
    <w:p>
      <w:pPr>
        <w:spacing w:after="0" w:line="62" w:lineRule="exact"/>
        <w:rPr>
          <w:sz w:val="20"/>
          <w:szCs w:val="20"/>
          <w:color w:val="auto"/>
        </w:rPr>
      </w:pPr>
    </w:p>
    <w:p>
      <w:pPr>
        <w:ind w:right="460" w:firstLine="673"/>
        <w:spacing w:after="0" w:line="342" w:lineRule="auto"/>
        <w:rPr>
          <w:sz w:val="20"/>
          <w:szCs w:val="20"/>
          <w:color w:val="auto"/>
        </w:rPr>
      </w:pPr>
      <w:r>
        <w:rPr>
          <w:rFonts w:ascii="Arial" w:cs="Arial" w:eastAsia="Arial" w:hAnsi="Arial"/>
          <w:sz w:val="16"/>
          <w:szCs w:val="16"/>
          <w:color w:val="auto"/>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Six Months Ended</w:t>
            </w:r>
          </w:p>
        </w:tc>
        <w:tc>
          <w:tcPr>
            <w:tcW w:w="2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r>
      <w:tr>
        <w:trPr>
          <w:trHeight w:val="162"/>
        </w:trPr>
        <w:tc>
          <w:tcPr>
            <w:tcW w:w="36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2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620" w:type="dxa"/>
            <w:vAlign w:val="bottom"/>
          </w:tcPr>
          <w:p>
            <w:pPr>
              <w:spacing w:after="0"/>
              <w:rPr>
                <w:sz w:val="14"/>
                <w:szCs w:val="14"/>
                <w:color w:val="auto"/>
              </w:rPr>
            </w:pPr>
          </w:p>
        </w:tc>
        <w:tc>
          <w:tcPr>
            <w:tcW w:w="4840" w:type="dxa"/>
            <w:vAlign w:val="bottom"/>
            <w:gridSpan w:val="2"/>
          </w:tcPr>
          <w:p>
            <w:pPr>
              <w:jc w:val="center"/>
              <w:ind w:left="3554"/>
              <w:spacing w:after="0"/>
              <w:rPr>
                <w:sz w:val="20"/>
                <w:szCs w:val="20"/>
                <w:color w:val="auto"/>
              </w:rPr>
            </w:pPr>
            <w:r>
              <w:rPr>
                <w:rFonts w:ascii="Arial" w:cs="Arial" w:eastAsia="Arial" w:hAnsi="Arial"/>
                <w:sz w:val="14"/>
                <w:szCs w:val="14"/>
                <w:b w:val="1"/>
                <w:bCs w:val="1"/>
                <w:color w:val="auto"/>
                <w:w w:val="89"/>
              </w:rPr>
              <w:t>2021</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r>
      <w:tr>
        <w:trPr>
          <w:trHeight w:val="223"/>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14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ind w:left="422"/>
              <w:spacing w:after="0"/>
              <w:rPr>
                <w:sz w:val="20"/>
                <w:szCs w:val="20"/>
                <w:color w:val="auto"/>
              </w:rPr>
            </w:pPr>
            <w:r>
              <w:rPr>
                <w:rFonts w:ascii="Arial" w:cs="Arial" w:eastAsia="Arial" w:hAnsi="Arial"/>
                <w:sz w:val="18"/>
                <w:szCs w:val="18"/>
                <w:color w:val="auto"/>
                <w:w w:val="91"/>
              </w:rPr>
              <w:t>0.35% - 1.22%</w:t>
            </w:r>
          </w:p>
        </w:tc>
        <w:tc>
          <w:tcPr>
            <w:tcW w:w="5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0.31% - 1.51%</w:t>
            </w:r>
          </w:p>
        </w:tc>
        <w:tc>
          <w:tcPr>
            <w:tcW w:w="120" w:type="dxa"/>
            <w:vAlign w:val="bottom"/>
            <w:tcBorders>
              <w:top w:val="single" w:sz="8" w:color="CCEEFF"/>
            </w:tcBorders>
            <w:shd w:val="clear" w:color="auto" w:fill="CCEEFF"/>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4840" w:type="dxa"/>
            <w:vAlign w:val="bottom"/>
            <w:gridSpan w:val="2"/>
          </w:tcPr>
          <w:p>
            <w:pPr>
              <w:jc w:val="center"/>
              <w:ind w:left="3534"/>
              <w:spacing w:after="0"/>
              <w:rPr>
                <w:sz w:val="20"/>
                <w:szCs w:val="20"/>
                <w:color w:val="auto"/>
              </w:rPr>
            </w:pPr>
            <w:r>
              <w:rPr>
                <w:rFonts w:ascii="Arial" w:cs="Arial" w:eastAsia="Arial" w:hAnsi="Arial"/>
                <w:sz w:val="18"/>
                <w:szCs w:val="18"/>
                <w:color w:val="auto"/>
                <w:w w:val="90"/>
              </w:rPr>
              <w:t>5.50 - 6.43</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4.92 - 6.40</w:t>
            </w:r>
          </w:p>
        </w:tc>
        <w:tc>
          <w:tcPr>
            <w:tcW w:w="120" w:type="dxa"/>
            <w:vAlign w:val="bottom"/>
          </w:tcPr>
          <w:p>
            <w:pPr>
              <w:spacing w:after="0"/>
              <w:rPr>
                <w:sz w:val="19"/>
                <w:szCs w:val="19"/>
                <w:color w:val="auto"/>
              </w:rPr>
            </w:pP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840" w:type="dxa"/>
            <w:vAlign w:val="bottom"/>
            <w:gridSpan w:val="2"/>
            <w:shd w:val="clear" w:color="auto" w:fill="CCEEFF"/>
          </w:tcPr>
          <w:p>
            <w:pPr>
              <w:jc w:val="center"/>
              <w:ind w:left="3554"/>
              <w:spacing w:after="0"/>
              <w:rPr>
                <w:sz w:val="20"/>
                <w:szCs w:val="20"/>
                <w:color w:val="auto"/>
              </w:rPr>
            </w:pPr>
            <w:r>
              <w:rPr>
                <w:rFonts w:ascii="Arial" w:cs="Arial" w:eastAsia="Arial" w:hAnsi="Arial"/>
                <w:sz w:val="18"/>
                <w:szCs w:val="18"/>
                <w:color w:val="auto"/>
                <w:w w:val="92"/>
              </w:rPr>
              <w:t>0%</w:t>
            </w: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shd w:val="clear" w:color="auto" w:fill="CCEEFF"/>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Expected volatility</w:t>
            </w:r>
          </w:p>
        </w:tc>
        <w:tc>
          <w:tcPr>
            <w:tcW w:w="5360" w:type="dxa"/>
            <w:vAlign w:val="bottom"/>
            <w:gridSpan w:val="3"/>
          </w:tcPr>
          <w:p>
            <w:pPr>
              <w:jc w:val="center"/>
              <w:ind w:left="3014"/>
              <w:spacing w:after="0"/>
              <w:rPr>
                <w:sz w:val="20"/>
                <w:szCs w:val="20"/>
                <w:color w:val="auto"/>
              </w:rPr>
            </w:pPr>
            <w:r>
              <w:rPr>
                <w:rFonts w:ascii="Arial" w:cs="Arial" w:eastAsia="Arial" w:hAnsi="Arial"/>
                <w:sz w:val="18"/>
                <w:szCs w:val="18"/>
                <w:color w:val="auto"/>
                <w:w w:val="91"/>
              </w:rPr>
              <w:t>79.00% - 79.90%</w:t>
            </w:r>
          </w:p>
        </w:tc>
        <w:tc>
          <w:tcPr>
            <w:tcW w:w="2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70.70% - 77.60%</w:t>
            </w:r>
          </w:p>
        </w:tc>
        <w:tc>
          <w:tcPr>
            <w:tcW w:w="120" w:type="dxa"/>
            <w:vAlign w:val="bottom"/>
          </w:tcPr>
          <w:p>
            <w:pPr>
              <w:spacing w:after="0"/>
              <w:rPr>
                <w:sz w:val="20"/>
                <w:szCs w:val="20"/>
                <w:color w:val="auto"/>
              </w:rPr>
            </w:pPr>
          </w:p>
        </w:tc>
      </w:tr>
      <w:tr>
        <w:trPr>
          <w:trHeight w:val="444"/>
        </w:trPr>
        <w:tc>
          <w:tcPr>
            <w:tcW w:w="11240" w:type="dxa"/>
            <w:vAlign w:val="bottom"/>
            <w:gridSpan w:val="7"/>
          </w:tcPr>
          <w:p>
            <w:pPr>
              <w:ind w:left="680"/>
              <w:spacing w:after="0"/>
              <w:rPr>
                <w:sz w:val="20"/>
                <w:szCs w:val="20"/>
                <w:color w:val="auto"/>
              </w:rPr>
            </w:pPr>
            <w:r>
              <w:rPr>
                <w:rFonts w:ascii="Arial" w:cs="Arial" w:eastAsia="Arial" w:hAnsi="Arial"/>
                <w:sz w:val="18"/>
                <w:szCs w:val="18"/>
                <w:color w:val="auto"/>
                <w:w w:val="93"/>
              </w:rPr>
              <w:t>The weighted average assumptions used to estimate the fair value of stock options granted and stock purchase rights under the ESPP are as</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follows:</w:t>
            </w:r>
          </w:p>
        </w:tc>
        <w:tc>
          <w:tcPr>
            <w:tcW w:w="3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0"/>
        </w:trPr>
        <w:tc>
          <w:tcPr>
            <w:tcW w:w="3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2"/>
              </w:rPr>
              <w:t>Six Months Ended</w:t>
            </w:r>
          </w:p>
        </w:tc>
      </w:tr>
      <w:tr>
        <w:trPr>
          <w:trHeight w:val="229"/>
        </w:trPr>
        <w:tc>
          <w:tcPr>
            <w:tcW w:w="36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1"/>
              </w:rPr>
              <w:t>30-Jun-21</w:t>
            </w:r>
          </w:p>
        </w:tc>
      </w:tr>
      <w:tr>
        <w:trPr>
          <w:trHeight w:val="25"/>
        </w:trPr>
        <w:tc>
          <w:tcPr>
            <w:tcW w:w="362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2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1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ind w:right="657"/>
              <w:spacing w:after="0"/>
              <w:rPr>
                <w:sz w:val="20"/>
                <w:szCs w:val="20"/>
                <w:color w:val="auto"/>
              </w:rPr>
            </w:pPr>
            <w:r>
              <w:rPr>
                <w:rFonts w:ascii="Arial" w:cs="Arial" w:eastAsia="Arial" w:hAnsi="Arial"/>
                <w:sz w:val="18"/>
                <w:szCs w:val="18"/>
                <w:color w:val="auto"/>
                <w:w w:val="93"/>
              </w:rPr>
              <w:t>0.02%</w:t>
            </w:r>
          </w:p>
        </w:tc>
        <w:tc>
          <w:tcPr>
            <w:tcW w:w="120" w:type="dxa"/>
            <w:vAlign w:val="bottom"/>
            <w:shd w:val="clear" w:color="auto" w:fill="CCEEFF"/>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Expected life (in years)</w:t>
            </w:r>
          </w:p>
        </w:tc>
        <w:tc>
          <w:tcPr>
            <w:tcW w:w="3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center"/>
              <w:ind w:right="657"/>
              <w:spacing w:after="0"/>
              <w:rPr>
                <w:sz w:val="20"/>
                <w:szCs w:val="20"/>
                <w:color w:val="auto"/>
              </w:rPr>
            </w:pPr>
            <w:r>
              <w:rPr>
                <w:rFonts w:ascii="Arial" w:cs="Arial" w:eastAsia="Arial" w:hAnsi="Arial"/>
                <w:sz w:val="18"/>
                <w:szCs w:val="18"/>
                <w:color w:val="auto"/>
                <w:w w:val="95"/>
              </w:rPr>
              <w:t>0.5</w:t>
            </w:r>
          </w:p>
        </w:tc>
        <w:tc>
          <w:tcPr>
            <w:tcW w:w="120" w:type="dxa"/>
            <w:vAlign w:val="bottom"/>
          </w:tcPr>
          <w:p>
            <w:pPr>
              <w:spacing w:after="0"/>
              <w:rPr>
                <w:sz w:val="19"/>
                <w:szCs w:val="19"/>
                <w:color w:val="auto"/>
              </w:rPr>
            </w:pPr>
          </w:p>
        </w:tc>
      </w:tr>
      <w:tr>
        <w:trPr>
          <w:trHeight w:val="229"/>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1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jc w:val="center"/>
              <w:ind w:right="657"/>
              <w:spacing w:after="0"/>
              <w:rPr>
                <w:sz w:val="20"/>
                <w:szCs w:val="20"/>
                <w:color w:val="auto"/>
              </w:rPr>
            </w:pPr>
            <w:r>
              <w:rPr>
                <w:rFonts w:ascii="Arial" w:cs="Arial" w:eastAsia="Arial" w:hAnsi="Arial"/>
                <w:sz w:val="18"/>
                <w:szCs w:val="18"/>
                <w:color w:val="auto"/>
                <w:w w:val="92"/>
              </w:rPr>
              <w:t>0%</w:t>
            </w:r>
          </w:p>
        </w:tc>
        <w:tc>
          <w:tcPr>
            <w:tcW w:w="120" w:type="dxa"/>
            <w:vAlign w:val="bottom"/>
            <w:shd w:val="clear" w:color="auto" w:fill="CCEEFF"/>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Expected volatility</w:t>
            </w:r>
          </w:p>
        </w:tc>
        <w:tc>
          <w:tcPr>
            <w:tcW w:w="3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jc w:val="center"/>
              <w:ind w:right="657"/>
              <w:spacing w:after="0"/>
              <w:rPr>
                <w:sz w:val="20"/>
                <w:szCs w:val="20"/>
                <w:color w:val="auto"/>
              </w:rPr>
            </w:pPr>
            <w:r>
              <w:rPr>
                <w:rFonts w:ascii="Arial" w:cs="Arial" w:eastAsia="Arial" w:hAnsi="Arial"/>
                <w:sz w:val="18"/>
                <w:szCs w:val="18"/>
                <w:color w:val="auto"/>
                <w:w w:val="91"/>
              </w:rPr>
              <w:t>79.00%</w:t>
            </w:r>
          </w:p>
        </w:tc>
        <w:tc>
          <w:tcPr>
            <w:tcW w:w="120" w:type="dxa"/>
            <w:vAlign w:val="bottom"/>
          </w:tcPr>
          <w:p>
            <w:pPr>
              <w:spacing w:after="0"/>
              <w:rPr>
                <w:sz w:val="20"/>
                <w:szCs w:val="20"/>
                <w:color w:val="auto"/>
              </w:rPr>
            </w:pPr>
          </w:p>
        </w:tc>
      </w:tr>
      <w:tr>
        <w:trPr>
          <w:trHeight w:val="674"/>
        </w:trPr>
        <w:tc>
          <w:tcPr>
            <w:tcW w:w="3620" w:type="dxa"/>
            <w:vAlign w:val="bottom"/>
          </w:tcPr>
          <w:p>
            <w:pPr>
              <w:spacing w:after="0"/>
              <w:rPr>
                <w:sz w:val="24"/>
                <w:szCs w:val="24"/>
                <w:color w:val="auto"/>
              </w:rPr>
            </w:pPr>
          </w:p>
        </w:tc>
        <w:tc>
          <w:tcPr>
            <w:tcW w:w="3140" w:type="dxa"/>
            <w:vAlign w:val="bottom"/>
          </w:tcPr>
          <w:p>
            <w:pPr>
              <w:jc w:val="right"/>
              <w:ind w:right="954"/>
              <w:spacing w:after="0"/>
              <w:rPr>
                <w:sz w:val="20"/>
                <w:szCs w:val="20"/>
                <w:color w:val="auto"/>
              </w:rPr>
            </w:pPr>
            <w:r>
              <w:rPr>
                <w:rFonts w:ascii="Arial" w:cs="Arial" w:eastAsia="Arial" w:hAnsi="Arial"/>
                <w:sz w:val="18"/>
                <w:szCs w:val="18"/>
                <w:color w:val="auto"/>
              </w:rPr>
              <w:t>12</w:t>
            </w: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27" w:lineRule="exact"/>
        <w:rPr>
          <w:sz w:val="20"/>
          <w:szCs w:val="20"/>
          <w:color w:val="auto"/>
        </w:rPr>
      </w:pPr>
    </w:p>
    <w:p>
      <w:pPr>
        <w:ind w:right="200" w:firstLine="673"/>
        <w:spacing w:after="0" w:line="277" w:lineRule="auto"/>
        <w:rPr>
          <w:sz w:val="20"/>
          <w:szCs w:val="20"/>
          <w:color w:val="auto"/>
        </w:rPr>
      </w:pPr>
      <w:r>
        <w:rPr>
          <w:rFonts w:ascii="Arial" w:cs="Arial" w:eastAsia="Arial" w:hAnsi="Arial"/>
          <w:sz w:val="18"/>
          <w:szCs w:val="18"/>
          <w:color w:val="auto"/>
        </w:rPr>
        <w:t>Expected Term: The Company uses the simplified method to calculate expected term described in the SEC’s Staff Accounting Bulletin No. 107, which takes into account vesting term and expiration date of the options.</w:t>
      </w:r>
    </w:p>
    <w:p>
      <w:pPr>
        <w:spacing w:after="0" w:line="6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Volatility: Volatility is based on an average of the historical volatilities of comparable publicly traded companies for the expected term.</w:t>
      </w:r>
    </w:p>
    <w:p>
      <w:pPr>
        <w:spacing w:after="0" w:line="129" w:lineRule="exact"/>
        <w:rPr>
          <w:sz w:val="20"/>
          <w:szCs w:val="20"/>
          <w:color w:val="auto"/>
        </w:rPr>
      </w:pPr>
    </w:p>
    <w:p>
      <w:pPr>
        <w:ind w:right="360" w:firstLine="673"/>
        <w:spacing w:after="0" w:line="277" w:lineRule="auto"/>
        <w:rPr>
          <w:sz w:val="20"/>
          <w:szCs w:val="20"/>
          <w:color w:val="auto"/>
        </w:rPr>
      </w:pPr>
      <w:r>
        <w:rPr>
          <w:rFonts w:ascii="Arial" w:cs="Arial" w:eastAsia="Arial" w:hAnsi="Arial"/>
          <w:sz w:val="18"/>
          <w:szCs w:val="18"/>
          <w:color w:val="auto"/>
        </w:rPr>
        <w:t>Risk Free Interest Rate: The risk-free rate is based on the U.S. Treasury yields in effect at the time of grant for periods corresponding with the expected term of the option.</w:t>
      </w:r>
    </w:p>
    <w:p>
      <w:pPr>
        <w:spacing w:after="0" w:line="62" w:lineRule="exact"/>
        <w:rPr>
          <w:sz w:val="20"/>
          <w:szCs w:val="20"/>
          <w:color w:val="auto"/>
        </w:rPr>
      </w:pPr>
    </w:p>
    <w:p>
      <w:pPr>
        <w:ind w:right="240" w:firstLine="673"/>
        <w:spacing w:after="0" w:line="277" w:lineRule="auto"/>
        <w:rPr>
          <w:sz w:val="20"/>
          <w:szCs w:val="20"/>
          <w:color w:val="auto"/>
        </w:rPr>
      </w:pPr>
      <w:r>
        <w:rPr>
          <w:rFonts w:ascii="Arial" w:cs="Arial" w:eastAsia="Arial" w:hAnsi="Arial"/>
          <w:sz w:val="18"/>
          <w:szCs w:val="18"/>
          <w:color w:val="auto"/>
        </w:rPr>
        <w:t>Dividend Yield: The Company has never declared or paid any cash dividends and does not plan to pay cash dividends in the foreseeable future, and therefore, used an expected dividend yield of zero in the valuation model.</w:t>
      </w:r>
    </w:p>
    <w:p>
      <w:pPr>
        <w:spacing w:after="0" w:line="62" w:lineRule="exact"/>
        <w:rPr>
          <w:sz w:val="20"/>
          <w:szCs w:val="20"/>
          <w:color w:val="auto"/>
        </w:rPr>
      </w:pPr>
    </w:p>
    <w:p>
      <w:pPr>
        <w:ind w:right="440" w:firstLine="673"/>
        <w:spacing w:after="0" w:line="277" w:lineRule="auto"/>
        <w:rPr>
          <w:sz w:val="20"/>
          <w:szCs w:val="20"/>
          <w:color w:val="auto"/>
        </w:rPr>
      </w:pPr>
      <w:r>
        <w:rPr>
          <w:rFonts w:ascii="Arial" w:cs="Arial" w:eastAsia="Arial" w:hAnsi="Arial"/>
          <w:sz w:val="18"/>
          <w:szCs w:val="18"/>
          <w:color w:val="auto"/>
        </w:rPr>
        <w:t>Stock-based compensation expense recorded under ASC 718 related to stock options granted was allocated to research and development and general and administrative expense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5"/>
          </w:tcPr>
          <w:p>
            <w:pPr>
              <w:ind w:left="240"/>
              <w:spacing w:after="0"/>
              <w:rPr>
                <w:sz w:val="20"/>
                <w:szCs w:val="20"/>
                <w:color w:val="auto"/>
              </w:rPr>
            </w:pPr>
            <w:r>
              <w:rPr>
                <w:rFonts w:ascii="Arial" w:cs="Arial" w:eastAsia="Arial" w:hAnsi="Arial"/>
                <w:sz w:val="14"/>
                <w:szCs w:val="14"/>
                <w:b w:val="1"/>
                <w:bCs w:val="1"/>
                <w:color w:val="auto"/>
              </w:rPr>
              <w:t>For the Six Months Ended</w:t>
            </w:r>
          </w:p>
        </w:tc>
      </w:tr>
      <w:tr>
        <w:trPr>
          <w:trHeight w:val="146"/>
        </w:trPr>
        <w:tc>
          <w:tcPr>
            <w:tcW w:w="58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ind w:left="100"/>
              <w:spacing w:after="0" w:line="147" w:lineRule="exact"/>
              <w:rPr>
                <w:sz w:val="20"/>
                <w:szCs w:val="20"/>
                <w:color w:val="auto"/>
              </w:rPr>
            </w:pPr>
            <w:r>
              <w:rPr>
                <w:rFonts w:ascii="Arial" w:cs="Arial" w:eastAsia="Arial" w:hAnsi="Arial"/>
                <w:sz w:val="14"/>
                <w:szCs w:val="14"/>
                <w:b w:val="1"/>
                <w:bCs w:val="1"/>
                <w:color w:val="auto"/>
              </w:rPr>
              <w:t>June 30,</w:t>
            </w:r>
          </w:p>
        </w:tc>
        <w:tc>
          <w:tcPr>
            <w:tcW w:w="84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June 30,</w:t>
            </w:r>
          </w:p>
        </w:tc>
        <w:tc>
          <w:tcPr>
            <w:tcW w:w="3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39"/>
              <w:spacing w:after="0" w:line="147" w:lineRule="exact"/>
              <w:rPr>
                <w:sz w:val="20"/>
                <w:szCs w:val="20"/>
                <w:color w:val="auto"/>
              </w:rPr>
            </w:pPr>
            <w:r>
              <w:rPr>
                <w:rFonts w:ascii="Arial" w:cs="Arial" w:eastAsia="Arial" w:hAnsi="Arial"/>
                <w:sz w:val="14"/>
                <w:szCs w:val="14"/>
                <w:b w:val="1"/>
                <w:bCs w:val="1"/>
                <w:color w:val="auto"/>
              </w:rPr>
              <w:t>June 30,</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57"/>
              <w:spacing w:after="0" w:line="147"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2"/>
                <w:szCs w:val="12"/>
                <w:color w:val="auto"/>
              </w:rPr>
            </w:pPr>
          </w:p>
        </w:tc>
      </w:tr>
      <w:tr>
        <w:trPr>
          <w:trHeight w:val="171"/>
        </w:trPr>
        <w:tc>
          <w:tcPr>
            <w:tcW w:w="58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23"/>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r>
      <w:tr>
        <w:trPr>
          <w:trHeight w:val="229"/>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205</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tcPr>
          <w:p>
            <w:pPr>
              <w:spacing w:after="0"/>
              <w:rPr>
                <w:sz w:val="19"/>
                <w:szCs w:val="19"/>
                <w:color w:val="auto"/>
              </w:rPr>
            </w:pPr>
          </w:p>
        </w:tc>
      </w:tr>
      <w:tr>
        <w:trPr>
          <w:trHeight w:val="223"/>
        </w:trPr>
        <w:tc>
          <w:tcPr>
            <w:tcW w:w="5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stock-based compensation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383</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Income Taxes</w:t>
      </w:r>
    </w:p>
    <w:p>
      <w:pPr>
        <w:spacing w:after="0" w:line="117" w:lineRule="exact"/>
        <w:rPr>
          <w:sz w:val="20"/>
          <w:szCs w:val="20"/>
          <w:color w:val="auto"/>
        </w:rPr>
      </w:pPr>
    </w:p>
    <w:p>
      <w:pPr>
        <w:ind w:right="80" w:firstLine="673"/>
        <w:spacing w:after="0" w:line="342" w:lineRule="auto"/>
        <w:rPr>
          <w:sz w:val="20"/>
          <w:szCs w:val="20"/>
          <w:color w:val="auto"/>
        </w:rPr>
      </w:pPr>
      <w:r>
        <w:rPr>
          <w:rFonts w:ascii="Arial" w:cs="Arial" w:eastAsia="Arial" w:hAnsi="Arial"/>
          <w:sz w:val="16"/>
          <w:szCs w:val="16"/>
          <w:color w:val="auto"/>
        </w:rPr>
        <w:t>During the three months ended June 30, 2021 and 2020 and the six months ended June 30, 2021 and 2020, the Company recorded a full valuation allowance on federal and state deferred tax assets since management does not forecast the Company to be in a taxable position in the near future.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Net Loss per Share</w:t>
      </w:r>
    </w:p>
    <w:p>
      <w:pPr>
        <w:spacing w:after="0" w:line="131" w:lineRule="exact"/>
        <w:rPr>
          <w:sz w:val="20"/>
          <w:szCs w:val="20"/>
          <w:color w:val="auto"/>
        </w:rPr>
      </w:pPr>
    </w:p>
    <w:p>
      <w:pPr>
        <w:ind w:right="220" w:firstLine="673"/>
        <w:spacing w:after="0" w:line="263" w:lineRule="auto"/>
        <w:rPr>
          <w:sz w:val="20"/>
          <w:szCs w:val="20"/>
          <w:color w:val="auto"/>
        </w:rPr>
      </w:pPr>
      <w:r>
        <w:rPr>
          <w:rFonts w:ascii="Arial" w:cs="Arial" w:eastAsia="Arial" w:hAnsi="Arial"/>
          <w:sz w:val="18"/>
          <w:szCs w:val="18"/>
          <w:color w:val="auto"/>
        </w:rPr>
        <w:t>The Company’s convertible preferred stock does not participate in losses. The Company excluded all outstanding stock options and restricted stock awards at each period end from the computation of diluted net loss per share attributable to common stockholders for the periods indicated because including them would have had an anti-dilutive effect.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2500" w:type="dxa"/>
            <w:vAlign w:val="bottom"/>
            <w:gridSpan w:val="6"/>
          </w:tcPr>
          <w:p>
            <w:pPr>
              <w:ind w:left="300"/>
              <w:spacing w:after="0"/>
              <w:rPr>
                <w:sz w:val="20"/>
                <w:szCs w:val="20"/>
                <w:color w:val="auto"/>
              </w:rPr>
            </w:pPr>
            <w:r>
              <w:rPr>
                <w:rFonts w:ascii="Arial" w:cs="Arial" w:eastAsia="Arial" w:hAnsi="Arial"/>
                <w:sz w:val="14"/>
                <w:szCs w:val="14"/>
                <w:b w:val="1"/>
                <w:bCs w:val="1"/>
                <w:color w:val="auto"/>
              </w:rPr>
              <w:t>For the Six Months Ended</w:t>
            </w:r>
          </w:p>
        </w:tc>
      </w:tr>
      <w:tr>
        <w:trPr>
          <w:trHeight w:val="133"/>
        </w:trPr>
        <w:tc>
          <w:tcPr>
            <w:tcW w:w="58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2"/>
              </w:rPr>
              <w:t>June 30,</w:t>
            </w: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w w:val="92"/>
              </w:rPr>
              <w:t>June 30,</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99"/>
              <w:spacing w:after="0" w:line="133" w:lineRule="exact"/>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1"/>
                <w:szCs w:val="11"/>
                <w:color w:val="auto"/>
              </w:rPr>
            </w:pPr>
          </w:p>
        </w:tc>
      </w:tr>
      <w:tr>
        <w:trPr>
          <w:trHeight w:val="148"/>
        </w:trPr>
        <w:tc>
          <w:tcPr>
            <w:tcW w:w="5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2"/>
                <w:szCs w:val="12"/>
                <w:color w:val="auto"/>
              </w:rPr>
            </w:pPr>
          </w:p>
        </w:tc>
      </w:tr>
      <w:tr>
        <w:trPr>
          <w:trHeight w:val="171"/>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r>
      <w:tr>
        <w:trPr>
          <w:trHeight w:val="223"/>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(12,874)</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(24,476)</w:t>
            </w: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(15,221)</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Weighted-average number of shares - basic and diluted</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45,070,104</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3,046,200</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44,928,518</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3,046,200</w:t>
            </w:r>
          </w:p>
        </w:tc>
        <w:tc>
          <w:tcPr>
            <w:tcW w:w="100" w:type="dxa"/>
            <w:vAlign w:val="bottom"/>
            <w:tcBorders>
              <w:bottom w:val="single" w:sz="8" w:color="CCEEFF"/>
            </w:tcBorders>
          </w:tcPr>
          <w:p>
            <w:pPr>
              <w:spacing w:after="0"/>
              <w:rPr>
                <w:sz w:val="19"/>
                <w:szCs w:val="19"/>
                <w:color w:val="auto"/>
              </w:rPr>
            </w:pPr>
          </w:p>
        </w:tc>
      </w:tr>
      <w:tr>
        <w:trPr>
          <w:trHeight w:val="223"/>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Related Parties</w:t>
      </w:r>
    </w:p>
    <w:p>
      <w:pPr>
        <w:spacing w:after="0" w:line="117" w:lineRule="exact"/>
        <w:rPr>
          <w:sz w:val="20"/>
          <w:szCs w:val="20"/>
          <w:color w:val="auto"/>
        </w:rPr>
      </w:pPr>
    </w:p>
    <w:p>
      <w:pPr>
        <w:ind w:right="20" w:firstLine="673"/>
        <w:spacing w:after="0" w:line="279" w:lineRule="auto"/>
        <w:rPr>
          <w:sz w:val="20"/>
          <w:szCs w:val="20"/>
          <w:color w:val="auto"/>
        </w:rPr>
      </w:pPr>
      <w:r>
        <w:rPr>
          <w:rFonts w:ascii="Arial" w:cs="Arial" w:eastAsia="Arial" w:hAnsi="Arial"/>
          <w:sz w:val="17"/>
          <w:szCs w:val="17"/>
          <w:color w:val="auto"/>
        </w:rPr>
        <w:t>The Company has consulting agreements with two members of the board of directors. The total of consulting fees paid in each of the three months ended June 30, 2021 and 2020 were $28. The total of consulting fees paid in each of the six months ended June 30, 2021 and 2020 were $56. In May of 2021, the two members of the board of directors were awarded 5,781 options of company stock each, as per their updated Scientific Advisory Board agreements. There were no amounts owed under the consulting agreement at June 30, 2021 or December 31, 2020.</w:t>
      </w:r>
    </w:p>
    <w:p>
      <w:pPr>
        <w:spacing w:after="0" w:line="63" w:lineRule="exact"/>
        <w:rPr>
          <w:sz w:val="20"/>
          <w:szCs w:val="20"/>
          <w:color w:val="auto"/>
        </w:rPr>
      </w:pPr>
    </w:p>
    <w:p>
      <w:pPr>
        <w:ind w:right="300" w:firstLine="673"/>
        <w:spacing w:after="0" w:line="342" w:lineRule="auto"/>
        <w:rPr>
          <w:sz w:val="20"/>
          <w:szCs w:val="20"/>
          <w:color w:val="auto"/>
        </w:rPr>
      </w:pPr>
      <w:r>
        <w:rPr>
          <w:rFonts w:ascii="Arial" w:cs="Arial" w:eastAsia="Arial" w:hAnsi="Arial"/>
          <w:sz w:val="16"/>
          <w:szCs w:val="16"/>
          <w:color w:val="auto"/>
        </w:rPr>
        <w:t>During the fiscal year ended December 31, 2020, an investor provided $65 of financial consulting services to the Company. The Company has paid the entirety of the fees as of December 31, 2020. No amounts were paid or owed to the investors in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673"/>
        <w:spacing w:after="0" w:line="285"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our unaudited financial statements and the related notes and other financial information included in this Quarterly Report on Form 10-Q and our audited financial statements and notes thereto as of and for the years ended December 31, 2020 and 2019 and the related Management’s Discussion and Analysis of Financial Condition and Results of Operations, including Contractual Obligations and Critical Accounting Policies and Significant Judgments and Estimates, included in our Annual Report on Form 10-K for the fiscal year ended December 31, 2020 filed with the Securities and Exchange Commission (SEC) on March 3,</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i w:val="1"/>
          <w:iCs w:val="1"/>
          <w:color w:val="auto"/>
        </w:rPr>
        <w:t>2021. Unless the context requires otherwise, references in this Quarterly Report on Form 10-Q to “we,” “us,” and “our” refer to PMV Pharmaceuticals, Inc.</w:t>
      </w:r>
    </w:p>
    <w:p>
      <w:pPr>
        <w:spacing w:after="0" w:line="77" w:lineRule="exact"/>
        <w:rPr>
          <w:sz w:val="20"/>
          <w:szCs w:val="20"/>
          <w:color w:val="auto"/>
        </w:rPr>
      </w:pPr>
    </w:p>
    <w:p>
      <w:pPr>
        <w:ind w:right="180" w:firstLine="673"/>
        <w:spacing w:after="0" w:line="296"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that involve risks, uncertainties, and assumptions. Our actual results may differ materially from those anticipated in these forward-looking statements as a result of various factors, including but not limited to those set forth under the captions “Special Note Regarding Forward-Looking Statements,” “Item 1A. Risk Factors” and elsewhere in our Annual Report on Form 10-K for the fiscal year ended December 31, 2021, as updated by our subsequent filings under the Securities Exchange Act of 1934, as amended. Furthermore, past operating results are not necessarily indicative of results that may occur in future periods.</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73"/>
        <w:spacing w:after="0" w:line="271" w:lineRule="auto"/>
        <w:rPr>
          <w:sz w:val="20"/>
          <w:szCs w:val="20"/>
          <w:color w:val="auto"/>
        </w:rPr>
      </w:pPr>
      <w:r>
        <w:rPr>
          <w:rFonts w:ascii="Arial" w:cs="Arial" w:eastAsia="Arial" w:hAnsi="Arial"/>
          <w:sz w:val="17"/>
          <w:szCs w:val="17"/>
          <w:color w:val="auto"/>
        </w:rPr>
        <w:t>We are a clinical-stage oncology company pioneering the discovery and development of small molecule, tumor agnostic therapies designed to target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Since our formation in March 2013, we have devoted substantially all of our time and efforts to performing research and development activities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raising capital. We are not profitable and have incurred losses in each year since our inception. Our net losses were $34.4 million and $25.3 million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years ended December 31, 2020 and 2019, respectively. During the three and six months ended June 30, 2021, the Company incurred a net loss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$12.9 million and $24.5 million, respectively. As of June 30, 2021, we had an accumulated deficit of $134.4 million. We do not currently have any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candidates approved for sale, and we continue to incur significant research and development and general administrative expenses related to our operations.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initiated a Phase 1/2 clinical trial in October 2020 for our lead product candidate, PC14586. In October 2020, we were granted FDA Fast Track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Designation of PC14586 for the treatment of patients with locally advanced or metastatic solid tumors that have a p53 Y220C mutation. We dosed our first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patient in this clinical trial in the fourth quarter of 2020. We expect that our operating expenses will increase significantly as we advance our product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candidates through preclinical and clinical development, seek regulatory approval and prepare for and, if approved, proceed to commercialization; acquire,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discover, validate and develop additional product candidates; obtain, maintain, protect and enforce our intellectual property portfolio; and hire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personnel. In addition, we have incurred, and will continue to incur additional costs associated with operating as a public company and expect to continue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incur significant losses for the foreseeable future.</w:t>
      </w:r>
    </w:p>
    <w:p>
      <w:pPr>
        <w:spacing w:after="0" w:line="103" w:lineRule="exact"/>
        <w:rPr>
          <w:sz w:val="20"/>
          <w:szCs w:val="20"/>
          <w:color w:val="auto"/>
        </w:rPr>
      </w:pPr>
    </w:p>
    <w:p>
      <w:pPr>
        <w:ind w:right="20" w:firstLine="673"/>
        <w:spacing w:after="0" w:line="275" w:lineRule="auto"/>
        <w:rPr>
          <w:sz w:val="20"/>
          <w:szCs w:val="20"/>
          <w:color w:val="auto"/>
        </w:rPr>
      </w:pPr>
      <w:r>
        <w:rPr>
          <w:rFonts w:ascii="Arial" w:cs="Arial" w:eastAsia="Arial" w:hAnsi="Arial"/>
          <w:sz w:val="17"/>
          <w:szCs w:val="17"/>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68" w:lineRule="exact"/>
        <w:rPr>
          <w:sz w:val="20"/>
          <w:szCs w:val="20"/>
          <w:color w:val="auto"/>
        </w:rPr>
      </w:pPr>
    </w:p>
    <w:p>
      <w:pPr>
        <w:ind w:right="740" w:firstLine="673"/>
        <w:spacing w:after="0" w:line="286" w:lineRule="auto"/>
        <w:rPr>
          <w:sz w:val="20"/>
          <w:szCs w:val="20"/>
          <w:color w:val="auto"/>
        </w:rPr>
      </w:pPr>
      <w:r>
        <w:rPr>
          <w:rFonts w:ascii="Arial" w:cs="Arial" w:eastAsia="Arial" w:hAnsi="Arial"/>
          <w:sz w:val="17"/>
          <w:szCs w:val="17"/>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0" w:firstLine="673"/>
        <w:spacing w:after="0" w:line="259" w:lineRule="auto"/>
        <w:rPr>
          <w:sz w:val="20"/>
          <w:szCs w:val="20"/>
          <w:color w:val="auto"/>
        </w:rPr>
      </w:pPr>
      <w:r>
        <w:rPr>
          <w:rFonts w:ascii="Arial" w:cs="Arial" w:eastAsia="Arial" w:hAnsi="Arial"/>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673"/>
        <w:spacing w:after="0" w:line="257" w:lineRule="auto"/>
        <w:rPr>
          <w:sz w:val="20"/>
          <w:szCs w:val="20"/>
          <w:color w:val="auto"/>
        </w:rPr>
      </w:pPr>
      <w:r>
        <w:rPr>
          <w:rFonts w:ascii="Arial" w:cs="Arial" w:eastAsia="Arial" w:hAnsi="Arial"/>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sourcing of raw materials and manufacturing of product candidates, depreciation and maintenance of research equipment and an allocation of related facilities costs. We expense research and development costs as they are incurred.</w:t>
      </w:r>
    </w:p>
    <w:p>
      <w:pPr>
        <w:spacing w:after="0" w:line="80" w:lineRule="exact"/>
        <w:rPr>
          <w:sz w:val="20"/>
          <w:szCs w:val="20"/>
          <w:color w:val="auto"/>
        </w:rPr>
      </w:pPr>
    </w:p>
    <w:p>
      <w:pPr>
        <w:ind w:right="100" w:firstLine="673"/>
        <w:spacing w:after="0" w:line="271" w:lineRule="auto"/>
        <w:rPr>
          <w:sz w:val="20"/>
          <w:szCs w:val="20"/>
          <w:color w:val="auto"/>
        </w:rPr>
      </w:pPr>
      <w:r>
        <w:rPr>
          <w:rFonts w:ascii="Arial" w:cs="Arial" w:eastAsia="Arial" w:hAnsi="Arial"/>
          <w:sz w:val="17"/>
          <w:szCs w:val="17"/>
          <w:color w:val="auto"/>
        </w:rPr>
        <w:t>As we are at a very early stage of development, 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 In October 2020, we initiated a Phase 1/2 clinical trial for PC14586 and also were granted FDA Fast Track Designation of PC14586 for the treatment of patients with locally advanced or metastatic solid tumors that have a p53 Y220C mutation. We dosed our first patient in this clinical trial in the fourth quarter of 2020.</w:t>
      </w:r>
    </w:p>
    <w:p>
      <w:pPr>
        <w:spacing w:after="0" w:line="70" w:lineRule="exact"/>
        <w:rPr>
          <w:sz w:val="20"/>
          <w:szCs w:val="20"/>
          <w:color w:val="auto"/>
        </w:rPr>
      </w:pPr>
    </w:p>
    <w:p>
      <w:pPr>
        <w:ind w:right="40" w:firstLine="673"/>
        <w:spacing w:after="0" w:line="272" w:lineRule="auto"/>
        <w:rPr>
          <w:sz w:val="20"/>
          <w:szCs w:val="20"/>
          <w:color w:val="auto"/>
        </w:rPr>
      </w:pPr>
      <w:r>
        <w:rPr>
          <w:rFonts w:ascii="Arial" w:cs="Arial" w:eastAsia="Arial" w:hAnsi="Arial"/>
          <w:sz w:val="17"/>
          <w:szCs w:val="17"/>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85"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firstLine="673"/>
        <w:spacing w:after="0" w:line="291" w:lineRule="auto"/>
        <w:rPr>
          <w:sz w:val="20"/>
          <w:szCs w:val="20"/>
          <w:color w:val="auto"/>
        </w:rPr>
      </w:pPr>
      <w:r>
        <w:rPr>
          <w:rFonts w:ascii="Arial" w:cs="Arial" w:eastAsia="Arial" w:hAnsi="Arial"/>
          <w:sz w:val="16"/>
          <w:szCs w:val="16"/>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facility. We expect to incur additional expenses as a public company, including expenses related to compliance with the rules and regulations of the SEC, and those of any national securities exchange on which our securities are traded, additional insurance expenses, investor relations activities and other administrative and professional services. We expect to increase our headcount significantly to operate as a public company. We also expect to increase our general and administrative expenses as we advance our product candidates through preclinical research and development, manufacturing, clinical development and commercialization.</w:t>
      </w:r>
    </w:p>
    <w:p>
      <w:pPr>
        <w:spacing w:after="0" w:line="274"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300" w:firstLine="673"/>
        <w:spacing w:after="0" w:line="277" w:lineRule="auto"/>
        <w:rPr>
          <w:sz w:val="20"/>
          <w:szCs w:val="20"/>
          <w:color w:val="auto"/>
        </w:rPr>
      </w:pPr>
      <w:r>
        <w:rPr>
          <w:rFonts w:ascii="Arial" w:cs="Arial" w:eastAsia="Arial" w:hAnsi="Arial"/>
          <w:sz w:val="18"/>
          <w:szCs w:val="18"/>
          <w:color w:val="auto"/>
        </w:rPr>
        <w:t>Interest income, net primarily consists of interest income from our interest-bearing cash, cash equivalents and short-term marketable securities and interest costs related to amortization of premiums and discounts on short-term marketable securities.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1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860" w:type="dxa"/>
            <w:vAlign w:val="bottom"/>
            <w:vMerge w:val="continue"/>
          </w:tcPr>
          <w:p>
            <w:pPr>
              <w:spacing w:after="0"/>
              <w:rPr>
                <w:sz w:val="13"/>
                <w:szCs w:val="13"/>
                <w:color w:val="auto"/>
              </w:rPr>
            </w:pPr>
          </w:p>
        </w:tc>
        <w:tc>
          <w:tcPr>
            <w:tcW w:w="1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43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4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7,664</w:t>
            </w:r>
          </w:p>
        </w:tc>
        <w:tc>
          <w:tcPr>
            <w:tcW w:w="16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5,804</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operations</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(13,050)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(8,085)</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486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w:t>
            </w:r>
          </w:p>
        </w:tc>
        <w:tc>
          <w:tcPr>
            <w:tcW w:w="18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(12,874)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(7,967)</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1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2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(12,874)</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(7,967)</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summarizes our research and development expenses incurred during the periods indicated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2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300" w:type="dxa"/>
            <w:vAlign w:val="bottom"/>
            <w:vMerge w:val="continue"/>
          </w:tcPr>
          <w:p>
            <w:pPr>
              <w:spacing w:after="0"/>
              <w:rPr>
                <w:sz w:val="13"/>
                <w:szCs w:val="13"/>
                <w:color w:val="auto"/>
              </w:rPr>
            </w:pPr>
          </w:p>
        </w:tc>
        <w:tc>
          <w:tcPr>
            <w:tcW w:w="2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4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w:t>
            </w:r>
          </w:p>
        </w:tc>
        <w:tc>
          <w:tcPr>
            <w:tcW w:w="23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2,180</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Development</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w:t>
            </w:r>
          </w:p>
        </w:tc>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Stock-based compensation</w:t>
            </w:r>
          </w:p>
        </w:tc>
        <w:tc>
          <w:tcPr>
            <w:tcW w:w="23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60"/>
              <w:spacing w:after="0"/>
              <w:rPr>
                <w:sz w:val="20"/>
                <w:szCs w:val="20"/>
                <w:color w:val="auto"/>
              </w:rPr>
            </w:pPr>
            <w:r>
              <w:rPr>
                <w:rFonts w:ascii="Arial" w:cs="Arial" w:eastAsia="Arial" w:hAnsi="Arial"/>
                <w:sz w:val="18"/>
                <w:szCs w:val="18"/>
                <w:color w:val="auto"/>
              </w:rPr>
              <w:t>Total</w:t>
            </w:r>
          </w:p>
        </w:tc>
        <w:tc>
          <w:tcPr>
            <w:tcW w:w="2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7,664</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5,804</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673"/>
        <w:spacing w:after="0" w:line="277" w:lineRule="auto"/>
        <w:rPr>
          <w:sz w:val="20"/>
          <w:szCs w:val="20"/>
          <w:color w:val="auto"/>
        </w:rPr>
      </w:pPr>
      <w:r>
        <w:rPr>
          <w:rFonts w:ascii="Arial" w:cs="Arial" w:eastAsia="Arial" w:hAnsi="Arial"/>
          <w:sz w:val="18"/>
          <w:szCs w:val="18"/>
          <w:color w:val="auto"/>
        </w:rPr>
        <w:t>Research and development expenses were $7.7 million for the three months ended June 30, 2021, compared to $5.8 million for the three months ended June 30, 2020. The increase of $1.9 million was primarily due to the following:</w:t>
      </w:r>
    </w:p>
    <w:p>
      <w:pPr>
        <w:spacing w:after="0" w:line="62" w:lineRule="exact"/>
        <w:rPr>
          <w:sz w:val="20"/>
          <w:szCs w:val="20"/>
          <w:color w:val="auto"/>
        </w:rPr>
      </w:pPr>
    </w:p>
    <w:p>
      <w:pPr>
        <w:ind w:left="960" w:hanging="291"/>
        <w:spacing w:after="0"/>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$0.6 million increase in research expenses, largely driven by increased contractual research organization costs focused on discovery research;</w:t>
      </w:r>
    </w:p>
    <w:p>
      <w:pPr>
        <w:spacing w:after="0" w:line="140" w:lineRule="exact"/>
        <w:rPr>
          <w:rFonts w:ascii="Arial" w:cs="Arial" w:eastAsia="Arial" w:hAnsi="Arial"/>
          <w:sz w:val="16"/>
          <w:szCs w:val="16"/>
          <w:color w:val="auto"/>
        </w:rPr>
      </w:pPr>
    </w:p>
    <w:p>
      <w:pPr>
        <w:ind w:left="960" w:right="20" w:hanging="291"/>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$1.3 million increase in development expenses associated with advancing our lead product candidate, PC14586, through the Phase 1/2 clinical trial; and</w:t>
      </w:r>
    </w:p>
    <w:p>
      <w:pPr>
        <w:spacing w:after="0" w:line="62" w:lineRule="exact"/>
        <w:rPr>
          <w:rFonts w:ascii="Arial" w:cs="Arial" w:eastAsia="Arial" w:hAnsi="Arial"/>
          <w:sz w:val="18"/>
          <w:szCs w:val="18"/>
          <w:color w:val="auto"/>
        </w:rPr>
      </w:pPr>
    </w:p>
    <w:p>
      <w:pPr>
        <w:ind w:left="960" w:right="220" w:hanging="291"/>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$0.1 million decrease in expenses for personnel related costs and stock-based compensation, is primarily driven by the use of a $0.2 million payroll tax credit offset by an increased headcount for developing PC14586.</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ind w:left="6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60" w:firstLine="673"/>
        <w:spacing w:after="0" w:line="277" w:lineRule="auto"/>
        <w:rPr>
          <w:sz w:val="20"/>
          <w:szCs w:val="20"/>
          <w:color w:val="auto"/>
        </w:rPr>
      </w:pPr>
      <w:r>
        <w:rPr>
          <w:rFonts w:ascii="Arial" w:cs="Arial" w:eastAsia="Arial" w:hAnsi="Arial"/>
          <w:sz w:val="18"/>
          <w:szCs w:val="18"/>
          <w:color w:val="auto"/>
        </w:rPr>
        <w:t>General and administrative expenses were $5.4 million for the three months ended June 30, 2021, compared to $2.3 million for the three months ended June 30, 2020. The increase of $3.1 million was primarily due to the following:</w:t>
      </w:r>
    </w:p>
    <w:p>
      <w:pPr>
        <w:spacing w:after="0" w:line="76" w:lineRule="exact"/>
        <w:rPr>
          <w:sz w:val="20"/>
          <w:szCs w:val="20"/>
          <w:color w:val="auto"/>
        </w:rPr>
      </w:pPr>
    </w:p>
    <w:p>
      <w:pPr>
        <w:ind w:left="960" w:right="20" w:hanging="291"/>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$1.6 million increase in personnel and office related expense due to increased headcount to build out general and administrative infrastructure; and</w:t>
      </w:r>
    </w:p>
    <w:p>
      <w:pPr>
        <w:spacing w:after="0" w:line="62" w:lineRule="exact"/>
        <w:rPr>
          <w:rFonts w:ascii="Arial" w:cs="Arial" w:eastAsia="Arial" w:hAnsi="Arial"/>
          <w:sz w:val="18"/>
          <w:szCs w:val="18"/>
          <w:color w:val="auto"/>
        </w:rPr>
      </w:pPr>
    </w:p>
    <w:p>
      <w:pPr>
        <w:ind w:left="960" w:right="220" w:hanging="291"/>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$0.4 million increase in finance and legal support, along with a $0.6 million increase for directors and officers insurance, and a $0.5 million increase due to facility related costs for the new office building in Princeton, NJ.</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40" w:firstLine="673"/>
        <w:spacing w:after="0" w:line="279" w:lineRule="auto"/>
        <w:rPr>
          <w:sz w:val="20"/>
          <w:szCs w:val="20"/>
          <w:color w:val="auto"/>
        </w:rPr>
      </w:pPr>
      <w:r>
        <w:rPr>
          <w:rFonts w:ascii="Arial" w:cs="Arial" w:eastAsia="Arial" w:hAnsi="Arial"/>
          <w:sz w:val="17"/>
          <w:szCs w:val="17"/>
          <w:color w:val="auto"/>
        </w:rPr>
        <w:t>Interest income, net primarily consists of interest income from our interest-bearing cash, cash equivalents and marketable securities and interest costs related to amortization of premiums and discounts on marketable securities. Interest income, net was $0.1 million for the three months ended June 30, 2021 compared to $0.2 million for the three months ended June 30, 2020. The decrease of $0.1 million is driven by decreased income from cash investments in marketable securities and U.S treasuries during the three months ended June 30,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1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June,</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860" w:type="dxa"/>
            <w:vAlign w:val="bottom"/>
            <w:vMerge w:val="continue"/>
          </w:tcPr>
          <w:p>
            <w:pPr>
              <w:spacing w:after="0"/>
              <w:rPr>
                <w:sz w:val="13"/>
                <w:szCs w:val="13"/>
                <w:color w:val="auto"/>
              </w:rPr>
            </w:pPr>
          </w:p>
        </w:tc>
        <w:tc>
          <w:tcPr>
            <w:tcW w:w="1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ind w:right="452"/>
              <w:spacing w:after="0" w:line="155"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15,163</w:t>
            </w:r>
          </w:p>
        </w:tc>
        <w:tc>
          <w:tcPr>
            <w:tcW w:w="160" w:type="dxa"/>
            <w:vAlign w:val="bottom"/>
          </w:tcPr>
          <w:p>
            <w:pPr>
              <w:spacing w:after="0"/>
              <w:rPr>
                <w:sz w:val="19"/>
                <w:szCs w:val="19"/>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11,760</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operations</w:t>
            </w:r>
          </w:p>
        </w:tc>
        <w:tc>
          <w:tcPr>
            <w:tcW w:w="1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(24,723)</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(15,739)</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(8,984)</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Other income (expense):</w:t>
            </w:r>
          </w:p>
        </w:tc>
        <w:tc>
          <w:tcPr>
            <w:tcW w:w="18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1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9"/>
        </w:trPr>
        <w:tc>
          <w:tcPr>
            <w:tcW w:w="486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500"/>
              <w:spacing w:after="0"/>
              <w:rPr>
                <w:sz w:val="20"/>
                <w:szCs w:val="20"/>
                <w:color w:val="auto"/>
              </w:rPr>
            </w:pPr>
            <w:r>
              <w:rPr>
                <w:rFonts w:ascii="Arial" w:cs="Arial" w:eastAsia="Arial" w:hAnsi="Arial"/>
                <w:sz w:val="18"/>
                <w:szCs w:val="18"/>
                <w:color w:val="auto"/>
              </w:rPr>
              <w:t>Total other income</w:t>
            </w: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Loss before provision for income taxes</w:t>
            </w: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(24,472)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(15,219)</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(9,253)</w:t>
            </w: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income taxes</w:t>
            </w:r>
          </w:p>
        </w:tc>
        <w:tc>
          <w:tcPr>
            <w:tcW w:w="18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2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(24,476)</w:t>
            </w:r>
          </w:p>
        </w:tc>
        <w:tc>
          <w:tcPr>
            <w:tcW w:w="5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(15,221)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(9,255)</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summarizes our research and development expenses incurred during the periods indicated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2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3740" w:type="dxa"/>
            <w:vAlign w:val="bottom"/>
            <w:vMerge w:val="continue"/>
          </w:tcPr>
          <w:p>
            <w:pPr>
              <w:spacing w:after="0"/>
              <w:rPr>
                <w:sz w:val="13"/>
                <w:szCs w:val="13"/>
                <w:color w:val="auto"/>
              </w:rPr>
            </w:pPr>
          </w:p>
        </w:tc>
        <w:tc>
          <w:tcPr>
            <w:tcW w:w="2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ind w:right="453"/>
              <w:spacing w:after="0" w:line="155"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w:t>
            </w:r>
          </w:p>
        </w:tc>
        <w:tc>
          <w:tcPr>
            <w:tcW w:w="29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4,631</w:t>
            </w:r>
          </w:p>
        </w:tc>
        <w:tc>
          <w:tcPr>
            <w:tcW w:w="2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Development</w:t>
            </w: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6,374</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4,593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w:t>
            </w:r>
          </w:p>
        </w:tc>
        <w:tc>
          <w:tcPr>
            <w:tcW w:w="2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Stock-based compensation</w:t>
            </w:r>
          </w:p>
        </w:tc>
        <w:tc>
          <w:tcPr>
            <w:tcW w:w="29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2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60"/>
              <w:spacing w:after="0"/>
              <w:rPr>
                <w:sz w:val="20"/>
                <w:szCs w:val="20"/>
                <w:color w:val="auto"/>
              </w:rPr>
            </w:pPr>
            <w:r>
              <w:rPr>
                <w:rFonts w:ascii="Arial" w:cs="Arial" w:eastAsia="Arial" w:hAnsi="Arial"/>
                <w:sz w:val="18"/>
                <w:szCs w:val="18"/>
                <w:color w:val="auto"/>
              </w:rPr>
              <w:t>Total</w:t>
            </w:r>
          </w:p>
        </w:tc>
        <w:tc>
          <w:tcPr>
            <w:tcW w:w="32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15,163</w:t>
            </w: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11,760</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920" w:type="dxa"/>
            <w:vAlign w:val="bottom"/>
            <w:vMerge w:val="restart"/>
          </w:tcPr>
          <w:p>
            <w:pPr>
              <w:jc w:val="right"/>
              <w:ind w:right="850"/>
              <w:spacing w:after="0"/>
              <w:rPr>
                <w:sz w:val="20"/>
                <w:szCs w:val="20"/>
                <w:color w:val="auto"/>
              </w:rPr>
            </w:pPr>
            <w:r>
              <w:rPr>
                <w:rFonts w:ascii="Arial" w:cs="Arial" w:eastAsia="Arial" w:hAnsi="Arial"/>
                <w:sz w:val="18"/>
                <w:szCs w:val="18"/>
                <w:color w:val="auto"/>
              </w:rPr>
              <w:t>17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74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1" w:name="page22"/>
    <w:bookmarkEnd w:id="21"/>
    <w:p>
      <w:pPr>
        <w:ind w:right="300" w:firstLine="673"/>
        <w:spacing w:after="0" w:line="277" w:lineRule="auto"/>
        <w:rPr>
          <w:sz w:val="20"/>
          <w:szCs w:val="20"/>
          <w:color w:val="auto"/>
        </w:rPr>
      </w:pPr>
      <w:r>
        <w:rPr>
          <w:rFonts w:ascii="Arial" w:cs="Arial" w:eastAsia="Arial" w:hAnsi="Arial"/>
          <w:sz w:val="18"/>
          <w:szCs w:val="18"/>
          <w:color w:val="auto"/>
        </w:rPr>
        <w:t>Research and development expenses were $15.2 million for the six months ended June 30, 2021, compared to $11.8 million for the six months ended June 30, 2020. The increase of $3.4 million was primarily due to the following:</w:t>
      </w:r>
    </w:p>
    <w:p>
      <w:pPr>
        <w:spacing w:after="0" w:line="62" w:lineRule="exact"/>
        <w:rPr>
          <w:sz w:val="20"/>
          <w:szCs w:val="20"/>
          <w:color w:val="auto"/>
        </w:rPr>
      </w:pPr>
    </w:p>
    <w:p>
      <w:pPr>
        <w:ind w:left="960" w:hanging="291"/>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$1.4 million increase in research expenses, largely driven by increased contractual research organization costs focused on discovery research;</w:t>
      </w:r>
    </w:p>
    <w:p>
      <w:pPr>
        <w:spacing w:after="0" w:line="140" w:lineRule="exact"/>
        <w:rPr>
          <w:rFonts w:ascii="Arial" w:cs="Arial" w:eastAsia="Arial" w:hAnsi="Arial"/>
          <w:sz w:val="16"/>
          <w:szCs w:val="16"/>
          <w:color w:val="auto"/>
        </w:rPr>
      </w:pPr>
    </w:p>
    <w:p>
      <w:pPr>
        <w:ind w:left="960" w:right="120" w:hanging="291"/>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$1.8 million increase in development expenses associate with advancing our lead product candidate, PC14586, through the Phase 1/2 clinical trial; and</w:t>
      </w:r>
    </w:p>
    <w:p>
      <w:pPr>
        <w:spacing w:after="0" w:line="62" w:lineRule="exact"/>
        <w:rPr>
          <w:rFonts w:ascii="Arial" w:cs="Arial" w:eastAsia="Arial" w:hAnsi="Arial"/>
          <w:sz w:val="18"/>
          <w:szCs w:val="18"/>
          <w:color w:val="auto"/>
        </w:rPr>
      </w:pPr>
    </w:p>
    <w:p>
      <w:pPr>
        <w:ind w:left="960" w:right="320" w:hanging="291"/>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$0.2 million increase in expenses for personnel related costs and stock-based compensation, primarily driven by the rise in the Company’s stock value subsequent the IPO in September 2020.</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60" w:firstLine="673"/>
        <w:spacing w:after="0" w:line="277" w:lineRule="auto"/>
        <w:rPr>
          <w:sz w:val="20"/>
          <w:szCs w:val="20"/>
          <w:color w:val="auto"/>
        </w:rPr>
      </w:pPr>
      <w:r>
        <w:rPr>
          <w:rFonts w:ascii="Arial" w:cs="Arial" w:eastAsia="Arial" w:hAnsi="Arial"/>
          <w:sz w:val="18"/>
          <w:szCs w:val="18"/>
          <w:color w:val="auto"/>
        </w:rPr>
        <w:t>General and administrative expenses were $9.6 million for the six months ended June 30, 2021, compared to $4.0 million for the six months ended June 30, 2020. The increase of $5.6 million was primarily due to the following:</w:t>
      </w:r>
    </w:p>
    <w:p>
      <w:pPr>
        <w:spacing w:after="0" w:line="76" w:lineRule="exact"/>
        <w:rPr>
          <w:sz w:val="20"/>
          <w:szCs w:val="20"/>
          <w:color w:val="auto"/>
        </w:rPr>
      </w:pPr>
    </w:p>
    <w:p>
      <w:pPr>
        <w:ind w:left="960" w:right="20" w:hanging="291"/>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$2.9 million increase in personnel and office related expense due to increased headcount to build out general and administrative infrastructure; and</w:t>
      </w:r>
    </w:p>
    <w:p>
      <w:pPr>
        <w:spacing w:after="0" w:line="62" w:lineRule="exact"/>
        <w:rPr>
          <w:rFonts w:ascii="Arial" w:cs="Arial" w:eastAsia="Arial" w:hAnsi="Arial"/>
          <w:sz w:val="18"/>
          <w:szCs w:val="18"/>
          <w:color w:val="auto"/>
        </w:rPr>
      </w:pPr>
    </w:p>
    <w:p>
      <w:pPr>
        <w:ind w:left="960" w:right="220" w:hanging="291"/>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 million increase in finance and legal support, along with a $1.2 million increase for directors and officers insurance, and a $0.5 million increase due to facility related costs for the new office building in Princeton, NJ.</w:t>
      </w:r>
    </w:p>
    <w:p>
      <w:pPr>
        <w:spacing w:after="0" w:line="278"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jc w:val="both"/>
        <w:ind w:right="100" w:firstLine="673"/>
        <w:spacing w:after="0" w:line="279" w:lineRule="auto"/>
        <w:rPr>
          <w:sz w:val="20"/>
          <w:szCs w:val="20"/>
          <w:color w:val="auto"/>
        </w:rPr>
      </w:pPr>
      <w:r>
        <w:rPr>
          <w:rFonts w:ascii="Arial" w:cs="Arial" w:eastAsia="Arial" w:hAnsi="Arial"/>
          <w:sz w:val="17"/>
          <w:szCs w:val="17"/>
          <w:color w:val="auto"/>
        </w:rPr>
        <w:t>Interest income, net primarily consists of interest income from our interest-bearing cash, cash equivalents and marketable securities and interest costs related to amortization of premiums and discounts on marketable securities. Interest income, net was $0.2 million for the six months ended June 30, 2021 compared to $0.6 million for the six months ended June 30, 2020. The decrease of $0.4 million is driven by decreased income from cash investments in marketable securities and U.S treasuries during the six months ended June 30, 2021.</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673"/>
        <w:spacing w:after="0" w:line="284" w:lineRule="auto"/>
        <w:rPr>
          <w:sz w:val="20"/>
          <w:szCs w:val="20"/>
          <w:color w:val="auto"/>
        </w:rPr>
      </w:pPr>
      <w:r>
        <w:rPr>
          <w:rFonts w:ascii="Arial" w:cs="Arial" w:eastAsia="Arial" w:hAnsi="Arial"/>
          <w:sz w:val="16"/>
          <w:szCs w:val="16"/>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June 30, 2021, we had cash, cash equivalents, and restricted cash of $190.2 million, short-term marketable securities of $128.9 million, long-term marketable securities of $20.6 million, and an accumulated deficit of $134.4 million. We have financed our operations primarily through issuances of our convertible preferred and common stock. In 2019, we sold an aggregate of 5,469,606 shares of our Series C convertible preferred stock to accredited investors, generating gross proceeds of $61.9 million. In July 2020, we sold an aggregate of</w:t>
      </w:r>
    </w:p>
    <w:p>
      <w:pPr>
        <w:spacing w:after="0" w:line="4"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5,321,864 shares of our Series D convertible preferred stock to accredited investors, generating gross proceeds of $70.0 million. In September 2020, we completed an IPO of 13,529,750 shares of our common stock, which includes the exercise in full by the underwriters of their option to purchase 1,764,750 additional shares of common stock, at a public offering price of $18.00 per share for aggregate gross proceeds of $243.5 million. We received $223.2 million in net proceeds after deducting underwriting discounts and commissions and other offering expenses payable by us.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17" w:lineRule="exact"/>
        <w:rPr>
          <w:sz w:val="20"/>
          <w:szCs w:val="20"/>
          <w:color w:val="auto"/>
        </w:rPr>
      </w:pPr>
    </w:p>
    <w:p>
      <w:pPr>
        <w:ind w:right="40" w:firstLine="673"/>
        <w:spacing w:after="0" w:line="253" w:lineRule="auto"/>
        <w:rPr>
          <w:sz w:val="20"/>
          <w:szCs w:val="20"/>
          <w:color w:val="auto"/>
        </w:rPr>
      </w:pPr>
      <w:r>
        <w:rPr>
          <w:rFonts w:ascii="Arial" w:cs="Arial" w:eastAsia="Arial" w:hAnsi="Arial"/>
          <w:sz w:val="18"/>
          <w:szCs w:val="18"/>
          <w:color w:val="auto"/>
        </w:rPr>
        <w:t>We use our capital resources primarily to fund operating expenses, mainly research and development expenditures. We plan to increase our research and development expenses for the foreseeable future as we continue the preclinical and clinical development of our product candidates. At this time, due to the inherently unpredictable nature of preclinical and clinical development and given the early stage of our product candidates,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right="60" w:firstLine="673"/>
        <w:spacing w:after="0" w:line="259" w:lineRule="auto"/>
        <w:rPr>
          <w:sz w:val="20"/>
          <w:szCs w:val="20"/>
          <w:color w:val="auto"/>
        </w:rPr>
      </w:pPr>
      <w:r>
        <w:rPr>
          <w:rFonts w:ascii="Arial" w:cs="Arial" w:eastAsia="Arial" w:hAnsi="Arial"/>
          <w:sz w:val="18"/>
          <w:szCs w:val="18"/>
          <w:color w:val="auto"/>
        </w:rPr>
        <w:t>Due to our significant research and development expenditures, we have generated substantial operating losses in each period since inception. We have incurred an accumulated deficit of $134.4 million through June 30, 2021. We expect to incur substantial additional losses in the future as we expand our research and development activities. Based on our research and development plans, we expect that our cash, cash equivalents and marketable securities as of June 30, 2021 will be sufficient to fund our operations at least through 2023.</w:t>
      </w:r>
    </w:p>
    <w:p>
      <w:pPr>
        <w:spacing w:after="0" w:line="7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We have based this estimate on assumptions that may prove to be wrong, however, and we could use our capital resources sooner than we expect.</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17" w:lineRule="exact"/>
        <w:rPr>
          <w:sz w:val="20"/>
          <w:szCs w:val="20"/>
          <w:color w:val="auto"/>
        </w:rPr>
      </w:pPr>
    </w:p>
    <w:p>
      <w:pPr>
        <w:ind w:left="960" w:hanging="29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960" w:hanging="29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960" w:hanging="29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amount of milestone payments we may receive under any future collaboration agreements;</w:t>
      </w:r>
    </w:p>
    <w:p>
      <w:pPr>
        <w:spacing w:after="0" w:line="117" w:lineRule="exact"/>
        <w:rPr>
          <w:rFonts w:ascii="Arial" w:cs="Arial" w:eastAsia="Arial" w:hAnsi="Arial"/>
          <w:sz w:val="18"/>
          <w:szCs w:val="18"/>
          <w:color w:val="auto"/>
        </w:rPr>
      </w:pPr>
    </w:p>
    <w:p>
      <w:pPr>
        <w:ind w:left="960" w:hanging="29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future licenses and research and development programs and to establish new collaboration arrangements;</w:t>
      </w:r>
    </w:p>
    <w:p>
      <w:pPr>
        <w:spacing w:after="0" w:line="117" w:lineRule="exact"/>
        <w:rPr>
          <w:rFonts w:ascii="Arial" w:cs="Arial" w:eastAsia="Arial" w:hAnsi="Arial"/>
          <w:sz w:val="18"/>
          <w:szCs w:val="18"/>
          <w:color w:val="auto"/>
        </w:rPr>
      </w:pPr>
    </w:p>
    <w:p>
      <w:pPr>
        <w:ind w:left="960" w:hanging="29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w:t>
      </w:r>
    </w:p>
    <w:p>
      <w:pPr>
        <w:spacing w:after="0" w:line="117" w:lineRule="exact"/>
        <w:rPr>
          <w:rFonts w:ascii="Arial" w:cs="Arial" w:eastAsia="Arial" w:hAnsi="Arial"/>
          <w:sz w:val="18"/>
          <w:szCs w:val="18"/>
          <w:color w:val="auto"/>
        </w:rPr>
      </w:pPr>
    </w:p>
    <w:p>
      <w:pPr>
        <w:ind w:left="960" w:hanging="291"/>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960" w:right="760" w:hanging="291"/>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of our product candidates and satisfy our obligations as a public company.</w:t>
      </w:r>
    </w:p>
    <w:p>
      <w:pPr>
        <w:spacing w:after="0" w:line="62" w:lineRule="exact"/>
        <w:rPr>
          <w:sz w:val="20"/>
          <w:szCs w:val="20"/>
          <w:color w:val="auto"/>
        </w:rPr>
      </w:pPr>
    </w:p>
    <w:p>
      <w:pPr>
        <w:ind w:right="20" w:firstLine="673"/>
        <w:spacing w:after="0" w:line="269" w:lineRule="auto"/>
        <w:rPr>
          <w:sz w:val="20"/>
          <w:szCs w:val="20"/>
          <w:color w:val="auto"/>
        </w:rPr>
      </w:pPr>
      <w:r>
        <w:rPr>
          <w:rFonts w:ascii="Arial" w:cs="Arial" w:eastAsia="Arial" w:hAnsi="Arial"/>
          <w:sz w:val="17"/>
          <w:szCs w:val="17"/>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following table summarizes our cash flows for the period indicated (in thousands):</w:t>
      </w:r>
    </w:p>
    <w:p>
      <w:pPr>
        <w:spacing w:after="0" w:line="23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Six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77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5"/>
        </w:trPr>
        <w:tc>
          <w:tcPr>
            <w:tcW w:w="7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ind w:right="336"/>
              <w:spacing w:after="0" w:line="155" w:lineRule="exact"/>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ind w:right="336"/>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(22,145)</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(15,034)</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Cash (used in) provided by investing activities</w:t>
            </w:r>
          </w:p>
        </w:tc>
        <w:tc>
          <w:tcPr>
            <w:tcW w:w="2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(150,450)</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19,931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(used in) provided by financing activities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w:t>
            </w:r>
          </w:p>
        </w:tc>
      </w:tr>
      <w:tr>
        <w:trPr>
          <w:trHeight w:val="223"/>
        </w:trPr>
        <w:tc>
          <w:tcPr>
            <w:tcW w:w="77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(171,177)</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4,773</w:t>
            </w:r>
          </w:p>
        </w:tc>
        <w:tc>
          <w:tcPr>
            <w:tcW w:w="120" w:type="dxa"/>
            <w:vAlign w:val="bottom"/>
            <w:shd w:val="clear" w:color="auto" w:fill="CFF0FC"/>
          </w:tcPr>
          <w:p>
            <w:pPr>
              <w:spacing w:after="0"/>
              <w:rPr>
                <w:sz w:val="19"/>
                <w:szCs w:val="19"/>
                <w:color w:val="auto"/>
              </w:rPr>
            </w:pP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50"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 w:firstLine="673"/>
        <w:spacing w:after="0" w:line="257" w:lineRule="auto"/>
        <w:rPr>
          <w:sz w:val="20"/>
          <w:szCs w:val="20"/>
          <w:color w:val="auto"/>
        </w:rPr>
      </w:pPr>
      <w:r>
        <w:rPr>
          <w:rFonts w:ascii="Arial" w:cs="Arial" w:eastAsia="Arial" w:hAnsi="Arial"/>
          <w:sz w:val="18"/>
          <w:szCs w:val="18"/>
          <w:color w:val="auto"/>
        </w:rPr>
        <w:t>Net cash used in operating activities for the six months ended June 30, 2021, was $22.1 million, which consisted primarily of net loss of $24.5 million partially offset by non-cash charges of $2.6 million. Changes in our net operating assets decreased operating cash by $0.2 million. The non-cash charges primarily consisted of stock-based compensation of $1.8 million, depreciation and amortization of $0.5 million, and non-cash lease expense of $0.3 million. The change in our net operating assets and liabilities was primarily due to an increase in prepaid expenses and other assets, a decrease in accrued expenses, and an increase in outstanding payables.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ind w:left="680"/>
        <w:spacing w:after="0"/>
        <w:rPr>
          <w:sz w:val="20"/>
          <w:szCs w:val="20"/>
          <w:color w:val="auto"/>
        </w:rPr>
      </w:pPr>
      <w:r>
        <w:rPr>
          <w:rFonts w:ascii="Arial" w:cs="Arial" w:eastAsia="Arial" w:hAnsi="Arial"/>
          <w:sz w:val="17"/>
          <w:szCs w:val="17"/>
          <w:color w:val="auto"/>
        </w:rPr>
        <w:t>Net cash used in operating activities for the six months ended June 30, 2020, was $15.0 million, which consisted primarily of net loss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$15.2 million partially offset by non-cash charges of $1.1 million, and a net change of $0.9 million in our net operating assets. The non-cash charges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primarily consisted of stock-based compensation of $0.7 million and depreciation and amortization expense of $0.3 million. The change in our net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operating assets and liabilities was primarily due to an increase in amounts owed to vendors in 2020.</w:t>
      </w:r>
    </w:p>
    <w:p>
      <w:pPr>
        <w:spacing w:after="0" w:line="319"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right="580" w:firstLine="673"/>
        <w:spacing w:after="0" w:line="263" w:lineRule="auto"/>
        <w:rPr>
          <w:sz w:val="20"/>
          <w:szCs w:val="20"/>
          <w:color w:val="auto"/>
        </w:rPr>
      </w:pPr>
      <w:r>
        <w:rPr>
          <w:rFonts w:ascii="Arial" w:cs="Arial" w:eastAsia="Arial" w:hAnsi="Arial"/>
          <w:sz w:val="18"/>
          <w:szCs w:val="18"/>
          <w:color w:val="auto"/>
        </w:rPr>
        <w:t>Our investing activities used $150.4 million of cash during the six months ended June 30, 2021, which consisted primarily of purchases of marketable securities of $185.2 million, along with purchase of property and equipment of $0.6 million partially offset by maturities of marketable securities of $35.4 million.</w:t>
      </w:r>
    </w:p>
    <w:p>
      <w:pPr>
        <w:spacing w:after="0" w:line="76" w:lineRule="exact"/>
        <w:rPr>
          <w:sz w:val="20"/>
          <w:szCs w:val="20"/>
          <w:color w:val="auto"/>
        </w:rPr>
      </w:pPr>
    </w:p>
    <w:p>
      <w:pPr>
        <w:ind w:right="180" w:firstLine="673"/>
        <w:spacing w:after="0" w:line="263" w:lineRule="auto"/>
        <w:rPr>
          <w:sz w:val="20"/>
          <w:szCs w:val="20"/>
          <w:color w:val="auto"/>
        </w:rPr>
      </w:pPr>
      <w:r>
        <w:rPr>
          <w:rFonts w:ascii="Arial" w:cs="Arial" w:eastAsia="Arial" w:hAnsi="Arial"/>
          <w:sz w:val="18"/>
          <w:szCs w:val="18"/>
          <w:color w:val="auto"/>
        </w:rPr>
        <w:t>Our investing activities generated $19.9 million of cash during the six months ended June 30, 2020, which consisted primarily of purchases of marketable securities of $14.6 million, partially offset by maturities in our marketable securities of $34.6 million. We also had purchases of property and equipment of $0.1 million.</w:t>
      </w:r>
    </w:p>
    <w:p>
      <w:pPr>
        <w:spacing w:after="0" w:line="292" w:lineRule="exact"/>
        <w:rPr>
          <w:sz w:val="20"/>
          <w:szCs w:val="20"/>
          <w:color w:val="auto"/>
        </w:rPr>
      </w:pPr>
    </w:p>
    <w:p>
      <w:pPr>
        <w:ind w:left="68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40" w:firstLine="673"/>
        <w:spacing w:after="0" w:line="277" w:lineRule="auto"/>
        <w:rPr>
          <w:sz w:val="20"/>
          <w:szCs w:val="20"/>
          <w:color w:val="auto"/>
        </w:rPr>
      </w:pPr>
      <w:r>
        <w:rPr>
          <w:rFonts w:ascii="Arial" w:cs="Arial" w:eastAsia="Arial" w:hAnsi="Arial"/>
          <w:sz w:val="18"/>
          <w:szCs w:val="18"/>
          <w:color w:val="auto"/>
        </w:rPr>
        <w:t>Our financing activities provided $1.4 million of cash during the six months ended June 30, 2021, which consisted primarily of proceeds from the exercise of stock options.</w:t>
      </w:r>
    </w:p>
    <w:p>
      <w:pPr>
        <w:spacing w:after="0" w:line="62" w:lineRule="exact"/>
        <w:rPr>
          <w:sz w:val="20"/>
          <w:szCs w:val="20"/>
          <w:color w:val="auto"/>
        </w:rPr>
      </w:pPr>
    </w:p>
    <w:p>
      <w:pPr>
        <w:ind w:right="20" w:firstLine="673"/>
        <w:spacing w:after="0" w:line="277" w:lineRule="auto"/>
        <w:rPr>
          <w:sz w:val="20"/>
          <w:szCs w:val="20"/>
          <w:color w:val="auto"/>
        </w:rPr>
      </w:pPr>
      <w:r>
        <w:rPr>
          <w:rFonts w:ascii="Arial" w:cs="Arial" w:eastAsia="Arial" w:hAnsi="Arial"/>
          <w:sz w:val="18"/>
          <w:szCs w:val="18"/>
          <w:color w:val="auto"/>
        </w:rPr>
        <w:t>Our financing activities generated a decrease of $0.1 million in cash, cash equivalents, and restricted cash for the six months ended June 30, 2020, primarily comprising of payment of deferred offering costs.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80" w:firstLine="673"/>
        <w:spacing w:after="0" w:line="277" w:lineRule="auto"/>
        <w:rPr>
          <w:sz w:val="20"/>
          <w:szCs w:val="20"/>
          <w:color w:val="auto"/>
        </w:rPr>
      </w:pPr>
      <w:r>
        <w:rPr>
          <w:rFonts w:ascii="Arial" w:cs="Arial" w:eastAsia="Arial" w:hAnsi="Arial"/>
          <w:sz w:val="18"/>
          <w:szCs w:val="18"/>
          <w:color w:val="auto"/>
        </w:rPr>
        <w:t>We do not currently have, nor in the past had, any off-balance sheet arrangements, as defined in the rules and regulations of the SEC, during the periods presented.</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60" w:firstLine="673"/>
        <w:spacing w:after="0" w:line="259"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79" w:lineRule="exact"/>
        <w:rPr>
          <w:sz w:val="20"/>
          <w:szCs w:val="20"/>
          <w:color w:val="auto"/>
        </w:rPr>
      </w:pPr>
    </w:p>
    <w:p>
      <w:pPr>
        <w:ind w:firstLine="673"/>
        <w:spacing w:after="0" w:line="301" w:lineRule="auto"/>
        <w:rPr>
          <w:sz w:val="20"/>
          <w:szCs w:val="20"/>
          <w:color w:val="auto"/>
        </w:rPr>
      </w:pPr>
      <w:r>
        <w:rPr>
          <w:rFonts w:ascii="Arial" w:cs="Arial" w:eastAsia="Arial" w:hAnsi="Arial"/>
          <w:sz w:val="16"/>
          <w:szCs w:val="16"/>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During the six month period ended June 30, 2021, there were no material changes to our critical accounting policies from those described in our audited financial statements for the year ended December 31, 2020 included in our Annual Report on Form 10-K filed with the SEC on March 3, 2021, except as noted below.</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 Accrued Research and Development Costs and Related Prepaid Expenses</w:t>
      </w:r>
    </w:p>
    <w:p>
      <w:pPr>
        <w:spacing w:after="0" w:line="117" w:lineRule="exact"/>
        <w:rPr>
          <w:sz w:val="20"/>
          <w:szCs w:val="20"/>
          <w:color w:val="auto"/>
        </w:rPr>
      </w:pPr>
    </w:p>
    <w:p>
      <w:pPr>
        <w:ind w:firstLine="673"/>
        <w:spacing w:after="0" w:line="275" w:lineRule="auto"/>
        <w:rPr>
          <w:sz w:val="20"/>
          <w:szCs w:val="20"/>
          <w:color w:val="auto"/>
        </w:rPr>
      </w:pPr>
      <w:r>
        <w:rPr>
          <w:rFonts w:ascii="Arial" w:cs="Arial" w:eastAsia="Arial" w:hAnsi="Arial"/>
          <w:sz w:val="17"/>
          <w:szCs w:val="17"/>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Non-refundable research and development advance payments are deferred and capitalized. The capitalized amounts are expensed as the related goods are delivered or services are performed.</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60" w:firstLine="673"/>
        <w:spacing w:after="0" w:line="277" w:lineRule="auto"/>
        <w:rPr>
          <w:sz w:val="20"/>
          <w:szCs w:val="20"/>
          <w:color w:val="auto"/>
        </w:rPr>
      </w:pPr>
      <w:r>
        <w:rPr>
          <w:rFonts w:ascii="Arial" w:cs="Arial" w:eastAsia="Arial" w:hAnsi="Arial"/>
          <w:sz w:val="18"/>
          <w:szCs w:val="18"/>
          <w:color w:val="auto"/>
        </w:rPr>
        <w:t>For a description of recent accounting pronouncements, see Note 2 of the notes to our unaudited condensed financial statements included elsewhere in this Quarterly Report on Form 10-Q.</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right="60" w:firstLine="673"/>
        <w:spacing w:after="0" w:line="284" w:lineRule="auto"/>
        <w:rPr>
          <w:sz w:val="20"/>
          <w:szCs w:val="20"/>
          <w:color w:val="auto"/>
        </w:rPr>
      </w:pPr>
      <w:r>
        <w:rPr>
          <w:rFonts w:ascii="Arial" w:cs="Arial" w:eastAsia="Arial" w:hAnsi="Arial"/>
          <w:sz w:val="16"/>
          <w:szCs w:val="16"/>
          <w:color w:val="auto"/>
        </w:rPr>
        <w:t>We are an emerging growth company (or “EGC”), as defined in the Jumpstart Our Business Startups Act of 2012, as amended, or JOBS Act, enacted in April 2012. For as long as we continue to be an EGC, we may take advantage of exemptions from various reporting requirements that are applicable to other public companies that are not EGCs, including not being required to comply with the auditor attestation requirements of Section 404 of the Sarbanes-Oxley Act of 2002, as amended, or Sarbanes-Oxley Act,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will remain an EGC until the earlier of (1) the last day of the fiscal year</w:t>
      </w:r>
    </w:p>
    <w:p>
      <w:pPr>
        <w:spacing w:after="0" w:line="4" w:lineRule="exact"/>
        <w:rPr>
          <w:sz w:val="20"/>
          <w:szCs w:val="20"/>
          <w:color w:val="auto"/>
        </w:rPr>
      </w:pPr>
    </w:p>
    <w:p>
      <w:pPr>
        <w:ind w:right="20" w:firstLine="8"/>
        <w:spacing w:after="0" w:line="253" w:lineRule="auto"/>
        <w:tabs>
          <w:tab w:leader="none" w:pos="2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following the fifth anniversary of the closing of our IPO, (b) in which we have total annual gross revenue of at least $1.07 billion or (c) in which we are deemed to be a large accelerated filer, which requires the market value of our common stock that is held by non-affiliates to exceed $700 million as of the prior June 30th, or (2) the date on which we have issued more than $1 billion in non-convertible debt during the prior three-year period. Based on our common share market value at June 30, 2021, we expect to lose our EGC status on December 31, 2021 and qualify as a large accelerated filer and, as a result, may be subject to increased disclosure and governance requirements.</w:t>
      </w:r>
    </w:p>
    <w:p>
      <w:pPr>
        <w:spacing w:after="0" w:line="83" w:lineRule="exact"/>
        <w:rPr>
          <w:sz w:val="20"/>
          <w:szCs w:val="20"/>
          <w:color w:val="auto"/>
        </w:rPr>
      </w:pPr>
    </w:p>
    <w:p>
      <w:pPr>
        <w:ind w:right="40" w:firstLine="673"/>
        <w:spacing w:after="0" w:line="257"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For as long as we continue to be an EGC,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w:t>
      </w:r>
    </w:p>
    <w:p>
      <w:pPr>
        <w:spacing w:after="0" w:line="117" w:lineRule="exact"/>
        <w:rPr>
          <w:sz w:val="20"/>
          <w:szCs w:val="20"/>
          <w:color w:val="auto"/>
        </w:rPr>
      </w:pPr>
    </w:p>
    <w:p>
      <w:pPr>
        <w:ind w:firstLine="673"/>
        <w:spacing w:after="0" w:line="263" w:lineRule="auto"/>
        <w:rPr>
          <w:sz w:val="20"/>
          <w:szCs w:val="20"/>
          <w:color w:val="auto"/>
        </w:rPr>
      </w:pPr>
      <w:r>
        <w:rPr>
          <w:rFonts w:ascii="Arial" w:cs="Arial" w:eastAsia="Arial" w:hAnsi="Arial"/>
          <w:sz w:val="18"/>
          <w:szCs w:val="18"/>
          <w:color w:val="auto"/>
        </w:rPr>
        <w:t>We had cash and cash equivalents of $189.4 million as of June 30, 2021, which consists of interest-bearing U.S. treasury securities, money market funds and corporate debt securities. Our exposure due to changes in interest rates is not material due to the nature and amount of our money-market funds and short-term marketable securities.</w:t>
      </w:r>
    </w:p>
    <w:p>
      <w:pPr>
        <w:spacing w:after="0" w:line="76" w:lineRule="exact"/>
        <w:rPr>
          <w:sz w:val="20"/>
          <w:szCs w:val="20"/>
          <w:color w:val="auto"/>
        </w:rPr>
      </w:pPr>
    </w:p>
    <w:p>
      <w:pPr>
        <w:ind w:right="40" w:firstLine="673"/>
        <w:spacing w:after="0" w:line="342" w:lineRule="auto"/>
        <w:rPr>
          <w:sz w:val="20"/>
          <w:szCs w:val="20"/>
          <w:color w:val="auto"/>
        </w:rPr>
      </w:pPr>
      <w:r>
        <w:rPr>
          <w:rFonts w:ascii="Arial" w:cs="Arial" w:eastAsia="Arial" w:hAnsi="Arial"/>
          <w:sz w:val="16"/>
          <w:szCs w:val="16"/>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ind w:right="20" w:firstLine="673"/>
        <w:spacing w:after="0" w:line="254"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00" w:lineRule="exact"/>
        <w:rPr>
          <w:sz w:val="20"/>
          <w:szCs w:val="20"/>
          <w:color w:val="auto"/>
        </w:rPr>
      </w:pPr>
    </w:p>
    <w:p>
      <w:pPr>
        <w:ind w:right="20" w:firstLine="673"/>
        <w:spacing w:after="0" w:line="259" w:lineRule="auto"/>
        <w:rPr>
          <w:sz w:val="20"/>
          <w:szCs w:val="20"/>
          <w:color w:val="auto"/>
        </w:rPr>
      </w:pPr>
      <w:r>
        <w:rPr>
          <w:rFonts w:ascii="Arial" w:cs="Arial" w:eastAsia="Arial" w:hAnsi="Arial"/>
          <w:sz w:val="18"/>
          <w:szCs w:val="18"/>
          <w:color w:val="auto"/>
        </w:rPr>
        <w:t>We carry out a variety of ongoing procedures, under the supervision and with the participation of our management, including our Chief Executive Officer and Chief Financial Officer, to evaluate the effectiveness of the design and operation of our disclosure controls and procedures. Based on the foregoing, our Chief Executive Officer and Chief Financial Officer concluded that our disclosure controls and procedures were effective at the reasonable assurance level as of June 30, 2021.</w:t>
      </w:r>
    </w:p>
    <w:p>
      <w:pPr>
        <w:spacing w:after="0" w:line="79" w:lineRule="exact"/>
        <w:rPr>
          <w:sz w:val="20"/>
          <w:szCs w:val="20"/>
          <w:color w:val="auto"/>
        </w:rPr>
      </w:pPr>
    </w:p>
    <w:p>
      <w:pPr>
        <w:ind w:right="620" w:firstLine="673"/>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our most recent fiscal quarter that have materially affected, or are reasonably likely to materially affect, our internal control over financial reporting.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60" w:firstLine="673"/>
        <w:spacing w:after="0" w:line="277" w:lineRule="auto"/>
        <w:rPr>
          <w:sz w:val="20"/>
          <w:szCs w:val="20"/>
          <w:color w:val="auto"/>
        </w:rPr>
      </w:pPr>
      <w:r>
        <w:rPr>
          <w:rFonts w:ascii="Arial" w:cs="Arial" w:eastAsia="Arial" w:hAnsi="Arial"/>
          <w:sz w:val="18"/>
          <w:szCs w:val="18"/>
          <w:color w:val="auto"/>
        </w:rPr>
        <w:t>We are not currently involved in any litigation or legal proceedings that, in management’s opinion, are likely to have any material adverse effect on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673"/>
        <w:spacing w:after="0" w:line="255" w:lineRule="auto"/>
        <w:rPr>
          <w:sz w:val="20"/>
          <w:szCs w:val="20"/>
          <w:color w:val="auto"/>
        </w:rPr>
      </w:pPr>
      <w:r>
        <w:rPr>
          <w:rFonts w:ascii="Arial" w:cs="Arial" w:eastAsia="Arial" w:hAnsi="Arial"/>
          <w:sz w:val="18"/>
          <w:szCs w:val="18"/>
          <w:color w:val="auto"/>
        </w:rPr>
        <w:t>Other than as disclosed below, there have been no material changes to the Company’s risk factors as set forth in Part I, Item 1A of the Company’s Annual Report on Form 10-K for the fiscal year ended December 31, 2020, as supplemented by our Quarterly Report on Form 10-Q for the quarter ended March 31, 2021, each as filed with the SEC. You should carefully review and consider the information regarding certain factors which could materially affect our business, financial condition or future results set forth under the heading “Risk Factors” in our Annual Report on Form 10-K for the fiscal year ended December 31, 2020, as filed with the SEC on March 3, 2021, and our Quarterly Report on Form 10-Q for the quarterly period ended March 31, 2021, as filed with the SEC on May 14, 2021.</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Risks Related to Regulatory Process and Other Legal Compliance Matters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Changes in funding or disruptions at the FDA,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63" w:lineRule="exact"/>
        <w:rPr>
          <w:sz w:val="20"/>
          <w:szCs w:val="20"/>
          <w:color w:val="auto"/>
        </w:rPr>
      </w:pPr>
    </w:p>
    <w:p>
      <w:pPr>
        <w:ind w:right="140" w:firstLine="673"/>
        <w:spacing w:after="0" w:line="27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68" w:lineRule="exact"/>
        <w:rPr>
          <w:sz w:val="20"/>
          <w:szCs w:val="20"/>
          <w:color w:val="auto"/>
        </w:rPr>
      </w:pPr>
    </w:p>
    <w:p>
      <w:pPr>
        <w:ind w:right="20" w:firstLine="673"/>
        <w:spacing w:after="0" w:line="286"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in recent years, including for 35 days beginning on December 22, 2018, the U.S. government shut down several times and certain regulatory agencies, such as the FDA and the SEC, had to furlough critical employees and stop critical activities. Separately, in response to the COVID-19 pandemic, the FDA postponed most inspections of foreign manufacturing facilities and routine surveillance inspections of domestic manufacturing facilities in 2020. In May 2021, the FDA issued an updated guidance on manufacturing, supply chain, and drug and biological product inspections, indicating that it intends to continue using other tools and approaches where possible for pre-approval inspections, and that it will continue to conduct “mission-critical” inspections on a case-by-case basis, or, where possible to do so safely, resume prioritized domestic inspections, such as pre-approval and surveillance inspections. While the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in a timely manner, it could significantly impact the ability of the FDA to timely review and process our regulatory submissions, which could have a material adverse effect on our business. Further, in our operations as a public company, future government shutdowns or delays could impact our ability to access the public markets and obtain necessary capital in order to properly capitalize and continue our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measures aimed at reducing healthcare costs may have a material adverse effect on our business and results of operations.</w:t>
      </w:r>
    </w:p>
    <w:p>
      <w:pPr>
        <w:spacing w:after="0" w:line="140" w:lineRule="exact"/>
        <w:rPr>
          <w:sz w:val="20"/>
          <w:szCs w:val="20"/>
          <w:color w:val="auto"/>
        </w:rPr>
      </w:pPr>
    </w:p>
    <w:p>
      <w:pPr>
        <w:ind w:firstLine="673"/>
        <w:spacing w:after="0" w:line="255"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6" w:name="page27"/>
    <w:bookmarkEnd w:id="26"/>
    <w:p>
      <w:pPr>
        <w:ind w:right="20" w:firstLine="673"/>
        <w:spacing w:after="0" w:line="269"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Affordable Care Act, or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77" w:lineRule="exact"/>
        <w:rPr>
          <w:sz w:val="20"/>
          <w:szCs w:val="20"/>
          <w:color w:val="auto"/>
        </w:rPr>
      </w:pPr>
    </w:p>
    <w:p>
      <w:pPr>
        <w:ind w:firstLine="673"/>
        <w:spacing w:after="0" w:line="286" w:lineRule="auto"/>
        <w:rPr>
          <w:sz w:val="20"/>
          <w:szCs w:val="20"/>
          <w:color w:val="auto"/>
        </w:rPr>
      </w:pPr>
      <w:r>
        <w:rPr>
          <w:rFonts w:ascii="Arial" w:cs="Arial" w:eastAsia="Arial" w:hAnsi="Arial"/>
          <w:sz w:val="16"/>
          <w:szCs w:val="16"/>
          <w:color w:val="auto"/>
        </w:rPr>
        <w:t>There have been legislative and judicial efforts to repeal, replace, or change some or all of the ACA, including judicial challenges in the Fifth Circuit Court and the United States Supreme Court. While Congress has not passed repeal legislation to date, the Tax Cuts and Jobs Act, or Tax Act, repealed, effective January 1, 2019, the tax-based shared responsibility payment imposed by the ACA on certain individuals who fail to maintain qualifying health coverage for all or part of a year that is commonly referred to as the “individual mandate.” On December 14, 2018, a federal district court in Texas ruled the individual mandate is a critical and inseverable feature of the ACA, and therefore, because it was repealed as part of the Tax Act, the remaining provisions of the ACA are invalid as well. On December 18, 2019, the Fifth Circuit U.S. Court of Appeals held that the individual mandate is unconstitutional, and remanded the case to the lower court to reconsider its earlier invalidation of the full ACA. In June 2021, the United States Supreme Court held that Texas and other challengers had no legal standing to challenge the ACA, dismissing the case without specifically ruling on the constitutionality of the ACA. Accordingly, the ACA remains in effect in its current form. It is unclear how this Supreme Court decision, future litigation, or healthcare measures promulgated by the Biden administration will impact our business, financial condition and results of operations. In January 2021, President Biden issued an executive order to initiate a special enrollment period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Complying with any new legislation or changes in healthcare regulation could be time-intensive and expensive, resulting in a material adverse effect on our business.</w:t>
      </w:r>
    </w:p>
    <w:p>
      <w:pPr>
        <w:spacing w:after="0" w:line="59" w:lineRule="exact"/>
        <w:rPr>
          <w:sz w:val="20"/>
          <w:szCs w:val="20"/>
          <w:color w:val="auto"/>
        </w:rPr>
      </w:pPr>
    </w:p>
    <w:p>
      <w:pPr>
        <w:ind w:right="160" w:firstLine="673"/>
        <w:spacing w:after="0" w:line="273"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For example,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 Other legislative changes include aggregate reductions to Medicare payments to providers of 2% per fiscal year pursuant to the Budget Control Act of 2011, which began in 2013 and will remain in effect through 2030, with the exception of a temporary suspension implemented under various COVID-19 relief legislation from May 1, 2020 through the end of 2021, unless additional Congressional action is taken.</w:t>
      </w:r>
    </w:p>
    <w:p>
      <w:pPr>
        <w:spacing w:after="0" w:line="70" w:lineRule="exact"/>
        <w:rPr>
          <w:sz w:val="20"/>
          <w:szCs w:val="20"/>
          <w:color w:val="auto"/>
        </w:rPr>
      </w:pPr>
    </w:p>
    <w:p>
      <w:pPr>
        <w:ind w:firstLine="673"/>
        <w:spacing w:after="0" w:line="267" w:lineRule="auto"/>
        <w:rPr>
          <w:sz w:val="20"/>
          <w:szCs w:val="20"/>
          <w:color w:val="auto"/>
        </w:rPr>
      </w:pPr>
      <w:r>
        <w:rPr>
          <w:rFonts w:ascii="Arial" w:cs="Arial" w:eastAsia="Arial" w:hAnsi="Arial"/>
          <w:sz w:val="17"/>
          <w:szCs w:val="17"/>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for example, in May 2019, CMS issued a final rule to allow Medicare Advantage Plans the option of using step therapy, a type of prior authorization, for Part B drugs beginning January 1, 2020. This final rule codified CMS’s policy change that was effective January 1, 2019. In 2020, under the Trump administration, HHS and CMS issued various rules that are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In January 2021, the Biden administration issued a “regulatory freeze” memorandum that directs department and agency heads to review new or pending rules of the prior administration. It is unclear whether these new regulations will be withdrawn or when they will become fully effective under the Biden administration. The impact of these lawsuits as well as legislative, executive, and administrative actions of the Biden administration on us, our ability to generate revenue and achieve profitability, and the pharmaceutical industry as a whole is unclear. Further,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7" w:name="page28"/>
    <w:bookmarkEnd w:id="27"/>
    <w:p>
      <w:pPr>
        <w:ind w:right="80" w:firstLine="673"/>
        <w:spacing w:after="0" w:line="257" w:lineRule="auto"/>
        <w:rPr>
          <w:sz w:val="20"/>
          <w:szCs w:val="20"/>
          <w:color w:val="auto"/>
        </w:rPr>
      </w:pPr>
      <w:r>
        <w:rPr>
          <w:rFonts w:ascii="Arial" w:cs="Arial" w:eastAsia="Arial" w:hAnsi="Arial"/>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80" w:lineRule="exact"/>
        <w:rPr>
          <w:sz w:val="20"/>
          <w:szCs w:val="20"/>
          <w:color w:val="auto"/>
        </w:rPr>
      </w:pPr>
    </w:p>
    <w:p>
      <w:pPr>
        <w:ind w:right="60" w:firstLine="673"/>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70" w:lineRule="exact"/>
        <w:rPr>
          <w:sz w:val="20"/>
          <w:szCs w:val="20"/>
          <w:color w:val="auto"/>
        </w:rPr>
      </w:pPr>
    </w:p>
    <w:p>
      <w:pPr>
        <w:ind w:right="320" w:firstLine="673"/>
        <w:spacing w:after="0" w:line="259"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79" w:lineRule="exact"/>
        <w:rPr>
          <w:sz w:val="20"/>
          <w:szCs w:val="20"/>
          <w:color w:val="auto"/>
        </w:rPr>
      </w:pPr>
    </w:p>
    <w:p>
      <w:pPr>
        <w:ind w:firstLine="673"/>
        <w:spacing w:after="0" w:line="301" w:lineRule="auto"/>
        <w:rPr>
          <w:sz w:val="20"/>
          <w:szCs w:val="20"/>
          <w:color w:val="auto"/>
        </w:rPr>
      </w:pPr>
      <w:r>
        <w:rPr>
          <w:rFonts w:ascii="Arial" w:cs="Arial" w:eastAsia="Arial" w:hAnsi="Arial"/>
          <w:sz w:val="16"/>
          <w:szCs w:val="16"/>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49" w:lineRule="exact"/>
        <w:rPr>
          <w:sz w:val="20"/>
          <w:szCs w:val="20"/>
          <w:color w:val="auto"/>
        </w:rPr>
      </w:pPr>
    </w:p>
    <w:p>
      <w:pPr>
        <w:ind w:left="960" w:hanging="291"/>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960" w:hanging="291"/>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960" w:hanging="291"/>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960" w:hanging="291"/>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960" w:hanging="291"/>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960" w:hanging="291"/>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31" w:lineRule="exact"/>
        <w:rPr>
          <w:sz w:val="20"/>
          <w:szCs w:val="20"/>
          <w:color w:val="auto"/>
        </w:rPr>
      </w:pPr>
    </w:p>
    <w:p>
      <w:pPr>
        <w:ind w:right="60" w:firstLine="673"/>
        <w:spacing w:after="0" w:line="277"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278"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6" w:lineRule="exact"/>
        <w:rPr>
          <w:sz w:val="20"/>
          <w:szCs w:val="20"/>
          <w:color w:val="auto"/>
        </w:rPr>
      </w:pPr>
    </w:p>
    <w:p>
      <w:pPr>
        <w:ind w:right="40" w:firstLine="673"/>
        <w:spacing w:after="0" w:line="279" w:lineRule="auto"/>
        <w:rPr>
          <w:sz w:val="20"/>
          <w:szCs w:val="20"/>
          <w:color w:val="auto"/>
        </w:rPr>
      </w:pPr>
      <w:r>
        <w:rPr>
          <w:rFonts w:ascii="Arial" w:cs="Arial" w:eastAsia="Arial" w:hAnsi="Arial"/>
          <w:sz w:val="17"/>
          <w:szCs w:val="17"/>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The laws that may affect our ability to operate include, but are not limited to:</w:t>
      </w:r>
    </w:p>
    <w:p>
      <w:pPr>
        <w:spacing w:after="0" w:line="63" w:lineRule="exact"/>
        <w:rPr>
          <w:sz w:val="20"/>
          <w:szCs w:val="20"/>
          <w:color w:val="auto"/>
        </w:rPr>
      </w:pPr>
    </w:p>
    <w:p>
      <w:pPr>
        <w:ind w:left="960" w:hanging="291"/>
        <w:spacing w:after="0" w:line="254"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There are a number of statutory exceptions and regulatory safe harbors protecting some common activities from prosecution;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left="960" w:hanging="291"/>
        <w:spacing w:after="0" w:line="269" w:lineRule="auto"/>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the False Claims Act, or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70" w:lineRule="exact"/>
        <w:rPr>
          <w:rFonts w:ascii="Arial" w:cs="Arial" w:eastAsia="Arial" w:hAnsi="Arial"/>
          <w:sz w:val="17"/>
          <w:szCs w:val="17"/>
          <w:color w:val="auto"/>
        </w:rPr>
      </w:pPr>
    </w:p>
    <w:p>
      <w:pPr>
        <w:ind w:left="960" w:hanging="291"/>
        <w:spacing w:after="0" w:line="291"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order to have committed a violation;</w:t>
      </w:r>
    </w:p>
    <w:p>
      <w:pPr>
        <w:spacing w:after="0" w:line="58" w:lineRule="exact"/>
        <w:rPr>
          <w:rFonts w:ascii="Arial" w:cs="Arial" w:eastAsia="Arial" w:hAnsi="Arial"/>
          <w:sz w:val="16"/>
          <w:szCs w:val="16"/>
          <w:color w:val="auto"/>
        </w:rPr>
      </w:pPr>
    </w:p>
    <w:p>
      <w:pPr>
        <w:ind w:left="960" w:hanging="291"/>
        <w:spacing w:after="0" w:line="291"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federal Physician Payment Sunshine Act, created under the ACA and its implementing regulations, which require applicable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covered recipients, including physicians (defined to include doctors, dentists, optometrists, podiatrists and chiropractors) and teaching hospitals, as well as ownership and investment interests held by physicians, as defined by law, and their immediate family members. Effective January 1, 2022, for data reported in 2022, these reporting obligations with respect to covered recipients are extended to include payments and transfers of value made during the previous year to certain non-physician providers, such as physician assistants and nurse practitioners;</w:t>
      </w:r>
    </w:p>
    <w:p>
      <w:pPr>
        <w:spacing w:after="0" w:line="58" w:lineRule="exact"/>
        <w:rPr>
          <w:rFonts w:ascii="Arial" w:cs="Arial" w:eastAsia="Arial" w:hAnsi="Arial"/>
          <w:sz w:val="16"/>
          <w:szCs w:val="16"/>
          <w:color w:val="auto"/>
        </w:rPr>
      </w:pPr>
    </w:p>
    <w:p>
      <w:pPr>
        <w:ind w:left="960" w:right="260" w:hanging="291"/>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960" w:right="140" w:hanging="291"/>
        <w:spacing w:after="0" w:line="290" w:lineRule="auto"/>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57" w:lineRule="exact"/>
        <w:rPr>
          <w:sz w:val="20"/>
          <w:szCs w:val="20"/>
          <w:color w:val="auto"/>
        </w:rPr>
      </w:pPr>
    </w:p>
    <w:p>
      <w:pPr>
        <w:ind w:right="40" w:firstLine="673"/>
        <w:spacing w:after="0" w:line="286" w:lineRule="auto"/>
        <w:rPr>
          <w:sz w:val="20"/>
          <w:szCs w:val="20"/>
          <w:color w:val="auto"/>
        </w:rPr>
      </w:pPr>
      <w:r>
        <w:rPr>
          <w:rFonts w:ascii="Arial" w:cs="Arial" w:eastAsia="Arial" w:hAnsi="Arial"/>
          <w:sz w:val="16"/>
          <w:szCs w:val="16"/>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u w:val="single" w:color="auto"/>
          <w:color w:val="auto"/>
        </w:rPr>
        <w:t>Risks Related to Ownership of Our Common Stock</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right="80" w:firstLine="673"/>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2020, as amended, or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76" w:lineRule="exact"/>
        <w:rPr>
          <w:sz w:val="20"/>
          <w:szCs w:val="20"/>
          <w:color w:val="auto"/>
        </w:rPr>
      </w:pPr>
    </w:p>
    <w:p>
      <w:pPr>
        <w:ind w:left="960" w:right="140" w:hanging="291"/>
        <w:spacing w:after="0" w:line="342" w:lineRule="auto"/>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960" w:right="380" w:hanging="291"/>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Sarbanes-Oxley Act;</w:t>
      </w:r>
    </w:p>
    <w:p>
      <w:pPr>
        <w:spacing w:after="0" w:line="62" w:lineRule="exact"/>
        <w:rPr>
          <w:rFonts w:ascii="Arial" w:cs="Arial" w:eastAsia="Arial" w:hAnsi="Arial"/>
          <w:sz w:val="18"/>
          <w:szCs w:val="18"/>
          <w:color w:val="auto"/>
        </w:rPr>
      </w:pPr>
    </w:p>
    <w:p>
      <w:pPr>
        <w:ind w:left="960" w:right="480" w:hanging="291"/>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960" w:hanging="291"/>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 and</w:t>
      </w:r>
    </w:p>
    <w:p>
      <w:pPr>
        <w:spacing w:after="0" w:line="117" w:lineRule="exact"/>
        <w:rPr>
          <w:rFonts w:ascii="Arial" w:cs="Arial" w:eastAsia="Arial" w:hAnsi="Arial"/>
          <w:sz w:val="18"/>
          <w:szCs w:val="18"/>
          <w:color w:val="auto"/>
        </w:rPr>
      </w:pPr>
    </w:p>
    <w:p>
      <w:pPr>
        <w:ind w:left="960" w:right="80" w:hanging="291"/>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76" w:lineRule="exact"/>
        <w:rPr>
          <w:sz w:val="20"/>
          <w:szCs w:val="20"/>
          <w:color w:val="auto"/>
        </w:rPr>
      </w:pPr>
    </w:p>
    <w:p>
      <w:pPr>
        <w:ind w:right="60" w:firstLine="673"/>
        <w:spacing w:after="0" w:line="301"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63" w:lineRule="exact"/>
        <w:rPr>
          <w:sz w:val="20"/>
          <w:szCs w:val="20"/>
          <w:color w:val="auto"/>
        </w:rPr>
      </w:pPr>
    </w:p>
    <w:p>
      <w:pPr>
        <w:ind w:firstLine="673"/>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IPO.</w:t>
      </w:r>
    </w:p>
    <w:p>
      <w:pPr>
        <w:spacing w:after="0" w:line="92" w:lineRule="exact"/>
        <w:rPr>
          <w:sz w:val="20"/>
          <w:szCs w:val="20"/>
          <w:color w:val="auto"/>
        </w:rPr>
      </w:pPr>
    </w:p>
    <w:p>
      <w:pPr>
        <w:ind w:right="200" w:firstLine="673"/>
        <w:spacing w:after="0" w:line="259" w:lineRule="auto"/>
        <w:rPr>
          <w:sz w:val="20"/>
          <w:szCs w:val="20"/>
          <w:color w:val="auto"/>
        </w:rPr>
      </w:pPr>
      <w:r>
        <w:rPr>
          <w:rFonts w:ascii="Arial" w:cs="Arial" w:eastAsia="Arial" w:hAnsi="Arial"/>
          <w:sz w:val="18"/>
          <w:szCs w:val="18"/>
          <w:color w:val="auto"/>
        </w:rPr>
        <w:t>Based on our June 30, 2021 market capitalization, we expect that we will cease to be an emerging growth company on December 31, 2021, and will no longer be eligible for reduced disclosure requirements and exemptions applicable to emerging growth companies. We expect that our loss of emerging growth company status will require additional attention from management and will result in increased costs to us, which could include higher legal fees, accounting fees and fees associated with investor relations activities, among others.</w:t>
      </w:r>
    </w:p>
    <w:p>
      <w:pPr>
        <w:spacing w:after="0" w:line="92" w:lineRule="exact"/>
        <w:rPr>
          <w:sz w:val="20"/>
          <w:szCs w:val="20"/>
          <w:color w:val="auto"/>
        </w:rPr>
      </w:pPr>
    </w:p>
    <w:p>
      <w:pPr>
        <w:ind w:right="300" w:firstLine="673"/>
        <w:spacing w:after="0" w:line="342"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ind w:right="8740"/>
        <w:spacing w:after="0"/>
        <w:rPr>
          <w:sz w:val="20"/>
          <w:szCs w:val="20"/>
          <w:color w:val="auto"/>
        </w:rPr>
      </w:pPr>
      <w:r>
        <w:rPr>
          <w:rFonts w:ascii="Arial" w:cs="Arial" w:eastAsia="Arial" w:hAnsi="Arial"/>
          <w:sz w:val="16"/>
          <w:szCs w:val="16"/>
          <w:b w:val="1"/>
          <w:bCs w:val="1"/>
          <w:color w:val="auto"/>
        </w:rPr>
        <w:t>Item 4. Mine Safety Disclosures.</w:t>
      </w:r>
    </w:p>
    <w:p>
      <w:pPr>
        <w:spacing w:after="0" w:line="144" w:lineRule="exact"/>
        <w:rPr>
          <w:sz w:val="20"/>
          <w:szCs w:val="20"/>
          <w:color w:val="auto"/>
        </w:rPr>
      </w:pPr>
    </w:p>
    <w:p>
      <w:pPr>
        <w:jc w:val="center"/>
        <w:ind w:right="87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00"/>
        <w:spacing w:after="0"/>
        <w:tabs>
          <w:tab w:leader="none" w:pos="32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143" w:lineRule="exact"/>
        <w:rPr>
          <w:sz w:val="20"/>
          <w:szCs w:val="20"/>
          <w:color w:val="auto"/>
        </w:rPr>
      </w:pPr>
    </w:p>
    <w:p>
      <w:pPr>
        <w:ind w:left="3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50">
        <w:r>
          <w:rPr>
            <w:rFonts w:ascii="Arial" w:cs="Arial" w:eastAsia="Arial" w:hAnsi="Arial"/>
            <w:sz w:val="16"/>
            <w:szCs w:val="16"/>
            <w:u w:val="single" w:color="auto"/>
            <w:color w:val="0000EE"/>
          </w:rPr>
          <w:t>Amended and Restated Certificate of Incorporation of the Registrant</w:t>
        </w:r>
      </w:hyperlink>
    </w:p>
    <w:p>
      <w:pPr>
        <w:spacing w:after="0" w:line="158" w:lineRule="exact"/>
        <w:rPr>
          <w:sz w:val="20"/>
          <w:szCs w:val="20"/>
          <w:color w:val="auto"/>
        </w:rPr>
      </w:pPr>
    </w:p>
    <w:p>
      <w:pPr>
        <w:ind w:left="3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51">
        <w:r>
          <w:rPr>
            <w:rFonts w:ascii="Arial" w:cs="Arial" w:eastAsia="Arial" w:hAnsi="Arial"/>
            <w:sz w:val="16"/>
            <w:szCs w:val="16"/>
            <w:u w:val="single" w:color="auto"/>
            <w:color w:val="0000EE"/>
          </w:rPr>
          <w:t>Restated Bylaws of the Registrant</w:t>
        </w:r>
      </w:hyperlink>
    </w:p>
    <w:p>
      <w:pPr>
        <w:spacing w:after="0" w:line="158" w:lineRule="exact"/>
        <w:rPr>
          <w:sz w:val="20"/>
          <w:szCs w:val="20"/>
          <w:color w:val="auto"/>
        </w:rPr>
      </w:pPr>
    </w:p>
    <w:p>
      <w:pPr>
        <w:ind w:left="920" w:right="40" w:hanging="604"/>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52">
        <w:r>
          <w:rPr>
            <w:rFonts w:ascii="Arial" w:cs="Arial" w:eastAsia="Arial" w:hAnsi="Arial"/>
            <w:sz w:val="18"/>
            <w:szCs w:val="18"/>
            <w:u w:val="single" w:color="auto"/>
            <w:color w:val="0000EE"/>
          </w:rPr>
          <w:t>Amended and Restated Investors’ Rights Agreement, dated July 17, 2020, by</w:t>
        </w:r>
      </w:hyperlink>
      <w:r>
        <w:rPr>
          <w:rFonts w:ascii="Arial" w:cs="Arial" w:eastAsia="Arial" w:hAnsi="Arial"/>
          <w:sz w:val="18"/>
          <w:szCs w:val="18"/>
          <w:u w:val="single" w:color="auto"/>
          <w:color w:val="0000EE"/>
        </w:rPr>
        <w:t xml:space="preserve"> </w:t>
      </w:r>
      <w:hyperlink r:id="rId52">
        <w:r>
          <w:rPr>
            <w:rFonts w:ascii="Arial" w:cs="Arial" w:eastAsia="Arial" w:hAnsi="Arial"/>
            <w:sz w:val="18"/>
            <w:szCs w:val="18"/>
            <w:u w:val="single" w:color="auto"/>
            <w:color w:val="0000EE"/>
          </w:rPr>
          <w:t>and among the Registrant and certain of its stockholders.</w:t>
        </w:r>
      </w:hyperlink>
    </w:p>
    <w:p>
      <w:pPr>
        <w:spacing w:after="0" w:line="103" w:lineRule="exact"/>
        <w:rPr>
          <w:sz w:val="20"/>
          <w:szCs w:val="20"/>
          <w:color w:val="auto"/>
        </w:rPr>
      </w:pPr>
    </w:p>
    <w:p>
      <w:pPr>
        <w:ind w:left="3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53">
        <w:r>
          <w:rPr>
            <w:rFonts w:ascii="Arial" w:cs="Arial" w:eastAsia="Arial" w:hAnsi="Arial"/>
            <w:sz w:val="16"/>
            <w:szCs w:val="16"/>
            <w:u w:val="single" w:color="auto"/>
            <w:color w:val="0000EE"/>
          </w:rPr>
          <w:t>Specimen common stock certificate</w:t>
        </w:r>
      </w:hyperlink>
    </w:p>
    <w:p>
      <w:pPr>
        <w:spacing w:after="0" w:line="158" w:lineRule="exact"/>
        <w:rPr>
          <w:sz w:val="20"/>
          <w:szCs w:val="20"/>
          <w:color w:val="auto"/>
        </w:rPr>
      </w:pPr>
    </w:p>
    <w:p>
      <w:pPr>
        <w:ind w:left="920" w:right="200" w:hanging="694"/>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54">
        <w:r>
          <w:rPr>
            <w:rFonts w:ascii="Arial" w:cs="Arial" w:eastAsia="Arial" w:hAnsi="Arial"/>
            <w:sz w:val="18"/>
            <w:szCs w:val="18"/>
            <w:u w:val="single" w:color="auto"/>
            <w:color w:val="0000EE"/>
          </w:rPr>
          <w:t>Form of Indemnification Agreement between the Registrant and each of its</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directors and executive officers.</w:t>
        </w:r>
      </w:hyperlink>
    </w:p>
    <w:p>
      <w:pPr>
        <w:spacing w:after="0" w:line="103" w:lineRule="exact"/>
        <w:rPr>
          <w:sz w:val="20"/>
          <w:szCs w:val="20"/>
          <w:color w:val="auto"/>
        </w:rPr>
      </w:pPr>
    </w:p>
    <w:p>
      <w:pPr>
        <w:ind w:left="22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r:id="rId55">
        <w:r>
          <w:rPr>
            <w:rFonts w:ascii="Arial" w:cs="Arial" w:eastAsia="Arial" w:hAnsi="Arial"/>
            <w:sz w:val="16"/>
            <w:szCs w:val="16"/>
            <w:u w:val="single" w:color="auto"/>
            <w:color w:val="0000EE"/>
          </w:rPr>
          <w:t>2013 Equity Incentive Plan, as amended, and forms of agreement thereunder.</w:t>
        </w:r>
      </w:hyperlink>
    </w:p>
    <w:p>
      <w:pPr>
        <w:spacing w:after="0" w:line="158" w:lineRule="exact"/>
        <w:rPr>
          <w:sz w:val="20"/>
          <w:szCs w:val="20"/>
          <w:color w:val="auto"/>
        </w:rPr>
      </w:pPr>
    </w:p>
    <w:p>
      <w:pPr>
        <w:ind w:left="22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56">
        <w:r>
          <w:rPr>
            <w:rFonts w:ascii="Arial" w:cs="Arial" w:eastAsia="Arial" w:hAnsi="Arial"/>
            <w:sz w:val="16"/>
            <w:szCs w:val="16"/>
            <w:u w:val="single" w:color="auto"/>
            <w:color w:val="0000EE"/>
          </w:rPr>
          <w:t>2020 Equity Incentive Plan and forms of agreements thereunder.</w:t>
        </w:r>
      </w:hyperlink>
    </w:p>
    <w:p>
      <w:pPr>
        <w:spacing w:after="0" w:line="158" w:lineRule="exact"/>
        <w:rPr>
          <w:sz w:val="20"/>
          <w:szCs w:val="20"/>
          <w:color w:val="auto"/>
        </w:rPr>
      </w:pPr>
    </w:p>
    <w:p>
      <w:pPr>
        <w:ind w:left="220"/>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10.4*</w:t>
      </w:r>
      <w:r>
        <w:rPr>
          <w:sz w:val="20"/>
          <w:szCs w:val="20"/>
          <w:color w:val="auto"/>
        </w:rPr>
        <w:tab/>
      </w:r>
      <w:hyperlink r:id="rId57">
        <w:r>
          <w:rPr>
            <w:rFonts w:ascii="Arial" w:cs="Arial" w:eastAsia="Arial" w:hAnsi="Arial"/>
            <w:sz w:val="15"/>
            <w:szCs w:val="15"/>
            <w:u w:val="single" w:color="auto"/>
            <w:color w:val="0000EE"/>
          </w:rPr>
          <w:t>2020 Employee Stock Purchase Plan and forms of agreements thereunder.</w:t>
        </w:r>
      </w:hyperlink>
    </w:p>
    <w:p>
      <w:pPr>
        <w:spacing w:after="0" w:line="158" w:lineRule="exact"/>
        <w:rPr>
          <w:sz w:val="20"/>
          <w:szCs w:val="20"/>
          <w:color w:val="auto"/>
        </w:rPr>
      </w:pPr>
    </w:p>
    <w:p>
      <w:pPr>
        <w:ind w:left="920" w:right="580" w:hanging="694"/>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58">
        <w:r>
          <w:rPr>
            <w:rFonts w:ascii="Arial" w:cs="Arial" w:eastAsia="Arial" w:hAnsi="Arial"/>
            <w:sz w:val="18"/>
            <w:szCs w:val="18"/>
            <w:u w:val="single" w:color="auto"/>
            <w:color w:val="0000EE"/>
          </w:rPr>
          <w:t>Employment Offer Letter, dated August 17, 2020, by and between the</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Registrant and David H. Mack, Ph.D.</w:t>
        </w:r>
      </w:hyperlink>
    </w:p>
    <w:p>
      <w:pPr>
        <w:spacing w:after="0" w:line="103" w:lineRule="exact"/>
        <w:rPr>
          <w:sz w:val="20"/>
          <w:szCs w:val="20"/>
          <w:color w:val="auto"/>
        </w:rPr>
      </w:pPr>
    </w:p>
    <w:p>
      <w:pPr>
        <w:ind w:left="920" w:right="580" w:hanging="694"/>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59">
        <w:r>
          <w:rPr>
            <w:rFonts w:ascii="Arial" w:cs="Arial" w:eastAsia="Arial" w:hAnsi="Arial"/>
            <w:sz w:val="18"/>
            <w:szCs w:val="18"/>
            <w:u w:val="single" w:color="auto"/>
            <w:color w:val="0000EE"/>
          </w:rPr>
          <w:t>Employment Offer Letter, dated August 17, 2020, by and between the</w:t>
        </w:r>
      </w:hyperlink>
      <w:r>
        <w:rPr>
          <w:rFonts w:ascii="Arial" w:cs="Arial" w:eastAsia="Arial" w:hAnsi="Arial"/>
          <w:sz w:val="18"/>
          <w:szCs w:val="18"/>
          <w:u w:val="single" w:color="auto"/>
          <w:color w:val="0000EE"/>
        </w:rPr>
        <w:t xml:space="preserve"> </w:t>
      </w:r>
      <w:hyperlink r:id="rId59">
        <w:r>
          <w:rPr>
            <w:rFonts w:ascii="Arial" w:cs="Arial" w:eastAsia="Arial" w:hAnsi="Arial"/>
            <w:sz w:val="18"/>
            <w:szCs w:val="18"/>
            <w:u w:val="single" w:color="auto"/>
            <w:color w:val="0000EE"/>
          </w:rPr>
          <w:t>Registrant and Winston Kung.</w:t>
        </w:r>
      </w:hyperlink>
    </w:p>
    <w:p>
      <w:pPr>
        <w:spacing w:after="0" w:line="103" w:lineRule="exact"/>
        <w:rPr>
          <w:sz w:val="20"/>
          <w:szCs w:val="20"/>
          <w:color w:val="auto"/>
        </w:rPr>
      </w:pPr>
    </w:p>
    <w:p>
      <w:pPr>
        <w:ind w:left="920" w:right="580" w:hanging="694"/>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60">
        <w:r>
          <w:rPr>
            <w:rFonts w:ascii="Arial" w:cs="Arial" w:eastAsia="Arial" w:hAnsi="Arial"/>
            <w:sz w:val="18"/>
            <w:szCs w:val="18"/>
            <w:u w:val="single" w:color="auto"/>
            <w:color w:val="0000EE"/>
          </w:rPr>
          <w:t>Employment Offer Letter, dated August 18, 2020, by and between the</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Registrant and Leila Alland, M.D.</w:t>
        </w:r>
      </w:hyperlink>
    </w:p>
    <w:p>
      <w:pPr>
        <w:spacing w:after="0" w:line="103" w:lineRule="exact"/>
        <w:rPr>
          <w:sz w:val="20"/>
          <w:szCs w:val="20"/>
          <w:color w:val="auto"/>
        </w:rPr>
      </w:pPr>
    </w:p>
    <w:p>
      <w:pPr>
        <w:ind w:left="920" w:right="580" w:hanging="694"/>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61">
        <w:r>
          <w:rPr>
            <w:rFonts w:ascii="Arial" w:cs="Arial" w:eastAsia="Arial" w:hAnsi="Arial"/>
            <w:sz w:val="18"/>
            <w:szCs w:val="18"/>
            <w:u w:val="single" w:color="auto"/>
            <w:color w:val="0000EE"/>
          </w:rPr>
          <w:t>Employment Offer Letter, dated August 18, 2020, by and between the</w:t>
        </w:r>
      </w:hyperlink>
      <w:r>
        <w:rPr>
          <w:rFonts w:ascii="Arial" w:cs="Arial" w:eastAsia="Arial" w:hAnsi="Arial"/>
          <w:sz w:val="18"/>
          <w:szCs w:val="18"/>
          <w:u w:val="single" w:color="auto"/>
          <w:color w:val="0000EE"/>
        </w:rPr>
        <w:t xml:space="preserve"> </w:t>
      </w:r>
      <w:hyperlink r:id="rId61">
        <w:r>
          <w:rPr>
            <w:rFonts w:ascii="Arial" w:cs="Arial" w:eastAsia="Arial" w:hAnsi="Arial"/>
            <w:sz w:val="18"/>
            <w:szCs w:val="18"/>
            <w:u w:val="single" w:color="auto"/>
            <w:color w:val="0000EE"/>
          </w:rPr>
          <w:t>Registrant and Deepika Jalota, Pharm.D.</w:t>
        </w:r>
      </w:hyperlink>
    </w:p>
    <w:p>
      <w:pPr>
        <w:spacing w:after="0" w:line="103" w:lineRule="exact"/>
        <w:rPr>
          <w:sz w:val="20"/>
          <w:szCs w:val="20"/>
          <w:color w:val="auto"/>
        </w:rPr>
      </w:pPr>
    </w:p>
    <w:p>
      <w:pPr>
        <w:ind w:left="22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10.9*</w:t>
      </w:r>
      <w:r>
        <w:rPr>
          <w:sz w:val="20"/>
          <w:szCs w:val="20"/>
          <w:color w:val="auto"/>
        </w:rPr>
        <w:tab/>
      </w:r>
      <w:hyperlink r:id="rId62">
        <w:r>
          <w:rPr>
            <w:rFonts w:ascii="Arial" w:cs="Arial" w:eastAsia="Arial" w:hAnsi="Arial"/>
            <w:sz w:val="16"/>
            <w:szCs w:val="16"/>
            <w:u w:val="single" w:color="auto"/>
            <w:color w:val="0000EE"/>
          </w:rPr>
          <w:t>Employee Incentive Compensation Plan.</w:t>
        </w:r>
      </w:hyperlink>
    </w:p>
    <w:p>
      <w:pPr>
        <w:spacing w:after="0" w:line="158" w:lineRule="exact"/>
        <w:rPr>
          <w:sz w:val="20"/>
          <w:szCs w:val="20"/>
          <w:color w:val="auto"/>
        </w:rPr>
      </w:pPr>
    </w:p>
    <w:p>
      <w:pPr>
        <w:ind w:left="2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63">
        <w:r>
          <w:rPr>
            <w:rFonts w:ascii="Arial" w:cs="Arial" w:eastAsia="Arial" w:hAnsi="Arial"/>
            <w:sz w:val="16"/>
            <w:szCs w:val="16"/>
            <w:u w:val="single" w:color="auto"/>
            <w:color w:val="0000EE"/>
          </w:rPr>
          <w:t>Change in Control and Severance Policy.</w:t>
        </w:r>
      </w:hyperlink>
    </w:p>
    <w:p>
      <w:pPr>
        <w:spacing w:after="0" w:line="158" w:lineRule="exact"/>
        <w:rPr>
          <w:sz w:val="20"/>
          <w:szCs w:val="20"/>
          <w:color w:val="auto"/>
        </w:rPr>
      </w:pPr>
    </w:p>
    <w:p>
      <w:pPr>
        <w:jc w:val="both"/>
        <w:ind w:left="920" w:hanging="713"/>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64">
        <w:r>
          <w:rPr>
            <w:rFonts w:ascii="Arial" w:cs="Arial" w:eastAsia="Arial" w:hAnsi="Arial"/>
            <w:sz w:val="18"/>
            <w:szCs w:val="18"/>
            <w:u w:val="single" w:color="auto"/>
            <w:color w:val="0000EE"/>
          </w:rPr>
          <w:t>Amended and Restated Change in Control and Severance Policy Participation</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Agreement, dated August 17, 2020, by and between the Registrant and David</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H. Mack, Ph.D.</w:t>
        </w:r>
      </w:hyperlink>
    </w:p>
    <w:p>
      <w:pPr>
        <w:spacing w:after="0" w:line="116" w:lineRule="exact"/>
        <w:rPr>
          <w:rFonts w:ascii="Arial" w:cs="Arial" w:eastAsia="Arial" w:hAnsi="Arial"/>
          <w:sz w:val="18"/>
          <w:szCs w:val="18"/>
          <w:u w:val="single" w:color="auto"/>
          <w:color w:val="0000EE"/>
        </w:rPr>
      </w:pPr>
    </w:p>
    <w:p>
      <w:pPr>
        <w:ind w:left="920" w:hanging="717"/>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65">
        <w:r>
          <w:rPr>
            <w:rFonts w:ascii="Arial" w:cs="Arial" w:eastAsia="Arial" w:hAnsi="Arial"/>
            <w:sz w:val="18"/>
            <w:szCs w:val="18"/>
            <w:u w:val="single" w:color="auto"/>
            <w:color w:val="0000EE"/>
          </w:rPr>
          <w:t>Amended and Restated Change in Control and Severance Policy Participation</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Agreement, dated August 17, 2020, by and between the Registrant and</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Winston Kung.</w:t>
        </w:r>
      </w:hyperlink>
    </w:p>
    <w:p>
      <w:pPr>
        <w:spacing w:after="0" w:line="116" w:lineRule="exact"/>
        <w:rPr>
          <w:rFonts w:ascii="Arial" w:cs="Arial" w:eastAsia="Arial" w:hAnsi="Arial"/>
          <w:sz w:val="18"/>
          <w:szCs w:val="18"/>
          <w:u w:val="single" w:color="auto"/>
          <w:color w:val="0000EE"/>
        </w:rPr>
      </w:pPr>
    </w:p>
    <w:p>
      <w:pPr>
        <w:ind w:left="920" w:hanging="717"/>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66">
        <w:r>
          <w:rPr>
            <w:rFonts w:ascii="Arial" w:cs="Arial" w:eastAsia="Arial" w:hAnsi="Arial"/>
            <w:sz w:val="18"/>
            <w:szCs w:val="18"/>
            <w:u w:val="single" w:color="auto"/>
            <w:color w:val="0000EE"/>
          </w:rPr>
          <w:t>Amended and Restated Change in Control and Severance Policy Participation</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Agreement, dated August 18, 2020, by and between the Registrant and Leila</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Alland, M.D.</w:t>
        </w:r>
      </w:hyperlink>
    </w:p>
    <w:p>
      <w:pPr>
        <w:spacing w:after="0" w:line="116" w:lineRule="exact"/>
        <w:rPr>
          <w:rFonts w:ascii="Arial" w:cs="Arial" w:eastAsia="Arial" w:hAnsi="Arial"/>
          <w:sz w:val="18"/>
          <w:szCs w:val="18"/>
          <w:u w:val="single" w:color="auto"/>
          <w:color w:val="0000EE"/>
        </w:rPr>
      </w:pPr>
    </w:p>
    <w:p>
      <w:pPr>
        <w:ind w:left="920" w:hanging="717"/>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67">
        <w:r>
          <w:rPr>
            <w:rFonts w:ascii="Arial" w:cs="Arial" w:eastAsia="Arial" w:hAnsi="Arial"/>
            <w:sz w:val="18"/>
            <w:szCs w:val="18"/>
            <w:u w:val="single" w:color="auto"/>
            <w:color w:val="0000EE"/>
          </w:rPr>
          <w:t>Amended and Restated Change in Control and Severance Policy Participation</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Agreement, dated August 18, 2020, by and between the Registrant and</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Deepika Jalota, Pharm.D.</w:t>
        </w:r>
      </w:hyperlink>
    </w:p>
    <w:p>
      <w:pPr>
        <w:spacing w:after="0" w:line="116" w:lineRule="exact"/>
        <w:rPr>
          <w:rFonts w:ascii="Arial" w:cs="Arial" w:eastAsia="Arial" w:hAnsi="Arial"/>
          <w:sz w:val="18"/>
          <w:szCs w:val="18"/>
          <w:u w:val="single" w:color="auto"/>
          <w:color w:val="0000EE"/>
        </w:rPr>
      </w:pPr>
    </w:p>
    <w:p>
      <w:pPr>
        <w:ind w:left="20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68">
        <w:r>
          <w:rPr>
            <w:rFonts w:ascii="Arial" w:cs="Arial" w:eastAsia="Arial" w:hAnsi="Arial"/>
            <w:sz w:val="16"/>
            <w:szCs w:val="16"/>
            <w:u w:val="single" w:color="auto"/>
            <w:color w:val="0000EE"/>
          </w:rPr>
          <w:t>Outside Director Compensation Policy.</w:t>
        </w:r>
      </w:hyperlink>
    </w:p>
    <w:p>
      <w:pPr>
        <w:spacing w:after="0" w:line="158" w:lineRule="exact"/>
        <w:rPr>
          <w:rFonts w:ascii="Arial" w:cs="Arial" w:eastAsia="Arial" w:hAnsi="Arial"/>
          <w:sz w:val="18"/>
          <w:szCs w:val="18"/>
          <w:u w:val="single" w:color="auto"/>
          <w:color w:val="0000EE"/>
        </w:rPr>
      </w:pPr>
    </w:p>
    <w:p>
      <w:pPr>
        <w:ind w:left="920" w:right="40" w:hanging="71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69">
        <w:r>
          <w:rPr>
            <w:rFonts w:ascii="Arial" w:cs="Arial" w:eastAsia="Arial" w:hAnsi="Arial"/>
            <w:sz w:val="18"/>
            <w:szCs w:val="18"/>
            <w:u w:val="single" w:color="auto"/>
            <w:color w:val="0000EE"/>
          </w:rPr>
          <w:t>Consulting Agreement, dated January 1, 2016, by and between the Registrant</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and Arnold Levine, Ph.D.</w:t>
        </w:r>
      </w:hyperlink>
    </w:p>
    <w:p>
      <w:pPr>
        <w:spacing w:after="0" w:line="30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Form</w:t>
            </w:r>
          </w:p>
        </w:tc>
        <w:tc>
          <w:tcPr>
            <w:tcW w:w="1240" w:type="dxa"/>
            <w:vAlign w:val="bottom"/>
          </w:tcPr>
          <w:p>
            <w:pPr>
              <w:ind w:left="360"/>
              <w:spacing w:after="0"/>
              <w:rPr>
                <w:sz w:val="20"/>
                <w:szCs w:val="20"/>
                <w:color w:val="auto"/>
              </w:rPr>
            </w:pPr>
            <w:r>
              <w:rPr>
                <w:rFonts w:ascii="Arial" w:cs="Arial" w:eastAsia="Arial" w:hAnsi="Arial"/>
                <w:sz w:val="18"/>
                <w:szCs w:val="18"/>
                <w:b w:val="1"/>
                <w:bCs w:val="1"/>
                <w:color w:val="auto"/>
              </w:rPr>
              <w:t>File No.</w:t>
            </w:r>
          </w:p>
        </w:tc>
        <w:tc>
          <w:tcPr>
            <w:tcW w:w="920" w:type="dxa"/>
            <w:vAlign w:val="bottom"/>
          </w:tcPr>
          <w:p>
            <w:pPr>
              <w:ind w:left="160"/>
              <w:spacing w:after="0"/>
              <w:rPr>
                <w:sz w:val="20"/>
                <w:szCs w:val="20"/>
                <w:color w:val="auto"/>
              </w:rPr>
            </w:pPr>
            <w:r>
              <w:rPr>
                <w:rFonts w:ascii="Arial" w:cs="Arial" w:eastAsia="Arial" w:hAnsi="Arial"/>
                <w:sz w:val="18"/>
                <w:szCs w:val="18"/>
                <w:b w:val="1"/>
                <w:bCs w:val="1"/>
                <w:color w:val="auto"/>
              </w:rPr>
              <w:t>Number</w:t>
            </w:r>
          </w:p>
        </w:tc>
        <w:tc>
          <w:tcPr>
            <w:tcW w:w="156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Filing Date</w:t>
            </w:r>
          </w:p>
        </w:tc>
      </w:tr>
      <w:tr>
        <w:trPr>
          <w:trHeight w:val="351"/>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001-39539</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29, 2020</w:t>
            </w:r>
          </w:p>
        </w:tc>
      </w:tr>
      <w:tr>
        <w:trPr>
          <w:trHeight w:val="364"/>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001-39539</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29, 2020</w:t>
            </w:r>
          </w:p>
        </w:tc>
      </w:tr>
      <w:tr>
        <w:trPr>
          <w:trHeight w:val="364"/>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33-248627</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4, 2020</w:t>
            </w:r>
          </w:p>
        </w:tc>
      </w:tr>
      <w:tr>
        <w:trPr>
          <w:trHeight w:val="581"/>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7"/>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21, 2020</w:t>
            </w:r>
          </w:p>
        </w:tc>
      </w:tr>
      <w:tr>
        <w:trPr>
          <w:trHeight w:val="364"/>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4, 2020</w:t>
            </w:r>
          </w:p>
        </w:tc>
      </w:tr>
      <w:tr>
        <w:trPr>
          <w:trHeight w:val="581"/>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7"/>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21, 2020</w:t>
            </w:r>
          </w:p>
        </w:tc>
      </w:tr>
      <w:tr>
        <w:trPr>
          <w:trHeight w:val="364"/>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7"/>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21, 2020</w:t>
            </w:r>
          </w:p>
        </w:tc>
      </w:tr>
      <w:tr>
        <w:trPr>
          <w:trHeight w:val="364"/>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7"/>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21, 2020</w:t>
            </w:r>
          </w:p>
        </w:tc>
      </w:tr>
      <w:tr>
        <w:trPr>
          <w:trHeight w:val="365"/>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4, 2020</w:t>
            </w:r>
          </w:p>
        </w:tc>
      </w:tr>
      <w:tr>
        <w:trPr>
          <w:trHeight w:val="580"/>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4, 2020</w:t>
            </w:r>
          </w:p>
        </w:tc>
      </w:tr>
      <w:tr>
        <w:trPr>
          <w:trHeight w:val="581"/>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4, 2020</w:t>
            </w:r>
          </w:p>
        </w:tc>
      </w:tr>
      <w:tr>
        <w:trPr>
          <w:trHeight w:val="580"/>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4, 2020</w:t>
            </w:r>
          </w:p>
        </w:tc>
      </w:tr>
      <w:tr>
        <w:trPr>
          <w:trHeight w:val="580"/>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4, 2020</w:t>
            </w:r>
          </w:p>
        </w:tc>
      </w:tr>
      <w:tr>
        <w:trPr>
          <w:trHeight w:val="365"/>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4, 2020</w:t>
            </w:r>
          </w:p>
        </w:tc>
      </w:tr>
      <w:tr>
        <w:trPr>
          <w:trHeight w:val="364"/>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4, 2020</w:t>
            </w:r>
          </w:p>
        </w:tc>
      </w:tr>
      <w:tr>
        <w:trPr>
          <w:trHeight w:val="797"/>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4, 2020</w:t>
            </w:r>
          </w:p>
        </w:tc>
      </w:tr>
      <w:tr>
        <w:trPr>
          <w:trHeight w:val="796"/>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4, 2020</w:t>
            </w:r>
          </w:p>
        </w:tc>
      </w:tr>
      <w:tr>
        <w:trPr>
          <w:trHeight w:val="797"/>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4, 2020</w:t>
            </w:r>
          </w:p>
        </w:tc>
      </w:tr>
      <w:tr>
        <w:trPr>
          <w:trHeight w:val="796"/>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7"/>
              </w:rPr>
              <w:t>S-1/A</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21, 2020</w:t>
            </w:r>
          </w:p>
        </w:tc>
      </w:tr>
      <w:tr>
        <w:trPr>
          <w:trHeight w:val="365"/>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8"/>
              </w:rPr>
              <w:t>September 4, 2020</w:t>
            </w:r>
          </w:p>
        </w:tc>
      </w:tr>
    </w:tbl>
    <w:p>
      <w:pPr>
        <w:sectPr>
          <w:pgSz w:w="11900" w:h="16838" w:orient="portrait"/>
          <w:cols w:equalWidth="0" w:num="2">
            <w:col w:w="6520" w:space="200"/>
            <w:col w:w="4360"/>
          </w:cols>
          <w:pgMar w:left="320" w:top="337" w:right="499" w:bottom="1440" w:gutter="0" w:footer="0" w:header="0"/>
        </w:sectPr>
      </w:pPr>
    </w:p>
    <w:bookmarkStart w:id="31" w:name="page32"/>
    <w:bookmarkEnd w:id="31"/>
    <w:p>
      <w:pPr>
        <w:spacing w:after="0" w:line="13" w:lineRule="exact"/>
        <w:rPr>
          <w:sz w:val="20"/>
          <w:szCs w:val="20"/>
          <w:color w:val="auto"/>
        </w:rPr>
      </w:pPr>
    </w:p>
    <w:p>
      <w:pPr>
        <w:ind w:left="920" w:right="100" w:hanging="717"/>
        <w:spacing w:after="0" w:line="27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71">
        <w:r>
          <w:rPr>
            <w:rFonts w:ascii="Arial" w:cs="Arial" w:eastAsia="Arial" w:hAnsi="Arial"/>
            <w:sz w:val="18"/>
            <w:szCs w:val="18"/>
            <w:u w:val="single" w:color="auto"/>
            <w:color w:val="0000EE"/>
          </w:rPr>
          <w:t>Consulting Agreement, dated July 14, 2017, by and between the Registrant</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and Richard Heyman, Ph.D.</w:t>
        </w:r>
      </w:hyperlink>
    </w:p>
    <w:p>
      <w:pPr>
        <w:spacing w:after="0" w:line="103" w:lineRule="exact"/>
        <w:rPr>
          <w:sz w:val="20"/>
          <w:szCs w:val="20"/>
          <w:color w:val="auto"/>
        </w:rPr>
      </w:pPr>
    </w:p>
    <w:p>
      <w:pPr>
        <w:jc w:val="both"/>
        <w:ind w:left="920" w:right="80" w:hanging="694"/>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72">
        <w:r>
          <w:rPr>
            <w:rFonts w:ascii="Arial" w:cs="Arial" w:eastAsia="Arial" w:hAnsi="Arial"/>
            <w:sz w:val="18"/>
            <w:szCs w:val="18"/>
            <w:u w:val="single" w:color="auto"/>
            <w:color w:val="0000EE"/>
          </w:rPr>
          <w:t>Lease Agreement, dated March 3, 2015, by and between the Registrant and</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Cedar Brook 2005, LP, as amended by the First Amendment to Lease dated</w:t>
        </w:r>
      </w:hyperlink>
      <w:r>
        <w:rPr>
          <w:rFonts w:ascii="Arial" w:cs="Arial" w:eastAsia="Arial" w:hAnsi="Arial"/>
          <w:sz w:val="18"/>
          <w:szCs w:val="18"/>
          <w:u w:val="single" w:color="auto"/>
          <w:color w:val="0000EE"/>
        </w:rPr>
        <w:t xml:space="preserve"> </w:t>
      </w:r>
      <w:hyperlink r:id="rId72">
        <w:r>
          <w:rPr>
            <w:rFonts w:ascii="Arial" w:cs="Arial" w:eastAsia="Arial" w:hAnsi="Arial"/>
            <w:sz w:val="18"/>
            <w:szCs w:val="18"/>
            <w:u w:val="single" w:color="auto"/>
            <w:color w:val="0000EE"/>
          </w:rPr>
          <w:t>April 24, 2017.</w:t>
        </w:r>
      </w:hyperlink>
    </w:p>
    <w:p>
      <w:pPr>
        <w:spacing w:after="0" w:line="116" w:lineRule="exact"/>
        <w:rPr>
          <w:rFonts w:ascii="Arial" w:cs="Arial" w:eastAsia="Arial" w:hAnsi="Arial"/>
          <w:sz w:val="18"/>
          <w:szCs w:val="18"/>
          <w:u w:val="single" w:color="auto"/>
          <w:color w:val="0000EE"/>
        </w:rPr>
      </w:pPr>
    </w:p>
    <w:p>
      <w:pPr>
        <w:ind w:left="220"/>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10.19</w:t>
      </w:r>
      <w:r>
        <w:rPr>
          <w:sz w:val="20"/>
          <w:szCs w:val="20"/>
          <w:color w:val="auto"/>
        </w:rPr>
        <w:tab/>
      </w:r>
      <w:hyperlink r:id="rId73">
        <w:r>
          <w:rPr>
            <w:rFonts w:ascii="Arial" w:cs="Arial" w:eastAsia="Arial" w:hAnsi="Arial"/>
            <w:sz w:val="15"/>
            <w:szCs w:val="15"/>
            <w:u w:val="single" w:color="auto"/>
            <w:color w:val="0000EE"/>
          </w:rPr>
          <w:t>Lease Agreement, dated January 8, 2021, by and between the Registrant and</w:t>
        </w:r>
      </w:hyperlink>
    </w:p>
    <w:p>
      <w:pPr>
        <w:spacing w:after="0" w:line="23" w:lineRule="exact"/>
        <w:rPr>
          <w:rFonts w:ascii="Arial" w:cs="Arial" w:eastAsia="Arial" w:hAnsi="Arial"/>
          <w:sz w:val="18"/>
          <w:szCs w:val="18"/>
          <w:u w:val="single" w:color="auto"/>
          <w:color w:val="0000EE"/>
        </w:rPr>
      </w:pPr>
    </w:p>
    <w:p>
      <w:pPr>
        <w:ind w:left="920"/>
        <w:spacing w:after="0"/>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BMR-ONE RESEARCH WAY LLC.</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5"/>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10.17</w:t>
            </w:r>
          </w:p>
        </w:tc>
        <w:tc>
          <w:tcPr>
            <w:tcW w:w="1560" w:type="dxa"/>
            <w:vAlign w:val="bottom"/>
          </w:tcPr>
          <w:p>
            <w:pPr>
              <w:jc w:val="center"/>
              <w:ind w:left="110"/>
              <w:spacing w:after="0"/>
              <w:rPr>
                <w:sz w:val="20"/>
                <w:szCs w:val="20"/>
                <w:color w:val="auto"/>
              </w:rPr>
            </w:pPr>
            <w:r>
              <w:rPr>
                <w:rFonts w:ascii="Arial" w:cs="Arial" w:eastAsia="Arial" w:hAnsi="Arial"/>
                <w:sz w:val="18"/>
                <w:szCs w:val="18"/>
                <w:color w:val="auto"/>
                <w:w w:val="88"/>
              </w:rPr>
              <w:t>September 4, 2020</w:t>
            </w:r>
          </w:p>
        </w:tc>
      </w:tr>
      <w:tr>
        <w:trPr>
          <w:trHeight w:val="580"/>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85"/>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333-248627</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10.18</w:t>
            </w:r>
          </w:p>
        </w:tc>
        <w:tc>
          <w:tcPr>
            <w:tcW w:w="1560" w:type="dxa"/>
            <w:vAlign w:val="bottom"/>
          </w:tcPr>
          <w:p>
            <w:pPr>
              <w:jc w:val="center"/>
              <w:ind w:left="110"/>
              <w:spacing w:after="0"/>
              <w:rPr>
                <w:sz w:val="20"/>
                <w:szCs w:val="20"/>
                <w:color w:val="auto"/>
              </w:rPr>
            </w:pPr>
            <w:r>
              <w:rPr>
                <w:rFonts w:ascii="Arial" w:cs="Arial" w:eastAsia="Arial" w:hAnsi="Arial"/>
                <w:sz w:val="18"/>
                <w:szCs w:val="18"/>
                <w:color w:val="auto"/>
                <w:w w:val="88"/>
              </w:rPr>
              <w:t>September 4, 2020</w:t>
            </w:r>
          </w:p>
        </w:tc>
      </w:tr>
      <w:tr>
        <w:trPr>
          <w:trHeight w:val="797"/>
        </w:trPr>
        <w:tc>
          <w:tcPr>
            <w:tcW w:w="600" w:type="dxa"/>
            <w:vAlign w:val="bottom"/>
          </w:tcPr>
          <w:p>
            <w:pPr>
              <w:jc w:val="center"/>
              <w:ind w:right="150"/>
              <w:spacing w:after="0"/>
              <w:rPr>
                <w:sz w:val="20"/>
                <w:szCs w:val="20"/>
                <w:color w:val="auto"/>
              </w:rPr>
            </w:pPr>
            <w:r>
              <w:rPr>
                <w:rFonts w:ascii="Arial" w:cs="Arial" w:eastAsia="Arial" w:hAnsi="Arial"/>
                <w:sz w:val="18"/>
                <w:szCs w:val="18"/>
                <w:color w:val="auto"/>
                <w:w w:val="94"/>
              </w:rPr>
              <w:t>10-K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001-39539</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10.19</w:t>
            </w:r>
          </w:p>
        </w:tc>
        <w:tc>
          <w:tcPr>
            <w:tcW w:w="1560" w:type="dxa"/>
            <w:vAlign w:val="bottom"/>
          </w:tcPr>
          <w:p>
            <w:pPr>
              <w:jc w:val="center"/>
              <w:ind w:left="90"/>
              <w:spacing w:after="0"/>
              <w:rPr>
                <w:sz w:val="20"/>
                <w:szCs w:val="20"/>
                <w:color w:val="auto"/>
              </w:rPr>
            </w:pPr>
            <w:r>
              <w:rPr>
                <w:rFonts w:ascii="Arial" w:cs="Arial" w:eastAsia="Arial" w:hAnsi="Arial"/>
                <w:sz w:val="18"/>
                <w:szCs w:val="18"/>
                <w:color w:val="auto"/>
                <w:w w:val="92"/>
              </w:rPr>
              <w:t>March 3, 2021</w:t>
            </w:r>
          </w:p>
        </w:tc>
      </w:tr>
    </w:tbl>
    <w:p>
      <w:pPr>
        <w:spacing w:after="0" w:line="346" w:lineRule="exact"/>
        <w:rPr>
          <w:rFonts w:ascii="Arial" w:cs="Arial" w:eastAsia="Arial" w:hAnsi="Arial"/>
          <w:sz w:val="18"/>
          <w:szCs w:val="18"/>
          <w:u w:val="single" w:color="auto"/>
          <w:color w:val="0000EE"/>
        </w:rPr>
      </w:pPr>
    </w:p>
    <w:p>
      <w:pPr>
        <w:sectPr>
          <w:pgSz w:w="11900" w:h="16838" w:orient="portrait"/>
          <w:cols w:equalWidth="0" w:num="2">
            <w:col w:w="6420" w:space="340"/>
            <w:col w:w="4480"/>
          </w:cols>
          <w:pgMar w:left="320" w:top="341"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260"/>
              <w:spacing w:after="0"/>
              <w:rPr>
                <w:sz w:val="20"/>
                <w:szCs w:val="20"/>
                <w:color w:val="auto"/>
              </w:rPr>
            </w:pPr>
            <w:r>
              <w:rPr>
                <w:rFonts w:ascii="Arial" w:cs="Arial" w:eastAsia="Arial" w:hAnsi="Arial"/>
                <w:sz w:val="18"/>
                <w:szCs w:val="18"/>
                <w:color w:val="auto"/>
              </w:rPr>
              <w:t>31.1</w:t>
            </w:r>
          </w:p>
        </w:tc>
        <w:tc>
          <w:tcPr>
            <w:tcW w:w="5620" w:type="dxa"/>
            <w:vAlign w:val="bottom"/>
            <w:gridSpan w:val="6"/>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Certification of Principal Executive Officer Pursuant to Rules 13a-14(a) and</w:t>
              </w:r>
            </w:hyperlink>
          </w:p>
        </w:tc>
      </w:tr>
      <w:tr>
        <w:trPr>
          <w:trHeight w:val="20"/>
        </w:trPr>
        <w:tc>
          <w:tcPr>
            <w:tcW w:w="92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15d-14(a) under the Securities Exchange Act of 1934, as Adopted Pursuant to</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Section 302 of the Sarbanes-Oxley Act of 2002.</w:t>
              </w:r>
            </w:hyperlink>
          </w:p>
        </w:tc>
        <w:tc>
          <w:tcPr>
            <w:tcW w:w="2160" w:type="dxa"/>
            <w:vAlign w:val="bottom"/>
            <w:gridSpan w:val="5"/>
          </w:tcPr>
          <w:p>
            <w:pPr>
              <w:spacing w:after="0"/>
              <w:rPr>
                <w:sz w:val="17"/>
                <w:szCs w:val="17"/>
                <w:color w:val="auto"/>
              </w:rPr>
            </w:pPr>
          </w:p>
        </w:tc>
      </w:tr>
      <w:tr>
        <w:trPr>
          <w:trHeight w:val="344"/>
        </w:trPr>
        <w:tc>
          <w:tcPr>
            <w:tcW w:w="920" w:type="dxa"/>
            <w:vAlign w:val="bottom"/>
          </w:tcPr>
          <w:p>
            <w:pPr>
              <w:ind w:left="260"/>
              <w:spacing w:after="0"/>
              <w:rPr>
                <w:sz w:val="20"/>
                <w:szCs w:val="20"/>
                <w:color w:val="auto"/>
              </w:rPr>
            </w:pPr>
            <w:r>
              <w:rPr>
                <w:rFonts w:ascii="Arial" w:cs="Arial" w:eastAsia="Arial" w:hAnsi="Arial"/>
                <w:sz w:val="18"/>
                <w:szCs w:val="18"/>
                <w:color w:val="auto"/>
              </w:rPr>
              <w:t>31.2</w:t>
            </w:r>
          </w:p>
        </w:tc>
        <w:tc>
          <w:tcPr>
            <w:tcW w:w="548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Certification of Principal Financial Officer Pursuant to Rules 13a-14(a) and</w:t>
              </w:r>
            </w:hyperlink>
          </w:p>
        </w:tc>
        <w:tc>
          <w:tcPr>
            <w:tcW w:w="14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6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15d-14(a) under the Securities Exchange Act of 1934, as Adopted Pursuant to</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Section 302 of the Sarbanes-Oxley Act of 2002.</w:t>
              </w:r>
            </w:hyperlink>
          </w:p>
        </w:tc>
        <w:tc>
          <w:tcPr>
            <w:tcW w:w="2160" w:type="dxa"/>
            <w:vAlign w:val="bottom"/>
            <w:gridSpan w:val="5"/>
          </w:tcPr>
          <w:p>
            <w:pPr>
              <w:spacing w:after="0"/>
              <w:rPr>
                <w:sz w:val="17"/>
                <w:szCs w:val="17"/>
                <w:color w:val="auto"/>
              </w:rPr>
            </w:pPr>
          </w:p>
        </w:tc>
      </w:tr>
      <w:tr>
        <w:trPr>
          <w:trHeight w:val="345"/>
        </w:trPr>
        <w:tc>
          <w:tcPr>
            <w:tcW w:w="920" w:type="dxa"/>
            <w:vAlign w:val="bottom"/>
          </w:tcPr>
          <w:p>
            <w:pPr>
              <w:ind w:left="260"/>
              <w:spacing w:after="0"/>
              <w:rPr>
                <w:sz w:val="20"/>
                <w:szCs w:val="20"/>
                <w:color w:val="auto"/>
              </w:rPr>
            </w:pPr>
            <w:r>
              <w:rPr>
                <w:rFonts w:ascii="Arial" w:cs="Arial" w:eastAsia="Arial" w:hAnsi="Arial"/>
                <w:sz w:val="18"/>
                <w:szCs w:val="18"/>
                <w:color w:val="auto"/>
              </w:rPr>
              <w:t>32.1†</w:t>
            </w:r>
          </w:p>
        </w:tc>
        <w:tc>
          <w:tcPr>
            <w:tcW w:w="5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Certification of Principal Executive Officer Pursuant to 18 U.S.C. Section</w:t>
              </w:r>
            </w:hyperlink>
          </w:p>
        </w:tc>
        <w:tc>
          <w:tcPr>
            <w:tcW w:w="30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6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1350, as Adopted Pursuant to Section 906 of the Sarbanes-Oxley Act of 2002.</w:t>
              </w:r>
            </w:hyperlink>
          </w:p>
        </w:tc>
      </w:tr>
      <w:tr>
        <w:trPr>
          <w:trHeight w:val="344"/>
        </w:trPr>
        <w:tc>
          <w:tcPr>
            <w:tcW w:w="920" w:type="dxa"/>
            <w:vAlign w:val="bottom"/>
          </w:tcPr>
          <w:p>
            <w:pPr>
              <w:ind w:left="260"/>
              <w:spacing w:after="0"/>
              <w:rPr>
                <w:sz w:val="20"/>
                <w:szCs w:val="20"/>
                <w:color w:val="auto"/>
              </w:rPr>
            </w:pPr>
            <w:r>
              <w:rPr>
                <w:rFonts w:ascii="Arial" w:cs="Arial" w:eastAsia="Arial" w:hAnsi="Arial"/>
                <w:sz w:val="18"/>
                <w:szCs w:val="18"/>
                <w:color w:val="auto"/>
              </w:rPr>
              <w:t>32.2†</w:t>
            </w:r>
          </w:p>
        </w:tc>
        <w:tc>
          <w:tcPr>
            <w:tcW w:w="5620" w:type="dxa"/>
            <w:vAlign w:val="bottom"/>
            <w:gridSpan w:val="6"/>
          </w:tcPr>
          <w:p>
            <w:pPr>
              <w:spacing w:after="0"/>
              <w:rPr>
                <w:rFonts w:ascii="Arial" w:cs="Arial" w:eastAsia="Arial" w:hAnsi="Arial"/>
                <w:sz w:val="18"/>
                <w:szCs w:val="18"/>
                <w:color w:val="0000EE"/>
                <w:w w:val="98"/>
              </w:rPr>
            </w:pPr>
            <w:hyperlink w:anchor="page37">
              <w:r>
                <w:rPr>
                  <w:rFonts w:ascii="Arial" w:cs="Arial" w:eastAsia="Arial" w:hAnsi="Arial"/>
                  <w:sz w:val="18"/>
                  <w:szCs w:val="18"/>
                  <w:color w:val="0000EE"/>
                  <w:w w:val="98"/>
                </w:rPr>
                <w:t>Certification of Principal Financial Officer Pursuant to 18 U.S.C. Section</w:t>
              </w:r>
            </w:hyperlink>
          </w:p>
        </w:tc>
      </w:tr>
      <w:tr>
        <w:trPr>
          <w:trHeight w:val="20"/>
        </w:trPr>
        <w:tc>
          <w:tcPr>
            <w:tcW w:w="920" w:type="dxa"/>
            <w:vAlign w:val="bottom"/>
          </w:tcPr>
          <w:p>
            <w:pPr>
              <w:spacing w:after="0" w:line="20" w:lineRule="exact"/>
              <w:rPr>
                <w:sz w:val="1"/>
                <w:szCs w:val="1"/>
                <w:color w:val="auto"/>
              </w:rPr>
            </w:pPr>
          </w:p>
        </w:tc>
        <w:tc>
          <w:tcPr>
            <w:tcW w:w="5260" w:type="dxa"/>
            <w:vAlign w:val="bottom"/>
            <w:gridSpan w:val="2"/>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1350, as Adopted Pursuant to Section 906 of the Sarbanes-Oxley Act of 2002.</w:t>
              </w:r>
            </w:hyperlink>
          </w:p>
        </w:tc>
      </w:tr>
      <w:tr>
        <w:trPr>
          <w:trHeight w:val="385"/>
        </w:trPr>
        <w:tc>
          <w:tcPr>
            <w:tcW w:w="9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5620" w:type="dxa"/>
            <w:vAlign w:val="bottom"/>
            <w:gridSpan w:val="6"/>
          </w:tcPr>
          <w:p>
            <w:pPr>
              <w:spacing w:after="0"/>
              <w:rPr>
                <w:sz w:val="20"/>
                <w:szCs w:val="20"/>
                <w:color w:val="auto"/>
              </w:rPr>
            </w:pPr>
            <w:r>
              <w:rPr>
                <w:rFonts w:ascii="Arial" w:cs="Arial" w:eastAsia="Arial" w:hAnsi="Arial"/>
                <w:sz w:val="18"/>
                <w:szCs w:val="18"/>
                <w:color w:val="auto"/>
              </w:rPr>
              <w:t>Inline XBRL Instance Document</w:t>
            </w:r>
          </w:p>
        </w:tc>
      </w:tr>
      <w:tr>
        <w:trPr>
          <w:trHeight w:val="459"/>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56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59"/>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562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59"/>
        </w:trPr>
        <w:tc>
          <w:tcPr>
            <w:tcW w:w="92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562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59"/>
        </w:trPr>
        <w:tc>
          <w:tcPr>
            <w:tcW w:w="9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562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59"/>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562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23"/>
        </w:trPr>
        <w:tc>
          <w:tcPr>
            <w:tcW w:w="920" w:type="dxa"/>
            <w:vAlign w:val="bottom"/>
          </w:tcPr>
          <w:p>
            <w:pPr>
              <w:spacing w:after="0"/>
              <w:rPr>
                <w:sz w:val="24"/>
                <w:szCs w:val="24"/>
                <w:color w:val="auto"/>
              </w:rPr>
            </w:pPr>
          </w:p>
        </w:tc>
        <w:tc>
          <w:tcPr>
            <w:tcW w:w="562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5620" w:type="dxa"/>
            <w:vAlign w:val="bottom"/>
            <w:gridSpan w:val="6"/>
          </w:tcPr>
          <w:p>
            <w:pPr>
              <w:spacing w:after="0"/>
              <w:rPr>
                <w:sz w:val="20"/>
                <w:szCs w:val="20"/>
                <w:color w:val="auto"/>
              </w:rPr>
            </w:pPr>
            <w:r>
              <w:rPr>
                <w:rFonts w:ascii="Arial" w:cs="Arial" w:eastAsia="Arial" w:hAnsi="Arial"/>
                <w:sz w:val="18"/>
                <w:szCs w:val="18"/>
                <w:color w:val="auto"/>
              </w:rPr>
              <w:t>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000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55"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50" w:lineRule="exact"/>
        <w:rPr>
          <w:sz w:val="20"/>
          <w:szCs w:val="20"/>
          <w:color w:val="auto"/>
        </w:rPr>
      </w:pPr>
    </w:p>
    <w:p>
      <w:pPr>
        <w:ind w:left="580" w:hanging="572"/>
        <w:spacing w:after="0" w:line="25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80" w:firstLine="6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360" w:type="dxa"/>
            <w:vAlign w:val="bottom"/>
            <w:gridSpan w:val="2"/>
          </w:tcPr>
          <w:p>
            <w:pPr>
              <w:ind w:left="2220"/>
              <w:spacing w:after="0"/>
              <w:rPr>
                <w:sz w:val="20"/>
                <w:szCs w:val="20"/>
                <w:color w:val="auto"/>
              </w:rPr>
            </w:pPr>
            <w:r>
              <w:rPr>
                <w:rFonts w:ascii="Arial" w:cs="Arial" w:eastAsia="Arial" w:hAnsi="Arial"/>
                <w:sz w:val="18"/>
                <w:szCs w:val="18"/>
                <w:b w:val="1"/>
                <w:bCs w:val="1"/>
                <w:color w:val="auto"/>
              </w:rPr>
              <w:t>PMV Pharmaceuticals, Inc.</w:t>
            </w:r>
          </w:p>
        </w:tc>
      </w:tr>
      <w:tr>
        <w:trPr>
          <w:trHeight w:val="459"/>
        </w:trPr>
        <w:tc>
          <w:tcPr>
            <w:tcW w:w="3880" w:type="dxa"/>
            <w:vAlign w:val="bottom"/>
          </w:tcPr>
          <w:p>
            <w:pPr>
              <w:spacing w:after="0"/>
              <w:rPr>
                <w:sz w:val="20"/>
                <w:szCs w:val="20"/>
                <w:color w:val="auto"/>
              </w:rPr>
            </w:pPr>
            <w:r>
              <w:rPr>
                <w:rFonts w:ascii="Arial" w:cs="Arial" w:eastAsia="Arial" w:hAnsi="Arial"/>
                <w:sz w:val="18"/>
                <w:szCs w:val="18"/>
                <w:color w:val="auto"/>
              </w:rPr>
              <w:t>Date: August 13, 2021</w:t>
            </w:r>
          </w:p>
        </w:tc>
        <w:tc>
          <w:tcPr>
            <w:tcW w:w="2540" w:type="dxa"/>
            <w:vAlign w:val="bottom"/>
          </w:tcPr>
          <w:p>
            <w:pPr>
              <w:ind w:left="222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David H. Mack</w:t>
            </w:r>
          </w:p>
        </w:tc>
      </w:tr>
      <w:tr>
        <w:trPr>
          <w:trHeight w:val="222"/>
        </w:trPr>
        <w:tc>
          <w:tcPr>
            <w:tcW w:w="38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David H. Mack, Ph.D.</w:t>
            </w:r>
          </w:p>
        </w:tc>
      </w:tr>
      <w:tr>
        <w:trPr>
          <w:trHeight w:val="230"/>
        </w:trPr>
        <w:tc>
          <w:tcPr>
            <w:tcW w:w="38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30"/>
        </w:trPr>
        <w:tc>
          <w:tcPr>
            <w:tcW w:w="38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59"/>
        </w:trPr>
        <w:tc>
          <w:tcPr>
            <w:tcW w:w="3880" w:type="dxa"/>
            <w:vAlign w:val="bottom"/>
          </w:tcPr>
          <w:p>
            <w:pPr>
              <w:spacing w:after="0"/>
              <w:rPr>
                <w:sz w:val="24"/>
                <w:szCs w:val="24"/>
                <w:color w:val="auto"/>
              </w:rPr>
            </w:pPr>
          </w:p>
        </w:tc>
        <w:tc>
          <w:tcPr>
            <w:tcW w:w="7360" w:type="dxa"/>
            <w:vAlign w:val="bottom"/>
            <w:gridSpan w:val="2"/>
          </w:tcPr>
          <w:p>
            <w:pPr>
              <w:ind w:left="2220"/>
              <w:spacing w:after="0"/>
              <w:rPr>
                <w:sz w:val="20"/>
                <w:szCs w:val="20"/>
                <w:color w:val="auto"/>
              </w:rPr>
            </w:pPr>
            <w:r>
              <w:rPr>
                <w:rFonts w:ascii="Arial" w:cs="Arial" w:eastAsia="Arial" w:hAnsi="Arial"/>
                <w:sz w:val="18"/>
                <w:szCs w:val="18"/>
                <w:b w:val="1"/>
                <w:bCs w:val="1"/>
                <w:color w:val="auto"/>
              </w:rPr>
              <w:t>PMV Pharmaceuticals, Inc.</w:t>
            </w:r>
          </w:p>
        </w:tc>
      </w:tr>
      <w:tr>
        <w:trPr>
          <w:trHeight w:val="459"/>
        </w:trPr>
        <w:tc>
          <w:tcPr>
            <w:tcW w:w="3880" w:type="dxa"/>
            <w:vAlign w:val="bottom"/>
          </w:tcPr>
          <w:p>
            <w:pPr>
              <w:spacing w:after="0"/>
              <w:rPr>
                <w:sz w:val="20"/>
                <w:szCs w:val="20"/>
                <w:color w:val="auto"/>
              </w:rPr>
            </w:pPr>
            <w:r>
              <w:rPr>
                <w:rFonts w:ascii="Arial" w:cs="Arial" w:eastAsia="Arial" w:hAnsi="Arial"/>
                <w:sz w:val="18"/>
                <w:szCs w:val="18"/>
                <w:color w:val="auto"/>
              </w:rPr>
              <w:t>Date: August 13, 2021</w:t>
            </w:r>
          </w:p>
        </w:tc>
        <w:tc>
          <w:tcPr>
            <w:tcW w:w="2540" w:type="dxa"/>
            <w:vAlign w:val="bottom"/>
          </w:tcPr>
          <w:p>
            <w:pPr>
              <w:ind w:left="222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Winston Kung</w:t>
            </w:r>
          </w:p>
        </w:tc>
      </w:tr>
      <w:tr>
        <w:trPr>
          <w:trHeight w:val="224"/>
        </w:trPr>
        <w:tc>
          <w:tcPr>
            <w:tcW w:w="38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2"/>
              </w:rPr>
              <w:t>Winston Kung</w:t>
            </w:r>
          </w:p>
        </w:tc>
      </w:tr>
    </w:tbl>
    <w:p>
      <w:pPr>
        <w:jc w:val="center"/>
        <w:ind w:left="6380"/>
        <w:spacing w:after="0"/>
        <w:rPr>
          <w:sz w:val="20"/>
          <w:szCs w:val="20"/>
          <w:color w:val="auto"/>
        </w:rPr>
      </w:pPr>
      <w:r>
        <w:rPr>
          <w:rFonts w:ascii="Arial" w:cs="Arial" w:eastAsia="Arial" w:hAnsi="Arial"/>
          <w:sz w:val="18"/>
          <w:szCs w:val="18"/>
          <w:color w:val="auto"/>
        </w:rPr>
        <w:t>Chief Operating Officer and</w:t>
      </w:r>
    </w:p>
    <w:p>
      <w:pPr>
        <w:spacing w:after="0" w:line="22" w:lineRule="exact"/>
        <w:rPr>
          <w:sz w:val="20"/>
          <w:szCs w:val="20"/>
          <w:color w:val="auto"/>
        </w:rPr>
      </w:pPr>
    </w:p>
    <w:p>
      <w:pPr>
        <w:jc w:val="center"/>
        <w:ind w:left="6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553"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H. Mack, certify that:</w:t>
      </w:r>
    </w:p>
    <w:p>
      <w:pPr>
        <w:spacing w:after="0" w:line="225"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2021 of PMV Pharmaceuticals,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180" w:hanging="572"/>
        <w:spacing w:after="0" w:line="263"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40" w:val="left"/>
          <w:tab w:leader="none" w:pos="814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6">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2"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David H. Mack, Ph.D.</w:t>
      </w:r>
    </w:p>
    <w:p>
      <w:pPr>
        <w:spacing w:after="0" w:line="27"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President, Chief Executive Officer,</w:t>
      </w:r>
    </w:p>
    <w:p>
      <w:pPr>
        <w:spacing w:after="0" w:line="23"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and Director</w:t>
      </w:r>
    </w:p>
    <w:p>
      <w:pPr>
        <w:spacing w:after="0" w:line="9" w:lineRule="exact"/>
        <w:rPr>
          <w:sz w:val="20"/>
          <w:szCs w:val="20"/>
          <w:color w:val="auto"/>
        </w:rPr>
      </w:pPr>
    </w:p>
    <w:p>
      <w:pPr>
        <w:jc w:val="center"/>
        <w:ind w:left="640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5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Winston Kung, certify that:</w:t>
      </w:r>
    </w:p>
    <w:p>
      <w:pPr>
        <w:spacing w:after="0" w:line="225"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2021 of PMV Pharmaceuticals,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180" w:hanging="572"/>
        <w:spacing w:after="0" w:line="263"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40" w:val="left"/>
          <w:tab w:leader="none" w:pos="818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7">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2"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Winston Kung</w:t>
      </w:r>
    </w:p>
    <w:p>
      <w:pPr>
        <w:spacing w:after="0" w:line="27"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Chief Operating Officer</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35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 connection with the Quarterly Report on Form 10-Q for the period ended June 30, 2021 of PMV Pharmaceuticals, Inc. (the “Company”)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80" w:val="left"/>
          <w:tab w:leader="none" w:pos="794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David H. Mack, Ph.D.</w:t>
      </w:r>
    </w:p>
    <w:p>
      <w:pPr>
        <w:spacing w:after="0" w:line="27"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 connection with the Quarterly Report on Form 10-Q for the period ended June 30, 2021 of PMV Pharmaceuticals, Inc. (the “Company”)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80" w:val="left"/>
          <w:tab w:leader="none" w:pos="7980" w:val="left"/>
        </w:tabs>
        <w:rPr>
          <w:sz w:val="20"/>
          <w:szCs w:val="20"/>
          <w:color w:val="auto"/>
        </w:rPr>
      </w:pPr>
      <w:r>
        <w:rPr>
          <w:rFonts w:ascii="Arial" w:cs="Arial" w:eastAsia="Arial" w:hAnsi="Arial"/>
          <w:sz w:val="18"/>
          <w:szCs w:val="18"/>
          <w:color w:val="auto"/>
        </w:rPr>
        <w:t>Date: August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Winston Kung</w:t>
      </w:r>
    </w:p>
    <w:p>
      <w:pPr>
        <w:spacing w:after="0" w:line="27"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Operating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and Chief Financial Officer</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70" Type="http://schemas.openxmlformats.org/officeDocument/2006/relationships/image" Target="media/image43.png"/><Relationship Id="rId74" Type="http://schemas.openxmlformats.org/officeDocument/2006/relationships/image" Target="media/image44.png"/><Relationship Id="rId75" Type="http://schemas.openxmlformats.org/officeDocument/2006/relationships/image" Target="media/image45.png"/><Relationship Id="rId76" Type="http://schemas.openxmlformats.org/officeDocument/2006/relationships/image" Target="media/image46.png"/><Relationship Id="rId77" Type="http://schemas.openxmlformats.org/officeDocument/2006/relationships/image" Target="media/image47.png"/><Relationship Id="rId78" Type="http://schemas.openxmlformats.org/officeDocument/2006/relationships/image" Target="media/image48.png"/><Relationship Id="rId79" Type="http://schemas.openxmlformats.org/officeDocument/2006/relationships/image" Target="media/image49.png"/><Relationship Id="rId50" Type="http://schemas.openxmlformats.org/officeDocument/2006/relationships/hyperlink" Target="http://www.sec.gov/Archives/edgar/data/0001699382/000119312520257820/d95525dex31.htm" TargetMode="External"/><Relationship Id="rId51" Type="http://schemas.openxmlformats.org/officeDocument/2006/relationships/hyperlink" Target="http://www.sec.gov/Archives/edgar/data/0001699382/000119312520240132/d922470dex32.htm" TargetMode="External"/><Relationship Id="rId52" Type="http://schemas.openxmlformats.org/officeDocument/2006/relationships/hyperlink" Target="http://www.sec.gov/Archives/edgar/data/0001699382/000119312520240132/d922470dex41.htm" TargetMode="External"/><Relationship Id="rId53" Type="http://schemas.openxmlformats.org/officeDocument/2006/relationships/hyperlink" Target="http://www.sec.gov/Archives/edgar/data/0001699382/000119312520249570/d922470dex42.htm" TargetMode="External"/><Relationship Id="rId54" Type="http://schemas.openxmlformats.org/officeDocument/2006/relationships/hyperlink" Target="http://www.sec.gov/Archives/edgar/data/0001699382/000119312520240132/d922470dex101.htm" TargetMode="External"/><Relationship Id="rId55" Type="http://schemas.openxmlformats.org/officeDocument/2006/relationships/hyperlink" Target="http://www.sec.gov/Archives/edgar/data/0001699382/000119312520249570/d922470dex102.htm" TargetMode="External"/><Relationship Id="rId56" Type="http://schemas.openxmlformats.org/officeDocument/2006/relationships/hyperlink" Target="http://www.sec.gov/Archives/edgar/data/0001699382/000119312520249570/d922470dex103.htm" TargetMode="External"/><Relationship Id="rId57" Type="http://schemas.openxmlformats.org/officeDocument/2006/relationships/hyperlink" Target="http://www.sec.gov/Archives/edgar/data/0001699382/000119312520249570/d922470dex104.htm" TargetMode="External"/><Relationship Id="rId58" Type="http://schemas.openxmlformats.org/officeDocument/2006/relationships/hyperlink" Target="http://www.sec.gov/Archives/edgar/data/0001699382/000119312520240132/d922470dex105.htm" TargetMode="External"/><Relationship Id="rId59" Type="http://schemas.openxmlformats.org/officeDocument/2006/relationships/hyperlink" Target="http://www.sec.gov/Archives/edgar/data/0001699382/000119312520240132/d922470dex106.htm" TargetMode="External"/><Relationship Id="rId60" Type="http://schemas.openxmlformats.org/officeDocument/2006/relationships/hyperlink" Target="http://www.sec.gov/Archives/edgar/data/0001699382/000119312520240132/d922470dex107.htm" TargetMode="External"/><Relationship Id="rId61" Type="http://schemas.openxmlformats.org/officeDocument/2006/relationships/hyperlink" Target="http://www.sec.gov/Archives/edgar/data/0001699382/000119312520240132/d922470dex108.htm" TargetMode="External"/><Relationship Id="rId62" Type="http://schemas.openxmlformats.org/officeDocument/2006/relationships/hyperlink" Target="http://www.sec.gov/Archives/edgar/data/0001699382/000119312520240132/d922470dex109.htm" TargetMode="External"/><Relationship Id="rId63" Type="http://schemas.openxmlformats.org/officeDocument/2006/relationships/hyperlink" Target="http://www.sec.gov/Archives/edgar/data/0001699382/000119312520240132/d922470dex1010.htm" TargetMode="External"/><Relationship Id="rId64" Type="http://schemas.openxmlformats.org/officeDocument/2006/relationships/hyperlink" Target="http://www.sec.gov/Archives/edgar/data/0001699382/000119312520240132/d922470dex1011.htm" TargetMode="External"/><Relationship Id="rId65" Type="http://schemas.openxmlformats.org/officeDocument/2006/relationships/hyperlink" Target="http://www.sec.gov/Archives/edgar/data/0001699382/000119312520240132/d922470dex1012.htm" TargetMode="External"/><Relationship Id="rId66" Type="http://schemas.openxmlformats.org/officeDocument/2006/relationships/hyperlink" Target="http://www.sec.gov/Archives/edgar/data/0001699382/000119312520240132/d922470dex1013.htm" TargetMode="External"/><Relationship Id="rId67" Type="http://schemas.openxmlformats.org/officeDocument/2006/relationships/hyperlink" Target="http://www.sec.gov/Archives/edgar/data/0001699382/000119312520240132/d922470dex1014.htm" TargetMode="External"/><Relationship Id="rId68" Type="http://schemas.openxmlformats.org/officeDocument/2006/relationships/hyperlink" Target="http://www.sec.gov/Archives/edgar/data/0001699382/000119312520249570/d922470dex1015.htm" TargetMode="External"/><Relationship Id="rId69" Type="http://schemas.openxmlformats.org/officeDocument/2006/relationships/hyperlink" Target="http://www.sec.gov/Archives/edgar/data/0001699382/000119312520240132/d922470dex1016.htm" TargetMode="External"/><Relationship Id="rId71" Type="http://schemas.openxmlformats.org/officeDocument/2006/relationships/hyperlink" Target="http://www.sec.gov/Archives/edgar/data/0001699382/000119312520240132/d922470dex1017.htm" TargetMode="External"/><Relationship Id="rId72" Type="http://schemas.openxmlformats.org/officeDocument/2006/relationships/hyperlink" Target="http://www.sec.gov/Archives/edgar/data/0001699382/000119312520240132/d922470dex1018.htm" TargetMode="External"/><Relationship Id="rId73" Type="http://schemas.openxmlformats.org/officeDocument/2006/relationships/hyperlink" Target="http://www.sec.gov/Archives/edgar/data/1699382/000156459021010578/pmvp-ex1019_2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2021-08-13T05:20:26Z</dcterms:created>
  <dcterms:modified xsi:type="dcterms:W3CDTF">2021-08-13T05:20:26Z</dcterms:modified>
</cp:coreProperties>
</file>