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593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157"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4"/>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Schroeder Thilo</w:t>
              </w:r>
            </w:hyperlink>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PMV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PMVP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gridSpan w:val="5"/>
            <w:vMerge w:val="restart"/>
          </w:tcPr>
          <w:p>
            <w:pPr>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4"/>
            <w:vMerge w:val="continue"/>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gridSpan w:val="2"/>
            <w:vMerge w:val="restart"/>
          </w:tcPr>
          <w:p>
            <w:pPr>
              <w:ind w:left="80"/>
              <w:spacing w:after="0"/>
              <w:rPr>
                <w:sz w:val="20"/>
                <w:szCs w:val="20"/>
                <w:color w:val="auto"/>
              </w:rPr>
            </w:pPr>
            <w:r>
              <w:rPr>
                <w:rFonts w:ascii="Arial" w:cs="Arial" w:eastAsia="Arial" w:hAnsi="Arial"/>
                <w:sz w:val="17"/>
                <w:szCs w:val="17"/>
                <w:color w:val="0000FF"/>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300" w:type="dxa"/>
            <w:vAlign w:val="bottom"/>
          </w:tcPr>
          <w:p>
            <w:pPr>
              <w:spacing w:after="0"/>
              <w:rPr>
                <w:sz w:val="2"/>
                <w:szCs w:val="2"/>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gridSpan w:val="7"/>
            <w:vMerge w:val="continue"/>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300" w:type="dxa"/>
            <w:vAlign w:val="bottom"/>
          </w:tcPr>
          <w:p>
            <w:pPr>
              <w:spacing w:after="0"/>
              <w:rPr>
                <w:sz w:val="13"/>
                <w:szCs w:val="13"/>
                <w:color w:val="auto"/>
              </w:rPr>
            </w:pPr>
          </w:p>
        </w:tc>
        <w:tc>
          <w:tcPr>
            <w:tcW w:w="760" w:type="dxa"/>
            <w:vAlign w:val="bottom"/>
            <w:gridSpan w:val="2"/>
          </w:tcPr>
          <w:p>
            <w:pPr>
              <w:ind w:left="28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C/O PMV PHARMACEUTICALS, INC.</w:t>
            </w:r>
          </w:p>
        </w:tc>
        <w:tc>
          <w:tcPr>
            <w:tcW w:w="1460" w:type="dxa"/>
            <w:vAlign w:val="bottom"/>
            <w:gridSpan w:val="6"/>
          </w:tcPr>
          <w:p>
            <w:pPr>
              <w:ind w:left="160"/>
              <w:spacing w:after="0"/>
              <w:rPr>
                <w:sz w:val="20"/>
                <w:szCs w:val="20"/>
                <w:color w:val="auto"/>
              </w:rPr>
            </w:pPr>
            <w:r>
              <w:rPr>
                <w:rFonts w:ascii="Arial" w:cs="Arial" w:eastAsia="Arial" w:hAnsi="Arial"/>
                <w:sz w:val="17"/>
                <w:szCs w:val="17"/>
                <w:color w:val="0000FF"/>
              </w:rPr>
              <w:t>05/20/2021</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8 CLARKE DRIVE, SUITE 3</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340" w:type="dxa"/>
            <w:vAlign w:val="bottom"/>
            <w:gridSpan w:val="11"/>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8"/>
            <w:vMerge w:val="continue"/>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3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gridSpan w:val="3"/>
            <w:vMerge w:val="restart"/>
          </w:tcPr>
          <w:p>
            <w:pPr>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20" w:type="dxa"/>
            <w:vAlign w:val="bottom"/>
            <w:gridSpan w:val="10"/>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CRANBURY</w:t>
            </w:r>
          </w:p>
        </w:tc>
        <w:tc>
          <w:tcPr>
            <w:tcW w:w="260" w:type="dxa"/>
            <w:vAlign w:val="bottom"/>
            <w:gridSpan w:val="2"/>
          </w:tcPr>
          <w:p>
            <w:pPr>
              <w:ind w:left="40"/>
              <w:spacing w:after="0"/>
              <w:rPr>
                <w:sz w:val="20"/>
                <w:szCs w:val="20"/>
                <w:color w:val="auto"/>
              </w:rPr>
            </w:pPr>
            <w:r>
              <w:rPr>
                <w:rFonts w:ascii="Arial" w:cs="Arial" w:eastAsia="Arial" w:hAnsi="Arial"/>
                <w:sz w:val="17"/>
                <w:szCs w:val="17"/>
                <w:color w:val="0000FF"/>
                <w:w w:val="96"/>
              </w:rPr>
              <w:t>NJ</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08512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gridSpan w:val="3"/>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80" w:type="dxa"/>
            <w:vAlign w:val="bottom"/>
            <w:tcBorders>
              <w:top w:val="single" w:sz="8" w:color="2C2C2C"/>
            </w:tcBorders>
            <w:gridSpan w:val="20"/>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6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8"/>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ind w:left="720"/>
              <w:spacing w:after="0"/>
              <w:rPr>
                <w:sz w:val="20"/>
                <w:szCs w:val="20"/>
                <w:color w:val="auto"/>
              </w:rPr>
            </w:pPr>
            <w:r>
              <w:rPr>
                <w:rFonts w:ascii="Arial" w:cs="Arial" w:eastAsia="Arial" w:hAnsi="Arial"/>
                <w:sz w:val="17"/>
                <w:szCs w:val="17"/>
                <w:color w:val="0000FF"/>
              </w:rPr>
              <w:t>05/20/2021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7"/>
                <w:szCs w:val="17"/>
                <w:color w:val="0000FF"/>
                <w:w w:val="89"/>
              </w:rPr>
              <w:t>2,911</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ind w:left="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35.65</w:t>
            </w:r>
            <w:r>
              <w:rPr>
                <w:rFonts w:ascii="Arial" w:cs="Arial" w:eastAsia="Arial" w:hAnsi="Arial"/>
                <w:sz w:val="22"/>
                <w:szCs w:val="22"/>
                <w:color w:val="008000"/>
                <w:w w:val="97"/>
                <w:vertAlign w:val="superscript"/>
              </w:rPr>
              <w:t>(2)</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2,101,503</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ind w:left="720"/>
              <w:spacing w:after="0"/>
              <w:rPr>
                <w:sz w:val="20"/>
                <w:szCs w:val="20"/>
                <w:color w:val="auto"/>
              </w:rPr>
            </w:pPr>
            <w:r>
              <w:rPr>
                <w:rFonts w:ascii="Arial" w:cs="Arial" w:eastAsia="Arial" w:hAnsi="Arial"/>
                <w:sz w:val="17"/>
                <w:szCs w:val="17"/>
                <w:color w:val="0000FF"/>
              </w:rPr>
              <w:t>05/21/2021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2"/>
              </w:rPr>
              <w:t>19,774</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ind w:left="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35.84</w:t>
            </w:r>
            <w:r>
              <w:rPr>
                <w:rFonts w:ascii="Arial" w:cs="Arial" w:eastAsia="Arial" w:hAnsi="Arial"/>
                <w:sz w:val="22"/>
                <w:szCs w:val="22"/>
                <w:color w:val="008000"/>
                <w:w w:val="97"/>
                <w:vertAlign w:val="superscript"/>
              </w:rPr>
              <w:t>(4)</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2,081,729</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ind w:left="720"/>
              <w:spacing w:after="0"/>
              <w:rPr>
                <w:sz w:val="20"/>
                <w:szCs w:val="20"/>
                <w:color w:val="auto"/>
              </w:rPr>
            </w:pPr>
            <w:r>
              <w:rPr>
                <w:rFonts w:ascii="Arial" w:cs="Arial" w:eastAsia="Arial" w:hAnsi="Arial"/>
                <w:sz w:val="17"/>
                <w:szCs w:val="17"/>
                <w:color w:val="0000FF"/>
              </w:rPr>
              <w:t>05/24/2021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2"/>
              </w:rPr>
              <w:t>22,095</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ind w:left="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36.03</w:t>
            </w:r>
            <w:r>
              <w:rPr>
                <w:rFonts w:ascii="Arial" w:cs="Arial" w:eastAsia="Arial" w:hAnsi="Arial"/>
                <w:sz w:val="22"/>
                <w:szCs w:val="22"/>
                <w:color w:val="008000"/>
                <w:w w:val="97"/>
                <w:vertAlign w:val="superscript"/>
              </w:rPr>
              <w:t>(5)</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2,059,634</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2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6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20" w:type="dxa"/>
            <w:vAlign w:val="bottom"/>
            <w:gridSpan w:val="2"/>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gridSpan w:val="5"/>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50"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$35.61 to 35.77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62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of record by Nextech V Oncology S.C.S., SICAV-SIF. The Reporting Person is a partner at Nextech Invest AG and in the Investment Committee of Nextech Invest AG, with significant influence over Nextech V Oncology S.C.S., SICAV-SIF in terms of investment decisions, selling strategy of shares and voting power and as a result, may be deemed to have beneficial ownership over such securities. The Reporting Person disclaims beneficial ownership over the shares reported herein except to the extent of his pecuniary interest therein, if any.</w:t>
      </w:r>
    </w:p>
    <w:p>
      <w:pPr>
        <w:spacing w:after="0" w:line="8" w:lineRule="exact"/>
        <w:rPr>
          <w:rFonts w:ascii="Arial" w:cs="Arial" w:eastAsia="Arial" w:hAnsi="Arial"/>
          <w:sz w:val="12"/>
          <w:szCs w:val="12"/>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$35.60 to $36.20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$35.61 to $36.29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Darren DeStefano,</w:t>
            </w:r>
          </w:p>
        </w:tc>
        <w:tc>
          <w:tcPr>
            <w:tcW w:w="5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05/24/2021</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15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6412" TargetMode="External"/><Relationship Id="rId13"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2021-05-24T19:00:30Z</dcterms:created>
  <dcterms:modified xsi:type="dcterms:W3CDTF">2021-05-24T19:00:30Z</dcterms:modified>
</cp:coreProperties>
</file>