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us69353y1038_070824.txt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PMV PHARMACEUTICALS,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69353Y103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June 30, 2024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69353Y103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1162193</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1162193</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1162193</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2.3%</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PMV PHARMACEUTICALS,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ONE RESEACH WAY</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PRINCETON NJ 08540</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1162193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1162193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1162193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X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N/A ]</w:t>
      </w:r>
    </w:p>
    <w:p>
      <w:pPr>
        <w:spacing w:after="0" w:line="201"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a group has filed this schedule pursuant to Rule 13d-1(b)(ii)(J),</w:t>
      </w:r>
    </w:p>
    <w:p>
      <w:pPr>
        <w:sectPr>
          <w:pgSz w:w="11900" w:h="16838" w:orient="portrait"/>
          <w:cols w:equalWidth="0" w:num="1">
            <w:col w:w="10139"/>
          </w:cols>
          <w:pgMar w:left="320" w:top="110" w:right="1440" w:bottom="0" w:gutter="0" w:footer="0" w:header="0"/>
          <w:type w:val="continuous"/>
        </w:sectPr>
      </w:pPr>
    </w:p>
    <w:bookmarkStart w:id="3" w:name="page4"/>
    <w:bookmarkEnd w:id="3"/>
    <w:p>
      <w:pPr>
        <w:ind w:right="2759"/>
        <w:spacing w:after="0" w:line="289" w:lineRule="auto"/>
        <w:rPr>
          <w:sz w:val="20"/>
          <w:szCs w:val="20"/>
          <w:color w:val="auto"/>
        </w:rPr>
      </w:pPr>
      <w:r>
        <w:rPr>
          <w:rFonts w:ascii="Courier New" w:cs="Courier New" w:eastAsia="Courier New" w:hAnsi="Courier New"/>
          <w:sz w:val="16"/>
          <w:szCs w:val="16"/>
          <w:color w:val="auto"/>
        </w:rPr>
        <w:t>so indicate under Item 3(j) and attach an exhibit stating the identity and Item 3 classification of each member of the group. If a group</w:t>
      </w:r>
    </w:p>
    <w:p>
      <w:pPr>
        <w:jc w:val="both"/>
        <w:ind w:right="3079"/>
        <w:spacing w:after="0" w:line="377" w:lineRule="auto"/>
        <w:rPr>
          <w:sz w:val="20"/>
          <w:szCs w:val="20"/>
          <w:color w:val="auto"/>
        </w:rPr>
      </w:pPr>
      <w:r>
        <w:rPr>
          <w:rFonts w:ascii="Courier New" w:cs="Courier New" w:eastAsia="Courier New" w:hAnsi="Courier New"/>
          <w:sz w:val="16"/>
          <w:szCs w:val="16"/>
          <w:color w:val="auto"/>
        </w:rPr>
        <w:t>has filed this schedule pursuant to Rule 13d-1(c) or Rule 13d-1(d), attach an exhibit stating the identity of each member of the group.</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July 8,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In accordance with SEC Release</w:t>
      </w:r>
    </w:p>
    <w:p>
      <w:pPr>
        <w:spacing w:after="0" w:line="31" w:lineRule="exact"/>
        <w:rPr>
          <w:sz w:val="20"/>
          <w:szCs w:val="20"/>
          <w:color w:val="auto"/>
        </w:rPr>
      </w:pPr>
    </w:p>
    <w:p>
      <w:pPr>
        <w:ind w:left="120" w:right="3079"/>
        <w:spacing w:after="0" w:line="268" w:lineRule="auto"/>
        <w:rPr>
          <w:sz w:val="20"/>
          <w:szCs w:val="20"/>
          <w:color w:val="auto"/>
        </w:rPr>
      </w:pPr>
      <w:r>
        <w:rPr>
          <w:rFonts w:ascii="Courier New" w:cs="Courier New" w:eastAsia="Courier New" w:hAnsi="Courier New"/>
          <w:sz w:val="16"/>
          <w:szCs w:val="16"/>
          <w:color w:val="auto"/>
        </w:rPr>
        <w:t>no.34-39538 (January 12, 1998), this Schedule 13G reflects the securities beneficially owned, or deemed to be beneficially owned, by BlackRock, Inc. It does not include securities, if any, beneficially owned by certain business units whose ownership of securities is disaggregated from that of BlackRock, Inc.</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 accordance with such release.</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ectPr>
          <w:pgSz w:w="11900" w:h="16838" w:orient="portrait"/>
          <w:cols w:equalWidth="0" w:num="1">
            <w:col w:w="10139"/>
          </w:cols>
          <w:pgMar w:left="320" w:top="110" w:right="1440" w:bottom="0" w:gutter="0" w:footer="0" w:header="0"/>
        </w:sectPr>
      </w:pPr>
    </w:p>
    <w:bookmarkStart w:id="4" w:name="page5"/>
    <w:bookmarkEnd w:id="4"/>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sectPr>
      <w:pgSz w:w="11900" w:h="16838" w:orient="portrait"/>
      <w:cols w:equalWidth="0" w:num="1">
        <w:col w:w="10139"/>
      </w:cols>
      <w:pgMar w:left="320" w:top="5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2024-07-08T15:37:20Z</dcterms:created>
  <dcterms:modified xsi:type="dcterms:W3CDTF">2024-07-08T15:37:20Z</dcterms:modified>
</cp:coreProperties>
</file>