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07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LEVINE ARNOLD J</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8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05/12/2021</w:t>
            </w: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260" w:type="dxa"/>
            <w:vAlign w:val="bottom"/>
            <w:gridSpan w:val="6"/>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8"/>
            <w:vMerge w:val="continue"/>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10"/>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00" w:type="dxa"/>
            <w:vAlign w:val="bottom"/>
          </w:tcPr>
          <w:p>
            <w:pPr>
              <w:spacing w:after="0"/>
              <w:rPr>
                <w:sz w:val="20"/>
                <w:szCs w:val="20"/>
                <w:color w:val="auto"/>
              </w:rPr>
            </w:pPr>
            <w:r>
              <w:rPr>
                <w:rFonts w:ascii="Arial" w:cs="Arial" w:eastAsia="Arial" w:hAnsi="Arial"/>
                <w:sz w:val="17"/>
                <w:szCs w:val="17"/>
                <w:color w:val="0000FF"/>
                <w:w w:val="86"/>
              </w:rPr>
              <w:t>NJ</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08512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12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800" w:type="dxa"/>
            <w:vAlign w:val="bottom"/>
            <w:tcBorders>
              <w:top w:val="single" w:sz="8" w:color="2C2C2C"/>
            </w:tcBorders>
            <w:gridSpan w:val="19"/>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right"/>
              <w:ind w:right="96"/>
              <w:spacing w:after="0"/>
              <w:rPr>
                <w:sz w:val="20"/>
                <w:szCs w:val="20"/>
                <w:color w:val="auto"/>
              </w:rPr>
            </w:pPr>
            <w:r>
              <w:rPr>
                <w:rFonts w:ascii="Arial" w:cs="Arial" w:eastAsia="Arial" w:hAnsi="Arial"/>
                <w:sz w:val="17"/>
                <w:szCs w:val="17"/>
                <w:color w:val="0000FF"/>
              </w:rPr>
              <w:t>07/20/2021</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3,500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35.1226</w:t>
            </w:r>
            <w:r>
              <w:rPr>
                <w:rFonts w:ascii="Arial" w:cs="Arial" w:eastAsia="Arial" w:hAnsi="Arial"/>
                <w:sz w:val="21"/>
                <w:szCs w:val="21"/>
                <w:color w:val="008000"/>
                <w:w w:val="88"/>
                <w:vertAlign w:val="superscript"/>
              </w:rPr>
              <w:t>(2)</w:t>
            </w:r>
          </w:p>
        </w:tc>
        <w:tc>
          <w:tcPr>
            <w:tcW w:w="1200" w:type="dxa"/>
            <w:vAlign w:val="bottom"/>
            <w:tcBorders>
              <w:bottom w:val="single" w:sz="8" w:color="2C2C2C"/>
            </w:tcBorders>
            <w:gridSpan w:val="3"/>
          </w:tcPr>
          <w:p>
            <w:pPr>
              <w:jc w:val="right"/>
              <w:ind w:right="261"/>
              <w:spacing w:after="0"/>
              <w:rPr>
                <w:sz w:val="20"/>
                <w:szCs w:val="20"/>
                <w:color w:val="auto"/>
              </w:rPr>
            </w:pPr>
            <w:r>
              <w:rPr>
                <w:rFonts w:ascii="Arial" w:cs="Arial" w:eastAsia="Arial" w:hAnsi="Arial"/>
                <w:sz w:val="17"/>
                <w:szCs w:val="17"/>
                <w:color w:val="0000FF"/>
              </w:rPr>
              <w:t>416,842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800" w:type="dxa"/>
            <w:vAlign w:val="bottom"/>
            <w:tcBorders>
              <w:top w:val="single" w:sz="8" w:color="2C2C2C"/>
            </w:tcBorders>
            <w:gridSpan w:val="19"/>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360" w:type="dxa"/>
            <w:vAlign w:val="bottom"/>
            <w:gridSpan w:val="14"/>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28.33</w:t>
            </w:r>
          </w:p>
        </w:tc>
        <w:tc>
          <w:tcPr>
            <w:tcW w:w="200" w:type="dxa"/>
            <w:vAlign w:val="bottom"/>
          </w:tcPr>
          <w:p>
            <w:pPr>
              <w:spacing w:after="0"/>
              <w:rPr>
                <w:sz w:val="16"/>
                <w:szCs w:val="16"/>
                <w:color w:val="auto"/>
              </w:rPr>
            </w:pPr>
          </w:p>
        </w:tc>
        <w:tc>
          <w:tcPr>
            <w:tcW w:w="1000" w:type="dxa"/>
            <w:vAlign w:val="bottom"/>
            <w:gridSpan w:val="2"/>
          </w:tcPr>
          <w:p>
            <w:pPr>
              <w:jc w:val="right"/>
              <w:ind w:right="116"/>
              <w:spacing w:after="0"/>
              <w:rPr>
                <w:sz w:val="20"/>
                <w:szCs w:val="20"/>
                <w:color w:val="auto"/>
              </w:rPr>
            </w:pPr>
            <w:r>
              <w:rPr>
                <w:rFonts w:ascii="Arial" w:cs="Arial" w:eastAsia="Arial" w:hAnsi="Arial"/>
                <w:sz w:val="13"/>
                <w:szCs w:val="13"/>
                <w:color w:val="0000FF"/>
              </w:rPr>
              <w:t>05/12/2021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3"/>
          </w:tcPr>
          <w:p>
            <w:pPr>
              <w:jc w:val="right"/>
              <w:ind w:right="96"/>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6"/>
                <w:szCs w:val="16"/>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0000FF"/>
              </w:rPr>
              <w:t>5,781</w:t>
            </w:r>
          </w:p>
        </w:tc>
        <w:tc>
          <w:tcPr>
            <w:tcW w:w="260" w:type="dxa"/>
            <w:vAlign w:val="bottom"/>
          </w:tcPr>
          <w:p>
            <w:pPr>
              <w:spacing w:after="0"/>
              <w:rPr>
                <w:sz w:val="16"/>
                <w:szCs w:val="16"/>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60" w:type="dxa"/>
            <w:vAlign w:val="bottom"/>
            <w:gridSpan w:val="2"/>
          </w:tcPr>
          <w:p>
            <w:pPr>
              <w:ind w:left="80"/>
              <w:spacing w:after="0"/>
              <w:rPr>
                <w:sz w:val="20"/>
                <w:szCs w:val="20"/>
                <w:color w:val="auto"/>
              </w:rPr>
            </w:pPr>
            <w:r>
              <w:rPr>
                <w:rFonts w:ascii="Arial" w:cs="Arial" w:eastAsia="Arial" w:hAnsi="Arial"/>
                <w:sz w:val="13"/>
                <w:szCs w:val="13"/>
                <w:color w:val="0000FF"/>
              </w:rPr>
              <w:t>05/11/2031</w:t>
            </w:r>
          </w:p>
        </w:tc>
        <w:tc>
          <w:tcPr>
            <w:tcW w:w="540" w:type="dxa"/>
            <w:vAlign w:val="bottom"/>
          </w:tcPr>
          <w:p>
            <w:pPr>
              <w:ind w:left="60"/>
              <w:spacing w:after="0"/>
              <w:rPr>
                <w:sz w:val="20"/>
                <w:szCs w:val="20"/>
                <w:color w:val="auto"/>
              </w:rPr>
            </w:pPr>
            <w:r>
              <w:rPr>
                <w:rFonts w:ascii="Arial" w:cs="Arial" w:eastAsia="Arial" w:hAnsi="Arial"/>
                <w:sz w:val="13"/>
                <w:szCs w:val="13"/>
                <w:color w:val="0000FF"/>
                <w:w w:val="87"/>
              </w:rPr>
              <w:t>Common</w:t>
            </w:r>
          </w:p>
        </w:tc>
        <w:tc>
          <w:tcPr>
            <w:tcW w:w="600" w:type="dxa"/>
            <w:vAlign w:val="bottom"/>
            <w:gridSpan w:val="2"/>
          </w:tcPr>
          <w:p>
            <w:pPr>
              <w:ind w:left="160"/>
              <w:spacing w:after="0" w:line="191" w:lineRule="exact"/>
              <w:rPr>
                <w:sz w:val="20"/>
                <w:szCs w:val="20"/>
                <w:color w:val="auto"/>
              </w:rPr>
            </w:pPr>
            <w:r>
              <w:rPr>
                <w:rFonts w:ascii="Arial" w:cs="Arial" w:eastAsia="Arial" w:hAnsi="Arial"/>
                <w:sz w:val="17"/>
                <w:szCs w:val="17"/>
                <w:color w:val="0000FF"/>
                <w:w w:val="98"/>
              </w:rPr>
              <w:t>5,781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19"/>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5,781</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ind w:left="140"/>
              <w:spacing w:after="0" w:line="105" w:lineRule="exact"/>
              <w:rPr>
                <w:sz w:val="20"/>
                <w:szCs w:val="20"/>
                <w:color w:val="auto"/>
              </w:rPr>
            </w:pPr>
            <w:r>
              <w:rPr>
                <w:rFonts w:ascii="Arial" w:cs="Arial" w:eastAsia="Arial" w:hAnsi="Arial"/>
                <w:sz w:val="12"/>
                <w:szCs w:val="12"/>
                <w:color w:val="0000FF"/>
              </w:rPr>
              <w:t>Stock</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March 27, 2021.</w:t>
      </w:r>
    </w:p>
    <w:p>
      <w:pPr>
        <w:spacing w:after="0" w:line="45" w:lineRule="exact"/>
        <w:rPr>
          <w:rFonts w:ascii="Arial" w:cs="Arial" w:eastAsia="Arial" w:hAnsi="Arial"/>
          <w:sz w:val="13"/>
          <w:szCs w:val="13"/>
          <w:color w:val="008000"/>
        </w:rPr>
      </w:pPr>
    </w:p>
    <w:p>
      <w:pPr>
        <w:ind w:left="40" w:right="22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$34.54 to $35.53, inclusive. The reporting person undertakes to provide to the Issuer, any security holder of the Issuer, or the staff of the Securities and Exchange Commission, upon request, full information regarding the number of shares sold at each separate price.</w:t>
      </w:r>
    </w:p>
    <w:p>
      <w:pPr>
        <w:sectPr>
          <w:pgSz w:w="11900" w:h="16838" w:orient="portrait"/>
          <w:cols w:equalWidth="0" w:num="1">
            <w:col w:w="11080"/>
          </w:cols>
          <w:pgMar w:left="460" w:top="222" w:right="359" w:bottom="144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3. Shares subject to the option vest in 36 equal monthly installments beginning on June 12, 2021.</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Winston Kung,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2"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51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11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0000FF"/>
        </w:rPr>
        <w:t>07/22/2021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8680" w:space="12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4164"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2021-07-22T15:29:16Z</dcterms:created>
  <dcterms:modified xsi:type="dcterms:W3CDTF">2021-07-22T15:29:16Z</dcterms:modified>
</cp:coreProperties>
</file>