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left="440" w:right="1020"/>
        <w:spacing w:after="0" w:line="272" w:lineRule="auto"/>
        <w:rPr>
          <w:sz w:val="20"/>
          <w:szCs w:val="20"/>
          <w:color w:val="auto"/>
        </w:rPr>
      </w:pPr>
      <w:r>
        <w:rPr>
          <w:rFonts w:ascii="Arial" w:cs="Arial" w:eastAsia="Arial" w:hAnsi="Arial"/>
          <w:sz w:val="14"/>
          <w:szCs w:val="14"/>
          <w:b w:val="1"/>
          <w:bCs w:val="1"/>
          <w:color w:val="auto"/>
        </w:rPr>
        <w:t>As confidentially submitted to the Securities and Exchange Commission on July 31, 2020. This Amendment No. 1 to the draft registration statement has not been publicly filed with the Securities and Exchange Commission and all information herein remains strictly confidential.</w:t>
      </w:r>
    </w:p>
    <w:p>
      <w:pPr>
        <w:spacing w:after="0" w:line="47"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1688"/>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46-3218129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r>
        <w:trPr>
          <w:trHeight w:val="203"/>
        </w:trPr>
        <w:tc>
          <w:tcPr>
            <w:tcW w:w="29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spacing w:after="0"/>
              <w:rPr>
                <w:sz w:val="17"/>
                <w:szCs w:val="17"/>
                <w:color w:val="auto"/>
              </w:rPr>
            </w:pPr>
          </w:p>
        </w:tc>
      </w:tr>
      <w:tr>
        <w:trPr>
          <w:trHeight w:val="162"/>
        </w:trPr>
        <w:tc>
          <w:tcPr>
            <w:tcW w:w="29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spacing w:after="0"/>
              <w:rPr>
                <w:sz w:val="14"/>
                <w:szCs w:val="14"/>
                <w:color w:val="auto"/>
              </w:rPr>
            </w:pPr>
          </w:p>
        </w:tc>
      </w:tr>
      <w:tr>
        <w:trPr>
          <w:trHeight w:val="202"/>
        </w:trPr>
        <w:tc>
          <w:tcPr>
            <w:tcW w:w="2920" w:type="dxa"/>
            <w:vAlign w:val="bottom"/>
          </w:tcPr>
          <w:p>
            <w:pPr>
              <w:spacing w:after="0"/>
              <w:rPr>
                <w:sz w:val="17"/>
                <w:szCs w:val="17"/>
                <w:color w:val="auto"/>
              </w:rPr>
            </w:pPr>
          </w:p>
        </w:tc>
        <w:tc>
          <w:tcPr>
            <w:tcW w:w="3780" w:type="dxa"/>
            <w:vAlign w:val="bottom"/>
          </w:tcPr>
          <w:p>
            <w:pPr>
              <w:jc w:val="right"/>
              <w:ind w:right="134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David H. Mack,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 Clarke Drive, Suite 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Cranbury, NJ 08512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7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36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7"/>
                <w:szCs w:val="17"/>
                <w:color w:val="auto"/>
              </w:rPr>
            </w:pPr>
          </w:p>
        </w:tc>
      </w:tr>
      <w:tr>
        <w:trPr>
          <w:trHeight w:val="203"/>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A. Clark</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Winston Kung</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Brian Cuneo</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Tony Jeffries</w:t>
            </w:r>
          </w:p>
        </w:tc>
        <w:tc>
          <w:tcPr>
            <w:tcW w:w="3640" w:type="dxa"/>
            <w:vAlign w:val="bottom"/>
          </w:tcPr>
          <w:p>
            <w:pPr>
              <w:jc w:val="center"/>
              <w:ind w:right="48"/>
              <w:spacing w:after="0"/>
              <w:rPr>
                <w:sz w:val="20"/>
                <w:szCs w:val="20"/>
                <w:color w:val="auto"/>
              </w:rPr>
            </w:pPr>
            <w:r>
              <w:rPr>
                <w:rFonts w:ascii="Arial" w:cs="Arial" w:eastAsia="Arial" w:hAnsi="Arial"/>
                <w:sz w:val="14"/>
                <w:szCs w:val="14"/>
                <w:b w:val="1"/>
                <w:bCs w:val="1"/>
                <w:color w:val="auto"/>
              </w:rPr>
              <w:t>Chief Operating Officer and</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Nathan Ajiashvili</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Megan J. Baier</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Richard Kim</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Wilson Sonsini Goodrich &amp; Rosati, P.C.</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PMV Pharmaceuticals, Inc.</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Page Mill Road</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140 Scott Drive</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Palo Alto, CA 94304</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Menlo Park, CA 94025</w:t>
            </w:r>
          </w:p>
        </w:tc>
      </w:tr>
      <w:tr>
        <w:trPr>
          <w:trHeight w:val="20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493-9300</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(650) 328-4600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64" w:lineRule="exact"/>
        <w:rPr>
          <w:sz w:val="24"/>
          <w:szCs w:val="24"/>
          <w:color w:val="auto"/>
        </w:rPr>
      </w:pPr>
    </w:p>
    <w:p>
      <w:pPr>
        <w:ind w:left="120" w:right="20" w:firstLine="551"/>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520" w:firstLine="551"/>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00" w:firstLine="551"/>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7" w:lineRule="exact"/>
        <w:rPr>
          <w:sz w:val="24"/>
          <w:szCs w:val="24"/>
          <w:color w:val="auto"/>
        </w:rPr>
      </w:pPr>
    </w:p>
    <w:p>
      <w:pPr>
        <w:jc w:val="both"/>
        <w:ind w:left="120" w:right="120" w:firstLine="55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7"/>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59"/>
        </w:trPr>
        <w:tc>
          <w:tcPr>
            <w:tcW w:w="7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4"/>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(1)(2)</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$0.00001 par value per share</w:t>
            </w:r>
          </w:p>
        </w:tc>
        <w:tc>
          <w:tcPr>
            <w:tcW w:w="2080" w:type="dxa"/>
            <w:vAlign w:val="bottom"/>
            <w:tcBorders>
              <w:bottom w:val="single" w:sz="8" w:color="auto"/>
              <w:right w:val="single" w:sz="8" w:color="auto"/>
            </w:tcBorders>
          </w:tcPr>
          <w:p>
            <w:pPr>
              <w:jc w:val="right"/>
              <w:ind w:right="1129"/>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660" w:hanging="544"/>
        <w:spacing w:after="0" w:line="188"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offering price of any additional shares of common stock that the underwriters have the option to purchase.</w:t>
      </w:r>
    </w:p>
    <w:p>
      <w:pPr>
        <w:ind w:left="660" w:hanging="544"/>
        <w:spacing w:after="0" w:line="183"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right="140" w:firstLine="551"/>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626"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12" w:lineRule="exact"/>
        <w:rPr>
          <w:sz w:val="20"/>
          <w:szCs w:val="20"/>
          <w:color w:val="auto"/>
        </w:rPr>
      </w:pPr>
    </w:p>
    <w:tbl>
      <w:tblPr>
        <w:tblLayout w:type="fixed"/>
        <w:tblInd w:w="3420" w:type="dxa"/>
        <w:tblCellMar>
          <w:top w:w="0" w:type="dxa"/>
          <w:left w:w="0" w:type="dxa"/>
          <w:bottom w:w="0" w:type="dxa"/>
          <w:right w:w="0" w:type="dxa"/>
        </w:tblCellMar>
      </w:tblPr>
      <w:tr>
        <w:trPr>
          <w:trHeight w:val="253"/>
        </w:trPr>
        <w:tc>
          <w:tcPr>
            <w:tcW w:w="3500" w:type="dxa"/>
            <w:vAlign w:val="bottom"/>
          </w:tcPr>
          <w:p>
            <w:pPr>
              <w:spacing w:after="0"/>
              <w:rPr>
                <w:sz w:val="20"/>
                <w:szCs w:val="20"/>
                <w:color w:val="auto"/>
              </w:rPr>
            </w:pPr>
            <w:r>
              <w:rPr>
                <w:rFonts w:ascii="Arial" w:cs="Arial" w:eastAsia="Arial" w:hAnsi="Arial"/>
                <w:sz w:val="18"/>
                <w:szCs w:val="18"/>
                <w:b w:val="1"/>
                <w:bCs w:val="1"/>
                <w:color w:val="CC062A"/>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CC062A"/>
              </w:rPr>
              <w:t>, 2020</w:t>
            </w:r>
          </w:p>
        </w:tc>
      </w:tr>
    </w:tbl>
    <w:p>
      <w:pPr>
        <w:spacing w:after="0" w:line="160"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are being sold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w:t>
      </w:r>
    </w:p>
    <w:p>
      <w:pPr>
        <w:spacing w:after="0" w:line="414" w:lineRule="exact"/>
        <w:rPr>
          <w:sz w:val="20"/>
          <w:szCs w:val="20"/>
          <w:color w:val="auto"/>
        </w:rPr>
      </w:pPr>
    </w:p>
    <w:p>
      <w:pPr>
        <w:sectPr>
          <w:pgSz w:w="11900" w:h="16838" w:orient="portrait"/>
          <w:cols w:equalWidth="0" w:num="2">
            <w:col w:w="8420" w:space="700"/>
            <w:col w:w="2020"/>
          </w:cols>
          <w:pgMar w:left="320" w:top="455" w:right="4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Prior to this offering, there has been no public market for our common stock. We estimate that the initial public offering price of our</w:t>
      </w:r>
    </w:p>
    <w:p>
      <w:pPr>
        <w:spacing w:after="0" w:line="18" w:lineRule="exact"/>
        <w:rPr>
          <w:sz w:val="20"/>
          <w:szCs w:val="20"/>
          <w:color w:val="auto"/>
        </w:rPr>
      </w:pPr>
    </w:p>
    <w:p>
      <w:pPr>
        <w:ind w:left="120" w:right="560"/>
        <w:spacing w:after="0" w:line="250" w:lineRule="auto"/>
        <w:rPr>
          <w:sz w:val="20"/>
          <w:szCs w:val="20"/>
          <w:color w:val="auto"/>
        </w:rPr>
      </w:pPr>
      <w:r>
        <w:rPr>
          <w:rFonts w:ascii="Arial" w:cs="Arial" w:eastAsia="Arial" w:hAnsi="Arial"/>
          <w:sz w:val="18"/>
          <w:szCs w:val="18"/>
          <w:color w:val="auto"/>
        </w:rPr>
        <w:t>common stock will be between $ and $ per share. We intend to apply to list our common stock on the Nasdaq Global Market under the symbol “PMVP.”</w:t>
      </w:r>
    </w:p>
    <w:p>
      <w:pPr>
        <w:spacing w:after="0" w:line="168"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196 for additional information regarding compensation payable to the underwriters.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gridSpan w:val="6"/>
          </w:tcPr>
          <w:p>
            <w:pPr>
              <w:ind w:left="540"/>
              <w:spacing w:after="0"/>
              <w:rPr>
                <w:sz w:val="20"/>
                <w:szCs w:val="20"/>
                <w:color w:val="auto"/>
              </w:rPr>
            </w:pPr>
            <w:r>
              <w:rPr>
                <w:rFonts w:ascii="Arial" w:cs="Arial" w:eastAsia="Arial" w:hAnsi="Arial"/>
                <w:sz w:val="18"/>
                <w:szCs w:val="18"/>
                <w:color w:val="auto"/>
              </w:rPr>
              <w:t>We have granted the underwriters an option for a period of 30 days to purchase up to an additional</w:t>
            </w:r>
          </w:p>
        </w:tc>
        <w:tc>
          <w:tcPr>
            <w:tcW w:w="2080" w:type="dxa"/>
            <w:vAlign w:val="bottom"/>
          </w:tcPr>
          <w:p>
            <w:pPr>
              <w:ind w:left="160"/>
              <w:spacing w:after="0"/>
              <w:rPr>
                <w:sz w:val="20"/>
                <w:szCs w:val="20"/>
                <w:color w:val="auto"/>
              </w:rPr>
            </w:pPr>
            <w:r>
              <w:rPr>
                <w:rFonts w:ascii="Arial" w:cs="Arial" w:eastAsia="Arial" w:hAnsi="Arial"/>
                <w:sz w:val="18"/>
                <w:szCs w:val="18"/>
                <w:color w:val="auto"/>
              </w:rPr>
              <w:t>shares of common</w:t>
            </w:r>
          </w:p>
        </w:tc>
      </w:tr>
      <w:tr>
        <w:trPr>
          <w:trHeight w:val="243"/>
        </w:trPr>
        <w:tc>
          <w:tcPr>
            <w:tcW w:w="7840" w:type="dxa"/>
            <w:vAlign w:val="bottom"/>
            <w:gridSpan w:val="5"/>
          </w:tcPr>
          <w:p>
            <w:pPr>
              <w:spacing w:after="0"/>
              <w:rPr>
                <w:sz w:val="20"/>
                <w:szCs w:val="20"/>
                <w:color w:val="auto"/>
              </w:rPr>
            </w:pPr>
            <w:r>
              <w:rPr>
                <w:rFonts w:ascii="Arial" w:cs="Arial" w:eastAsia="Arial" w:hAnsi="Arial"/>
                <w:sz w:val="18"/>
                <w:szCs w:val="18"/>
                <w:color w:val="auto"/>
              </w:rPr>
              <w:t>stock from us at the initial public offering price, less the underwriting discounts and commissions.</w:t>
            </w: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19"/>
        </w:trPr>
        <w:tc>
          <w:tcPr>
            <w:tcW w:w="7840" w:type="dxa"/>
            <w:vAlign w:val="bottom"/>
            <w:gridSpan w:val="5"/>
          </w:tcPr>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 2020.</w:t>
            </w:r>
          </w:p>
        </w:tc>
        <w:tc>
          <w:tcPr>
            <w:tcW w:w="2080" w:type="dxa"/>
            <w:vAlign w:val="bottom"/>
          </w:tcPr>
          <w:p>
            <w:pPr>
              <w:spacing w:after="0"/>
              <w:rPr>
                <w:sz w:val="24"/>
                <w:szCs w:val="24"/>
                <w:color w:val="auto"/>
              </w:rPr>
            </w:pPr>
          </w:p>
        </w:tc>
      </w:tr>
      <w:tr>
        <w:trPr>
          <w:trHeight w:val="528"/>
        </w:trPr>
        <w:tc>
          <w:tcPr>
            <w:tcW w:w="348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860" w:type="dxa"/>
            <w:vAlign w:val="bottom"/>
          </w:tcPr>
          <w:p>
            <w:pPr>
              <w:spacing w:after="0"/>
              <w:rPr>
                <w:sz w:val="24"/>
                <w:szCs w:val="24"/>
                <w:color w:val="auto"/>
              </w:rPr>
            </w:pPr>
          </w:p>
        </w:tc>
        <w:tc>
          <w:tcPr>
            <w:tcW w:w="3500" w:type="dxa"/>
            <w:vAlign w:val="bottom"/>
            <w:gridSpan w:val="3"/>
          </w:tcPr>
          <w:p>
            <w:pPr>
              <w:jc w:val="right"/>
              <w:ind w:right="1100"/>
              <w:spacing w:after="0"/>
              <w:rPr>
                <w:sz w:val="20"/>
                <w:szCs w:val="20"/>
                <w:color w:val="auto"/>
              </w:rPr>
            </w:pPr>
            <w:r>
              <w:rPr>
                <w:rFonts w:ascii="Arial" w:cs="Arial" w:eastAsia="Arial" w:hAnsi="Arial"/>
                <w:sz w:val="23"/>
                <w:szCs w:val="23"/>
                <w:b w:val="1"/>
                <w:bCs w:val="1"/>
                <w:color w:val="auto"/>
              </w:rPr>
              <w:t>BofA Securities</w:t>
            </w:r>
          </w:p>
        </w:tc>
        <w:tc>
          <w:tcPr>
            <w:tcW w:w="1100" w:type="dxa"/>
            <w:vAlign w:val="bottom"/>
          </w:tcPr>
          <w:p>
            <w:pPr>
              <w:jc w:val="right"/>
              <w:ind w:right="57"/>
              <w:spacing w:after="0"/>
              <w:rPr>
                <w:sz w:val="20"/>
                <w:szCs w:val="20"/>
                <w:color w:val="auto"/>
              </w:rPr>
            </w:pPr>
            <w:r>
              <w:rPr>
                <w:rFonts w:ascii="Arial" w:cs="Arial" w:eastAsia="Arial" w:hAnsi="Arial"/>
                <w:sz w:val="23"/>
                <w:szCs w:val="23"/>
                <w:b w:val="1"/>
                <w:bCs w:val="1"/>
                <w:color w:val="auto"/>
              </w:rPr>
              <w:t>Cowen</w:t>
            </w:r>
          </w:p>
        </w:tc>
        <w:tc>
          <w:tcPr>
            <w:tcW w:w="2080" w:type="dxa"/>
            <w:vAlign w:val="bottom"/>
          </w:tcPr>
          <w:p>
            <w:pPr>
              <w:ind w:left="720"/>
              <w:spacing w:after="0"/>
              <w:rPr>
                <w:sz w:val="20"/>
                <w:szCs w:val="20"/>
                <w:color w:val="auto"/>
              </w:rPr>
            </w:pPr>
            <w:r>
              <w:rPr>
                <w:rFonts w:ascii="Arial" w:cs="Arial" w:eastAsia="Arial" w:hAnsi="Arial"/>
                <w:sz w:val="23"/>
                <w:szCs w:val="23"/>
                <w:b w:val="1"/>
                <w:bCs w:val="1"/>
                <w:color w:val="auto"/>
              </w:rPr>
              <w:t>Evercore ISI</w:t>
            </w:r>
          </w:p>
        </w:tc>
      </w:tr>
      <w:tr>
        <w:trPr>
          <w:trHeight w:val="332"/>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29"/>
        </w:trPr>
        <w:tc>
          <w:tcPr>
            <w:tcW w:w="348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Prospectus dated</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 2020.</w:t>
            </w: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42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USE OF PROCEEDS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DIVIDEND POLICY</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CAPITALIZATION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DILUTION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SELECTED FINANCIAL DATA</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BUSINESS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MANAGEMENT</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EXECUTIVE COMPENSATION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PRINCIPAL STOCKHOLDERS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DESCRIPTION OF CAPITAL STOCK</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SHARES ELIGIBLE FOR FUTURE SALE</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UNDERWRITING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EXPERTS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420" w:type="dxa"/>
            <w:vAlign w:val="bottom"/>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INDEX TO FINANCIAL STATEMENTS</w:t>
              </w:r>
            </w:hyperlink>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2020 (the 25th day after the date of this prospectus), all dealers effecting transactions</w:t>
            </w:r>
          </w:p>
        </w:tc>
        <w:tc>
          <w:tcPr>
            <w:tcW w:w="0" w:type="dxa"/>
            <w:vAlign w:val="bottom"/>
          </w:tcPr>
          <w:p>
            <w:pPr>
              <w:spacing w:after="0"/>
              <w:rPr>
                <w:sz w:val="1"/>
                <w:szCs w:val="1"/>
                <w:color w:val="auto"/>
              </w:rPr>
            </w:pPr>
          </w:p>
        </w:tc>
      </w:tr>
    </w:tbl>
    <w:p>
      <w:pPr>
        <w:ind w:left="120" w:right="140"/>
        <w:spacing w:after="0" w:line="247" w:lineRule="auto"/>
        <w:rPr>
          <w:sz w:val="20"/>
          <w:szCs w:val="20"/>
          <w:color w:val="auto"/>
        </w:rPr>
      </w:pPr>
      <w:r>
        <w:rPr>
          <w:rFonts w:ascii="Arial" w:cs="Arial" w:eastAsia="Arial" w:hAnsi="Arial"/>
          <w:sz w:val="18"/>
          <w:szCs w:val="18"/>
          <w:b w:val="1"/>
          <w:bCs w:val="1"/>
          <w:color w:val="auto"/>
        </w:rPr>
        <w:t>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28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While we believe that the data we use from third parties is reliable, we have not separately verified these data. This information, to the extent it contains estimates or projections, involves a number of assumptions and limitations, and you are cautioned not to give undue weight to such estimates or projections.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4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2475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believe that 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We are initially pursuing a tumor-agnostic development strategy and plan to submit our investigational new drug application, or IND, for PC14586 and start a Phase 1/2 clinical trial in the second half of 2020. Our strategy is to seek approval under an accelerated pathway, and we believe our Phase 1/2 clinical trial has the potential to serve as a pivotal study. We cannot guarantee that the U.S. Food and Drug Administration, or FDA, will agree with this strategy of utilizing the Phase 1/2 clinical trial as a pivotal study, which could require us to conduct additional clinical trials prior to seeking FDA approval.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41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targeting p53R273H mutations, into lead optimization in the second half of 2020.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522"/>
        <w:spacing w:after="0"/>
        <w:tabs>
          <w:tab w:leader="none" w:pos="8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60" w:hanging="522"/>
        <w:spacing w:after="0" w:line="182" w:lineRule="auto"/>
        <w:tabs>
          <w:tab w:leader="none" w:pos="8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0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6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5" w:right="6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1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FDA and we are not aware of any other products in clinical development that selectively target the p53 Y220C mutation.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60" w:firstLine="532"/>
        <w:spacing w:after="0" w:line="245" w:lineRule="auto"/>
        <w:rPr>
          <w:sz w:val="20"/>
          <w:szCs w:val="20"/>
          <w:color w:val="auto"/>
        </w:rPr>
      </w:pPr>
      <w:r>
        <w:rPr>
          <w:rFonts w:ascii="Arial" w:cs="Arial" w:eastAsia="Arial" w:hAnsi="Arial"/>
          <w:sz w:val="18"/>
          <w:szCs w:val="18"/>
          <w:color w:val="auto"/>
        </w:rPr>
        <w:t>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Additionally, structural correction from a mutant p53 Y220C conformation to a wild-type p53 conformation by PC14586 restored p53-dependent transcription of downstream targets, which is indicative of wild-type p53 biological activity.</w:t>
      </w:r>
    </w:p>
    <w:p>
      <w:pPr>
        <w:spacing w:after="0" w:line="172" w:lineRule="exact"/>
        <w:rPr>
          <w:sz w:val="20"/>
          <w:szCs w:val="20"/>
          <w:color w:val="auto"/>
        </w:rPr>
      </w:pPr>
    </w:p>
    <w:p>
      <w:pPr>
        <w:ind w:left="300" w:right="20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jc w:val="both"/>
        <w:ind w:left="300" w:right="500" w:firstLine="532"/>
        <w:spacing w:after="0" w:line="255" w:lineRule="auto"/>
        <w:rPr>
          <w:sz w:val="20"/>
          <w:szCs w:val="20"/>
          <w:color w:val="auto"/>
        </w:rPr>
      </w:pPr>
      <w:r>
        <w:rPr>
          <w:rFonts w:ascii="Arial" w:cs="Arial" w:eastAsia="Arial" w:hAnsi="Arial"/>
          <w:sz w:val="18"/>
          <w:szCs w:val="18"/>
          <w:color w:val="auto"/>
        </w:rPr>
        <w:t>PC14586 administered as a single-agent demonstrated regression in tumors that express the p53 Y220C mutation in the syngeneic mouse model. PC14586 also exhibited anti-tumor activity in combination with anti-PD-1 therapy in syngeneic mouse models with the human p53 Y220C mutation.</w:t>
      </w:r>
    </w:p>
    <w:p>
      <w:pPr>
        <w:spacing w:after="0" w:line="164"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plan to submit our IND for PC14586 and start a Phase 1/2 clinical trial in the second half of 2020.</w:t>
      </w: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Second Program R273H</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second half of 2020. R273H is the third most frequent p53 mutation and is found in approximately 4% of all p53 mutations. The R273H mutation causes a decrease in binding between the p53 protein and DNA, resulting in the p53 protein’s inability to activate transcription of p53 target genes. We are generating molecules designed to enhance and restore the binding of the p53 protein and DNA. Our R273H program continues to progress towards lead optimization, as we have identified several potential candidates from our screening campaigns.</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Euclidean Capital, Nextech Invest, Viking Global Investors, Boxer Capital of Tavistock Group and Osage University Partners.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David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Mr.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Dr. Deepika Jalota, Pharm.D., our Senior Vice President of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4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0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1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8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ind w:left="1020" w:right="1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w:t>
      </w: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61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12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sectPr>
          <w:pgSz w:w="11900" w:h="16838" w:orient="portrait"/>
          <w:cols w:equalWidth="0" w:num="2">
            <w:col w:w="5700" w:space="720"/>
            <w:col w:w="4720"/>
          </w:cols>
          <w:pgMar w:left="320" w:top="455" w:right="4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ind w:right="660"/>
        <w:spacing w:after="0" w:line="255" w:lineRule="auto"/>
        <w:rPr>
          <w:sz w:val="20"/>
          <w:szCs w:val="20"/>
          <w:color w:val="auto"/>
        </w:rPr>
      </w:pPr>
      <w:r>
        <w:rPr>
          <w:rFonts w:ascii="Arial" w:cs="Arial" w:eastAsia="Arial" w:hAnsi="Arial"/>
          <w:sz w:val="18"/>
          <w:szCs w:val="18"/>
          <w:color w:val="auto"/>
        </w:rPr>
        <w:t>We have granted the underwriters an option for a period of 30 days to purchase up to additional shares of our common stock.</w:t>
      </w:r>
    </w:p>
    <w:p>
      <w:pPr>
        <w:spacing w:after="0" w:line="24" w:lineRule="exact"/>
        <w:rPr>
          <w:sz w:val="20"/>
          <w:szCs w:val="20"/>
          <w:color w:val="auto"/>
        </w:rPr>
      </w:pPr>
    </w:p>
    <w:p>
      <w:pPr>
        <w:sectPr>
          <w:pgSz w:w="11900" w:h="16838" w:orient="portrait"/>
          <w:cols w:equalWidth="0" w:num="2">
            <w:col w:w="5100" w:space="720"/>
            <w:col w:w="5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2120" w:type="dxa"/>
            <w:vAlign w:val="bottom"/>
          </w:tcPr>
          <w:p>
            <w:pPr>
              <w:ind w:left="960"/>
              <w:spacing w:after="0"/>
              <w:rPr>
                <w:sz w:val="20"/>
                <w:szCs w:val="20"/>
                <w:color w:val="auto"/>
              </w:rPr>
            </w:pPr>
            <w:r>
              <w:rPr>
                <w:rFonts w:ascii="Arial" w:cs="Arial" w:eastAsia="Arial" w:hAnsi="Arial"/>
                <w:sz w:val="18"/>
                <w:szCs w:val="18"/>
                <w:color w:val="auto"/>
              </w:rPr>
              <w:t>shares (or</w:t>
            </w:r>
          </w:p>
        </w:tc>
        <w:tc>
          <w:tcPr>
            <w:tcW w:w="3560" w:type="dxa"/>
            <w:vAlign w:val="bottom"/>
            <w:gridSpan w:val="2"/>
          </w:tcPr>
          <w:p>
            <w:pPr>
              <w:ind w:left="300"/>
              <w:spacing w:after="0"/>
              <w:rPr>
                <w:sz w:val="20"/>
                <w:szCs w:val="20"/>
                <w:color w:val="auto"/>
              </w:rPr>
            </w:pPr>
            <w:r>
              <w:rPr>
                <w:rFonts w:ascii="Arial" w:cs="Arial" w:eastAsia="Arial" w:hAnsi="Arial"/>
                <w:sz w:val="18"/>
                <w:szCs w:val="18"/>
                <w:color w:val="auto"/>
              </w:rPr>
              <w:t>shares if the underwriters exercise</w:t>
            </w:r>
          </w:p>
        </w:tc>
      </w:tr>
      <w:tr>
        <w:trPr>
          <w:trHeight w:val="243"/>
        </w:trPr>
        <w:tc>
          <w:tcPr>
            <w:tcW w:w="5340" w:type="dxa"/>
            <w:vAlign w:val="bottom"/>
          </w:tcPr>
          <w:p>
            <w:pPr>
              <w:spacing w:after="0"/>
              <w:rPr>
                <w:sz w:val="21"/>
                <w:szCs w:val="21"/>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their option to purchase additional shares in full).</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40" w:type="dxa"/>
            <w:vAlign w:val="bottom"/>
          </w:tcPr>
          <w:p>
            <w:pPr>
              <w:spacing w:after="0"/>
              <w:rPr>
                <w:sz w:val="17"/>
                <w:szCs w:val="17"/>
                <w:color w:val="auto"/>
              </w:rPr>
            </w:pP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approximately $</w:t>
            </w:r>
          </w:p>
        </w:tc>
        <w:tc>
          <w:tcPr>
            <w:tcW w:w="3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million, or approximately $</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million if the underwriters exercise their option to</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purchase additional shares in full, based upon the assumed</w:t>
            </w:r>
          </w:p>
        </w:tc>
      </w:tr>
      <w:tr>
        <w:trPr>
          <w:trHeight w:val="203"/>
        </w:trPr>
        <w:tc>
          <w:tcPr>
            <w:tcW w:w="5340" w:type="dxa"/>
            <w:vAlign w:val="bottom"/>
          </w:tcPr>
          <w:p>
            <w:pPr>
              <w:spacing w:after="0"/>
              <w:rPr>
                <w:sz w:val="17"/>
                <w:szCs w:val="17"/>
                <w:color w:val="auto"/>
              </w:rPr>
            </w:pPr>
          </w:p>
        </w:tc>
        <w:tc>
          <w:tcPr>
            <w:tcW w:w="30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initial public offering price of $</w:t>
            </w:r>
          </w:p>
        </w:tc>
        <w:tc>
          <w:tcPr>
            <w:tcW w:w="2620" w:type="dxa"/>
            <w:vAlign w:val="bottom"/>
          </w:tcPr>
          <w:p>
            <w:pPr>
              <w:ind w:left="320"/>
              <w:spacing w:after="0" w:line="202" w:lineRule="exact"/>
              <w:rPr>
                <w:sz w:val="20"/>
                <w:szCs w:val="20"/>
                <w:color w:val="auto"/>
              </w:rPr>
            </w:pPr>
            <w:r>
              <w:rPr>
                <w:rFonts w:ascii="Arial" w:cs="Arial" w:eastAsia="Arial" w:hAnsi="Arial"/>
                <w:sz w:val="18"/>
                <w:szCs w:val="18"/>
                <w:color w:val="auto"/>
              </w:rPr>
              <w:t>per share, which is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midpoint of the estimated offering price range set forth on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cover page of this prospectus, and after deducting estimated</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5340" w:type="dxa"/>
            <w:vAlign w:val="bottom"/>
          </w:tcPr>
          <w:p>
            <w:pPr>
              <w:spacing w:after="0"/>
              <w:rPr>
                <w:sz w:val="21"/>
                <w:szCs w:val="21"/>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expenses payable by us.</w:t>
            </w:r>
          </w:p>
        </w:tc>
        <w:tc>
          <w:tcPr>
            <w:tcW w:w="2620" w:type="dxa"/>
            <w:vAlign w:val="bottom"/>
          </w:tcPr>
          <w:p>
            <w:pPr>
              <w:spacing w:after="0"/>
              <w:rPr>
                <w:sz w:val="21"/>
                <w:szCs w:val="21"/>
                <w:color w:val="auto"/>
              </w:rPr>
            </w:pPr>
          </w:p>
        </w:tc>
      </w:tr>
      <w:tr>
        <w:trPr>
          <w:trHeight w:val="243"/>
        </w:trPr>
        <w:tc>
          <w:tcPr>
            <w:tcW w:w="5340" w:type="dxa"/>
            <w:vAlign w:val="bottom"/>
          </w:tcPr>
          <w:p>
            <w:pPr>
              <w:spacing w:after="0"/>
              <w:rPr>
                <w:sz w:val="21"/>
                <w:szCs w:val="21"/>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development of our R273H program, including lead optimization</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and IND-enabling studies; (3) for the development of our</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pipeline discovery programs; and (4) for other research and</w:t>
            </w:r>
          </w:p>
        </w:tc>
      </w:tr>
      <w:tr>
        <w:trPr>
          <w:trHeight w:val="202"/>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development opportunities, working capital and general</w:t>
            </w:r>
          </w:p>
        </w:tc>
      </w:tr>
      <w:tr>
        <w:trPr>
          <w:trHeight w:val="243"/>
        </w:trPr>
        <w:tc>
          <w:tcPr>
            <w:tcW w:w="5340" w:type="dxa"/>
            <w:vAlign w:val="bottom"/>
          </w:tcPr>
          <w:p>
            <w:pPr>
              <w:spacing w:after="0"/>
              <w:rPr>
                <w:sz w:val="21"/>
                <w:szCs w:val="21"/>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corporate purposes.</w:t>
            </w:r>
          </w:p>
        </w:tc>
        <w:tc>
          <w:tcPr>
            <w:tcW w:w="9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84"/>
        </w:trPr>
        <w:tc>
          <w:tcPr>
            <w:tcW w:w="5340" w:type="dxa"/>
            <w:vAlign w:val="bottom"/>
          </w:tcPr>
          <w:p>
            <w:pPr>
              <w:spacing w:after="0"/>
              <w:rPr>
                <w:sz w:val="24"/>
                <w:szCs w:val="24"/>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beginning on page 12 and other information included in this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40" w:type="dxa"/>
            <w:vAlign w:val="bottom"/>
          </w:tcPr>
          <w:p>
            <w:pPr>
              <w:spacing w:after="0"/>
              <w:rPr>
                <w:sz w:val="21"/>
                <w:szCs w:val="21"/>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stock.</w:t>
            </w:r>
          </w:p>
        </w:tc>
        <w:tc>
          <w:tcPr>
            <w:tcW w:w="9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83"/>
        </w:trPr>
        <w:tc>
          <w:tcPr>
            <w:tcW w:w="5340" w:type="dxa"/>
            <w:vAlign w:val="bottom"/>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2120" w:type="dxa"/>
            <w:vAlign w:val="bottom"/>
          </w:tcPr>
          <w:p>
            <w:pPr>
              <w:ind w:left="360"/>
              <w:spacing w:after="0"/>
              <w:rPr>
                <w:sz w:val="20"/>
                <w:szCs w:val="20"/>
                <w:color w:val="auto"/>
              </w:rPr>
            </w:pPr>
            <w:r>
              <w:rPr>
                <w:rFonts w:ascii="Arial" w:cs="Arial" w:eastAsia="Arial" w:hAnsi="Arial"/>
                <w:sz w:val="18"/>
                <w:szCs w:val="18"/>
                <w:color w:val="auto"/>
              </w:rPr>
              <w:t>“PMVP”</w:t>
            </w:r>
          </w:p>
        </w:tc>
        <w:tc>
          <w:tcPr>
            <w:tcW w:w="9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6"/>
        </w:trPr>
        <w:tc>
          <w:tcPr>
            <w:tcW w:w="5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608"/>
        </w:trPr>
        <w:tc>
          <w:tcPr>
            <w:tcW w:w="534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24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9244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532"/>
        <w:spacing w:after="0" w:line="245" w:lineRule="auto"/>
        <w:rPr>
          <w:sz w:val="20"/>
          <w:szCs w:val="20"/>
          <w:color w:val="auto"/>
        </w:rPr>
      </w:pPr>
      <w:r>
        <w:rPr>
          <w:rFonts w:ascii="Arial" w:cs="Arial" w:eastAsia="Arial" w:hAnsi="Arial"/>
          <w:sz w:val="18"/>
          <w:szCs w:val="18"/>
          <w:color w:val="auto"/>
        </w:rPr>
        <w:t>The number of shares of our common stock to be outstanding after this offering is based on 164,451,912 shares of our common stock outstanding as of June 30, 2020 (including an aggregate of 120,393,150 shares of common stock issuable upon conversion of our outstanding convertible preferred stock as of June 30, 2020) and including 28,020,172 shares of our common stock issuable pursuant to the conversion of our Series D convertible preferred stock issued and sold in July 2020, and excludes the following:</w:t>
      </w:r>
    </w:p>
    <w:p>
      <w:pPr>
        <w:spacing w:after="0" w:line="78" w:lineRule="exact"/>
        <w:rPr>
          <w:sz w:val="20"/>
          <w:szCs w:val="20"/>
          <w:color w:val="auto"/>
        </w:rPr>
      </w:pPr>
    </w:p>
    <w:p>
      <w:pPr>
        <w:ind w:left="1020" w:right="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620" w:hanging="79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1020"/>
        <w:spacing w:after="0"/>
        <w:tabs>
          <w:tab w:leader="none" w:pos="690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1020" w:right="80" w:hanging="195"/>
        <w:spacing w:after="0" w:line="255"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2013 Equity Incentive Plan, as amended, or 2013 Plan, which shares will be added to the shares to be reserved under our 2020 Equity Incentive Plan, or 2020 Plan, upon its effectiveness;</w:t>
      </w:r>
    </w:p>
    <w:p>
      <w:pPr>
        <w:spacing w:after="0" w:line="69"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w:t>
      </w:r>
    </w:p>
    <w:p>
      <w:pPr>
        <w:spacing w:after="0" w:line="17"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June 30, 2020 that will be converted into a warrant to purchase an aggregate of 56,866 shares of our common stock, with an exercise price of $0.3517 per share, upon the completion of this offering; and</w:t>
      </w:r>
    </w:p>
    <w:p>
      <w:pPr>
        <w:spacing w:after="0" w:line="73" w:lineRule="exact"/>
        <w:rPr>
          <w:rFonts w:ascii="Arial" w:cs="Arial" w:eastAsia="Arial" w:hAnsi="Arial"/>
          <w:sz w:val="18"/>
          <w:szCs w:val="18"/>
          <w:color w:val="auto"/>
        </w:rPr>
      </w:pPr>
    </w:p>
    <w:p>
      <w:pPr>
        <w:ind w:left="1020" w:right="240" w:hanging="195"/>
        <w:spacing w:after="0" w:line="248" w:lineRule="auto"/>
        <w:tabs>
          <w:tab w:leader="none" w:pos="1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an outstanding warrant exercisable for shares of our Series Seed convertible preferred stock into a warrant exercisable for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1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our summary statements of operations data for the years ended December 31, 2018 and 2019 from our audited financial statements and related notes included elsewhere in this prospectus. For interim periods, we have derived our summary statements of operations data for the six months ended June 30, 2019 and 2020 and the summary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ectPr>
          <w:pgSz w:w="11900" w:h="16838" w:orient="portrait"/>
          <w:cols w:equalWidth="0" w:num="1">
            <w:col w:w="10940"/>
          </w:cols>
          <w:pgMar w:left="320" w:top="455" w:right="639" w:bottom="1440" w:gutter="0" w:footer="0" w:header="0"/>
        </w:sectPr>
      </w:pPr>
    </w:p>
    <w:p>
      <w:pPr>
        <w:spacing w:after="0" w:line="96"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p>
      <w:pPr>
        <w:ind w:left="4920"/>
        <w:spacing w:after="0"/>
        <w:tabs>
          <w:tab w:leader="none" w:pos="6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Six Months Ended June 30,</w:t>
      </w:r>
    </w:p>
    <w:p>
      <w:pPr>
        <w:spacing w:after="0" w:line="31"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7620" w:space="720"/>
            <w:col w:w="2600"/>
          </w:cols>
          <w:pgMar w:left="320" w:top="455" w:right="639" w:bottom="1440" w:gutter="0" w:footer="0" w:header="0"/>
          <w:type w:val="continuous"/>
        </w:sectPr>
      </w:pPr>
    </w:p>
    <w:tbl>
      <w:tblPr>
        <w:tblLayout w:type="fixed"/>
        <w:tblInd w:w="340" w:type="dxa"/>
        <w:tblCellMar>
          <w:top w:w="0" w:type="dxa"/>
          <w:left w:w="0" w:type="dxa"/>
          <w:bottom w:w="0" w:type="dxa"/>
          <w:right w:w="0" w:type="dxa"/>
        </w:tblCellMar>
      </w:tblPr>
      <w:tr>
        <w:trPr>
          <w:trHeight w:val="140"/>
        </w:trPr>
        <w:tc>
          <w:tcPr>
            <w:tcW w:w="4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13,853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10,165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5,039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2,676</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18,892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12,841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10"/>
        </w:trPr>
        <w:tc>
          <w:tcPr>
            <w:tcW w:w="422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1,341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220" w:type="dxa"/>
            <w:vAlign w:val="bottom"/>
          </w:tcPr>
          <w:p>
            <w:pPr>
              <w:ind w:left="7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(17,535)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(12,127)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220" w:type="dxa"/>
            <w:vAlign w:val="bottom"/>
          </w:tcPr>
          <w:p>
            <w:pPr>
              <w:ind w:left="7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(17,538)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(12,129)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80"/>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(1.11)</w:t>
            </w:r>
          </w:p>
        </w:tc>
        <w:tc>
          <w:tcPr>
            <w:tcW w:w="4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(1.59)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(0.76)</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79"/>
        </w:trPr>
        <w:tc>
          <w:tcPr>
            <w:tcW w:w="4220" w:type="dxa"/>
            <w:vAlign w:val="bottom"/>
            <w:shd w:val="clear" w:color="auto" w:fill="CCEEFF"/>
          </w:tcPr>
          <w:p>
            <w:pPr>
              <w:ind w:left="380"/>
              <w:spacing w:after="0" w:line="179" w:lineRule="exact"/>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outstanding — 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15,860,018</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15,980,859</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15,922,173</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16,038,590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80"/>
              <w:spacing w:after="0"/>
              <w:rPr>
                <w:sz w:val="20"/>
                <w:szCs w:val="20"/>
                <w:color w:val="auto"/>
              </w:rPr>
            </w:pPr>
            <w:r>
              <w:rPr>
                <w:rFonts w:ascii="Arial" w:cs="Arial" w:eastAsia="Arial" w:hAnsi="Arial"/>
                <w:sz w:val="18"/>
                <w:szCs w:val="18"/>
                <w:color w:val="auto"/>
              </w:rPr>
              <w:t>Pro forma net loss per share attributable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560"/>
              <w:spacing w:after="0" w:line="202" w:lineRule="exact"/>
              <w:rPr>
                <w:sz w:val="20"/>
                <w:szCs w:val="20"/>
                <w:color w:val="auto"/>
              </w:rPr>
            </w:pPr>
            <w:r>
              <w:rPr>
                <w:rFonts w:ascii="Arial" w:cs="Arial" w:eastAsia="Arial" w:hAnsi="Arial"/>
                <w:sz w:val="18"/>
                <w:szCs w:val="18"/>
                <w:color w:val="auto"/>
              </w:rPr>
              <w:t>to common stockholders — basic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56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20" w:type="dxa"/>
            <w:vAlign w:val="bottom"/>
            <w:shd w:val="clear" w:color="auto" w:fill="CCEEFF"/>
          </w:tcPr>
          <w:p>
            <w:pPr>
              <w:ind w:left="380"/>
              <w:spacing w:after="0" w:line="174" w:lineRule="exact"/>
              <w:rPr>
                <w:sz w:val="20"/>
                <w:szCs w:val="20"/>
                <w:color w:val="auto"/>
              </w:rPr>
            </w:pPr>
            <w:r>
              <w:rPr>
                <w:rFonts w:ascii="Arial" w:cs="Arial" w:eastAsia="Arial" w:hAnsi="Arial"/>
                <w:sz w:val="18"/>
                <w:szCs w:val="18"/>
                <w:color w:val="auto"/>
              </w:rPr>
              <w:t>Pro forma weighted-average number of</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common shares — basic and diluted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164,394,182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164,451,912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2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4"/>
                <w:szCs w:val="24"/>
                <w:b w:val="1"/>
                <w:bCs w:val="1"/>
                <w:color w:val="auto"/>
                <w:vertAlign w:val="superscript"/>
              </w:rPr>
              <w:t>(1)</w:t>
            </w:r>
          </w:p>
        </w:tc>
        <w:tc>
          <w:tcPr>
            <w:tcW w:w="1140" w:type="dxa"/>
            <w:vAlign w:val="bottom"/>
          </w:tcPr>
          <w:p>
            <w:pPr>
              <w:jc w:val="center"/>
              <w:ind w:left="73"/>
              <w:spacing w:after="0" w:line="137"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Actual</w:t>
            </w:r>
          </w:p>
        </w:tc>
        <w:tc>
          <w:tcPr>
            <w:tcW w:w="1740" w:type="dxa"/>
            <w:vAlign w:val="bottom"/>
            <w:vMerge w:val="continue"/>
          </w:tcPr>
          <w:p>
            <w:pPr>
              <w:spacing w:after="0"/>
              <w:rPr>
                <w:sz w:val="15"/>
                <w:szCs w:val="15"/>
                <w:color w:val="auto"/>
              </w:rPr>
            </w:pPr>
          </w:p>
        </w:tc>
        <w:tc>
          <w:tcPr>
            <w:tcW w:w="1180" w:type="dxa"/>
            <w:vAlign w:val="bottom"/>
            <w:gridSpan w:val="2"/>
          </w:tcPr>
          <w:p>
            <w:pPr>
              <w:jc w:val="center"/>
              <w:ind w:left="53"/>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9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$ 86,136</w:t>
            </w:r>
          </w:p>
        </w:tc>
        <w:tc>
          <w:tcPr>
            <w:tcW w:w="174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  156,106</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81,704</w:t>
            </w:r>
          </w:p>
        </w:tc>
        <w:tc>
          <w:tcPr>
            <w:tcW w:w="174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151,704</w:t>
            </w: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89,102</w:t>
            </w:r>
          </w:p>
        </w:tc>
        <w:tc>
          <w:tcPr>
            <w:tcW w:w="174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159,042</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9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5,177</w:t>
            </w:r>
          </w:p>
        </w:tc>
        <w:tc>
          <w:tcPr>
            <w:tcW w:w="174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5,147</w:t>
            </w: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9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168,933</w:t>
            </w:r>
          </w:p>
        </w:tc>
        <w:tc>
          <w:tcPr>
            <w:tcW w:w="174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(90,661)</w:t>
            </w:r>
          </w:p>
        </w:tc>
        <w:tc>
          <w:tcPr>
            <w:tcW w:w="1740" w:type="dxa"/>
            <w:vAlign w:val="bottom"/>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(90,661)</w:t>
            </w: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(85,008)</w:t>
            </w:r>
          </w:p>
        </w:tc>
        <w:tc>
          <w:tcPr>
            <w:tcW w:w="1740" w:type="dxa"/>
            <w:vAlign w:val="bottom"/>
          </w:tcPr>
          <w:p>
            <w:pPr>
              <w:jc w:val="right"/>
              <w:ind w:right="417"/>
              <w:spacing w:after="0"/>
              <w:rPr>
                <w:sz w:val="20"/>
                <w:szCs w:val="20"/>
                <w:color w:val="auto"/>
              </w:rPr>
            </w:pPr>
            <w:r>
              <w:rPr>
                <w:rFonts w:ascii="Arial" w:cs="Arial" w:eastAsia="Arial" w:hAnsi="Arial"/>
                <w:sz w:val="18"/>
                <w:szCs w:val="18"/>
                <w:color w:val="auto"/>
              </w:rPr>
              <w:t>153,895</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400" w:hanging="522"/>
        <w:spacing w:after="0" w:line="187" w:lineRule="auto"/>
        <w:tabs>
          <w:tab w:leader="none" w:pos="82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 (i) our issuance and sale in July 2020 of an aggregate of 28,020,172 shares of our Series D convertible preferred stock for gross proceeds of $70.0 million, (ii) the automatic conversion of all outstanding shares of our convertible preferred stock, including our</w:t>
      </w:r>
    </w:p>
    <w:tbl>
      <w:tblPr>
        <w:tblLayout w:type="fixed"/>
        <w:tblInd w:w="300" w:type="dxa"/>
        <w:tblCellMar>
          <w:top w:w="0" w:type="dxa"/>
          <w:left w:w="0" w:type="dxa"/>
          <w:bottom w:w="0" w:type="dxa"/>
          <w:right w:w="0" w:type="dxa"/>
        </w:tblCellMar>
      </w:tblPr>
      <w:tr>
        <w:trPr>
          <w:trHeight w:val="146"/>
        </w:trPr>
        <w:tc>
          <w:tcPr>
            <w:tcW w:w="340" w:type="dxa"/>
            <w:vAlign w:val="bottom"/>
          </w:tcPr>
          <w:p>
            <w:pPr>
              <w:spacing w:after="0"/>
              <w:rPr>
                <w:sz w:val="12"/>
                <w:szCs w:val="12"/>
                <w:color w:val="auto"/>
              </w:rPr>
            </w:pPr>
          </w:p>
        </w:tc>
        <w:tc>
          <w:tcPr>
            <w:tcW w:w="1028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shares of our Series D convertible preferred stock issued in July 2020, into an aggregate of 148,413,322 shares of our common stock immediately prior to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completion of this offering and (iii) the filing and effectiveness of our amended and restated certificate of incorporation, which will occur immediately prior to the</w:t>
            </w:r>
          </w:p>
        </w:tc>
        <w:tc>
          <w:tcPr>
            <w:tcW w:w="0" w:type="dxa"/>
            <w:vAlign w:val="bottom"/>
          </w:tcPr>
          <w:p>
            <w:pPr>
              <w:spacing w:after="0"/>
              <w:rPr>
                <w:sz w:val="1"/>
                <w:szCs w:val="1"/>
                <w:color w:val="auto"/>
              </w:rPr>
            </w:pPr>
          </w:p>
        </w:tc>
      </w:tr>
      <w:tr>
        <w:trPr>
          <w:trHeight w:val="162"/>
        </w:trPr>
        <w:tc>
          <w:tcPr>
            <w:tcW w:w="340" w:type="dxa"/>
            <w:vAlign w:val="bottom"/>
            <w:vMerge w:val="restart"/>
          </w:tcPr>
          <w:p>
            <w:pPr>
              <w:jc w:val="right"/>
              <w:ind w:right="139"/>
              <w:spacing w:after="0"/>
              <w:rPr>
                <w:sz w:val="20"/>
                <w:szCs w:val="20"/>
                <w:color w:val="auto"/>
              </w:rPr>
            </w:pPr>
            <w:r>
              <w:rPr>
                <w:rFonts w:ascii="Arial" w:cs="Arial" w:eastAsia="Arial" w:hAnsi="Arial"/>
                <w:sz w:val="12"/>
                <w:szCs w:val="12"/>
                <w:color w:val="auto"/>
                <w:w w:val="81"/>
              </w:rPr>
              <w:t>(2)</w:t>
            </w:r>
          </w:p>
        </w:tc>
        <w:tc>
          <w:tcPr>
            <w:tcW w:w="1880" w:type="dxa"/>
            <w:vAlign w:val="bottom"/>
          </w:tcPr>
          <w:p>
            <w:pPr>
              <w:ind w:left="180"/>
              <w:spacing w:after="0"/>
              <w:rPr>
                <w:sz w:val="20"/>
                <w:szCs w:val="20"/>
                <w:color w:val="auto"/>
              </w:rPr>
            </w:pPr>
            <w:r>
              <w:rPr>
                <w:rFonts w:ascii="Arial" w:cs="Arial" w:eastAsia="Arial" w:hAnsi="Arial"/>
                <w:sz w:val="14"/>
                <w:szCs w:val="14"/>
                <w:color w:val="auto"/>
              </w:rPr>
              <w:t>completion of this offering.</w:t>
            </w: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vMerge w:val="continue"/>
          </w:tcPr>
          <w:p>
            <w:pPr>
              <w:spacing w:after="0"/>
              <w:rPr>
                <w:sz w:val="14"/>
                <w:szCs w:val="14"/>
                <w:color w:val="auto"/>
              </w:rPr>
            </w:pPr>
          </w:p>
        </w:tc>
        <w:tc>
          <w:tcPr>
            <w:tcW w:w="6160" w:type="dxa"/>
            <w:vAlign w:val="bottom"/>
            <w:gridSpan w:val="4"/>
          </w:tcPr>
          <w:p>
            <w:pPr>
              <w:ind w:left="180"/>
              <w:spacing w:after="0"/>
              <w:rPr>
                <w:sz w:val="20"/>
                <w:szCs w:val="20"/>
                <w:color w:val="auto"/>
              </w:rPr>
            </w:pPr>
            <w:r>
              <w:rPr>
                <w:rFonts w:ascii="Arial" w:cs="Arial" w:eastAsia="Arial" w:hAnsi="Arial"/>
                <w:sz w:val="14"/>
                <w:szCs w:val="14"/>
                <w:color w:val="auto"/>
              </w:rPr>
              <w:t>The pro forma as adjusted balance sheet data give further effect to our issuance and sale of</w:t>
            </w:r>
          </w:p>
        </w:tc>
        <w:tc>
          <w:tcPr>
            <w:tcW w:w="4120" w:type="dxa"/>
            <w:vAlign w:val="bottom"/>
          </w:tcPr>
          <w:p>
            <w:pPr>
              <w:jc w:val="center"/>
              <w:ind w:right="148"/>
              <w:spacing w:after="0"/>
              <w:rPr>
                <w:sz w:val="20"/>
                <w:szCs w:val="20"/>
                <w:color w:val="auto"/>
              </w:rPr>
            </w:pPr>
            <w:r>
              <w:rPr>
                <w:rFonts w:ascii="Arial" w:cs="Arial" w:eastAsia="Arial" w:hAnsi="Arial"/>
                <w:sz w:val="14"/>
                <w:szCs w:val="14"/>
                <w:color w:val="auto"/>
              </w:rPr>
              <w:t>shares of our common stock in this offering at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940" w:type="dxa"/>
            <w:vAlign w:val="bottom"/>
            <w:gridSpan w:val="2"/>
          </w:tcPr>
          <w:p>
            <w:pPr>
              <w:ind w:left="180"/>
              <w:spacing w:after="0"/>
              <w:rPr>
                <w:sz w:val="20"/>
                <w:szCs w:val="20"/>
                <w:color w:val="auto"/>
              </w:rPr>
            </w:pPr>
            <w:r>
              <w:rPr>
                <w:rFonts w:ascii="Arial" w:cs="Arial" w:eastAsia="Arial" w:hAnsi="Arial"/>
                <w:sz w:val="14"/>
                <w:szCs w:val="14"/>
                <w:color w:val="auto"/>
              </w:rPr>
              <w:t>assumed initial public offering price of $</w:t>
            </w:r>
          </w:p>
        </w:tc>
        <w:tc>
          <w:tcPr>
            <w:tcW w:w="7340" w:type="dxa"/>
            <w:vAlign w:val="bottom"/>
            <w:gridSpan w:val="3"/>
          </w:tcPr>
          <w:p>
            <w:pPr>
              <w:ind w:left="240"/>
              <w:spacing w:after="0"/>
              <w:rPr>
                <w:sz w:val="20"/>
                <w:szCs w:val="20"/>
                <w:color w:val="auto"/>
              </w:rPr>
            </w:pPr>
            <w:r>
              <w:rPr>
                <w:rFonts w:ascii="Arial" w:cs="Arial" w:eastAsia="Arial" w:hAnsi="Arial"/>
                <w:sz w:val="14"/>
                <w:szCs w:val="14"/>
                <w:color w:val="auto"/>
              </w:rPr>
              <w:t>per share, which is the midpoint of the estimated offering price range set forth on the cover page of this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prospectus, after deducting estimated underwriting discounts and commissions and estimated offering expenses payable by us. The pro forma as adjusted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balance sheet data is illustrative only and will depend on the actual initial public offering price and other terms of this offering determined at pricing. Each $1.00</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740" w:type="dxa"/>
            <w:vAlign w:val="bottom"/>
            <w:gridSpan w:val="3"/>
          </w:tcPr>
          <w:p>
            <w:pPr>
              <w:ind w:left="180"/>
              <w:spacing w:after="0"/>
              <w:rPr>
                <w:sz w:val="20"/>
                <w:szCs w:val="20"/>
                <w:color w:val="auto"/>
              </w:rPr>
            </w:pPr>
            <w:r>
              <w:rPr>
                <w:rFonts w:ascii="Arial" w:cs="Arial" w:eastAsia="Arial" w:hAnsi="Arial"/>
                <w:sz w:val="14"/>
                <w:szCs w:val="14"/>
                <w:color w:val="auto"/>
              </w:rPr>
              <w:t>increase or decrease in the assumed initial public offering price of $</w:t>
            </w:r>
          </w:p>
        </w:tc>
        <w:tc>
          <w:tcPr>
            <w:tcW w:w="5540" w:type="dxa"/>
            <w:vAlign w:val="bottom"/>
            <w:gridSpan w:val="2"/>
          </w:tcPr>
          <w:p>
            <w:pPr>
              <w:ind w:left="260"/>
              <w:spacing w:after="0"/>
              <w:rPr>
                <w:sz w:val="20"/>
                <w:szCs w:val="20"/>
                <w:color w:val="auto"/>
              </w:rPr>
            </w:pPr>
            <w:r>
              <w:rPr>
                <w:rFonts w:ascii="Arial" w:cs="Arial" w:eastAsia="Arial" w:hAnsi="Arial"/>
                <w:sz w:val="14"/>
                <w:szCs w:val="14"/>
                <w:color w:val="auto"/>
              </w:rPr>
              <w:t>per share, which is the midpoint of the estimated offering price range set forth 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the cover page of this prospectus, would increase or decrease, as applicable, our pro forma as adjusted cash, cash equivalents and short-term marketable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6160" w:type="dxa"/>
            <w:vAlign w:val="bottom"/>
            <w:gridSpan w:val="4"/>
          </w:tcPr>
          <w:p>
            <w:pPr>
              <w:ind w:left="180"/>
              <w:spacing w:after="0"/>
              <w:rPr>
                <w:sz w:val="20"/>
                <w:szCs w:val="20"/>
                <w:color w:val="auto"/>
              </w:rPr>
            </w:pPr>
            <w:r>
              <w:rPr>
                <w:rFonts w:ascii="Arial" w:cs="Arial" w:eastAsia="Arial" w:hAnsi="Arial"/>
                <w:sz w:val="14"/>
                <w:szCs w:val="14"/>
                <w:color w:val="auto"/>
              </w:rPr>
              <w:t>securities, working capital, total assets and total stockholders’ equity by approximately $</w:t>
            </w:r>
          </w:p>
        </w:tc>
        <w:tc>
          <w:tcPr>
            <w:tcW w:w="4120" w:type="dxa"/>
            <w:vAlign w:val="bottom"/>
          </w:tcPr>
          <w:p>
            <w:pPr>
              <w:jc w:val="center"/>
              <w:ind w:right="148"/>
              <w:spacing w:after="0"/>
              <w:rPr>
                <w:sz w:val="20"/>
                <w:szCs w:val="20"/>
                <w:color w:val="auto"/>
              </w:rPr>
            </w:pPr>
            <w:r>
              <w:rPr>
                <w:rFonts w:ascii="Arial" w:cs="Arial" w:eastAsia="Arial" w:hAnsi="Arial"/>
                <w:sz w:val="14"/>
                <w:szCs w:val="14"/>
                <w:color w:val="auto"/>
              </w:rPr>
              <w:t>million, assuming the number of shares of common stock</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offered by us, as set forth on the cover page of this prospectus, remains the same, and after deducting estimated underwriting discounts and commissions and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estimated offering expenses payable by us. Each increase or decrease of 1.0 million shares of common stock offered by us would increase or decrease, as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applicable, our pro forma as adjusted cash, cash equivalents and short-term marketable securities, working capital, total assets and total stockholders’ equity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Arial" w:cs="Arial" w:eastAsia="Arial" w:hAnsi="Arial"/>
                <w:sz w:val="14"/>
                <w:szCs w:val="14"/>
                <w:color w:val="auto"/>
              </w:rPr>
              <w:t>by approximately $</w:t>
            </w:r>
          </w:p>
        </w:tc>
        <w:tc>
          <w:tcPr>
            <w:tcW w:w="4280" w:type="dxa"/>
            <w:vAlign w:val="bottom"/>
            <w:gridSpan w:val="3"/>
          </w:tcPr>
          <w:p>
            <w:pPr>
              <w:ind w:left="40"/>
              <w:spacing w:after="0"/>
              <w:rPr>
                <w:sz w:val="20"/>
                <w:szCs w:val="20"/>
                <w:color w:val="auto"/>
              </w:rPr>
            </w:pPr>
            <w:r>
              <w:rPr>
                <w:rFonts w:ascii="Arial" w:cs="Arial" w:eastAsia="Arial" w:hAnsi="Arial"/>
                <w:sz w:val="14"/>
                <w:szCs w:val="14"/>
                <w:color w:val="auto"/>
              </w:rPr>
              <w:t>million, assuming the assumed initial public offering price of $</w:t>
            </w:r>
          </w:p>
        </w:tc>
        <w:tc>
          <w:tcPr>
            <w:tcW w:w="4120" w:type="dxa"/>
            <w:vAlign w:val="bottom"/>
          </w:tcPr>
          <w:p>
            <w:pPr>
              <w:ind w:left="180"/>
              <w:spacing w:after="0"/>
              <w:rPr>
                <w:sz w:val="20"/>
                <w:szCs w:val="20"/>
                <w:color w:val="auto"/>
              </w:rPr>
            </w:pPr>
            <w:r>
              <w:rPr>
                <w:rFonts w:ascii="Arial" w:cs="Arial" w:eastAsia="Arial" w:hAnsi="Arial"/>
                <w:sz w:val="14"/>
                <w:szCs w:val="14"/>
                <w:color w:val="auto"/>
              </w:rPr>
              <w:t>per share, which is the midpoint of the estimated offering price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range set forth on the cover page of this prospectus, remains the same, and after deducting estimated underwriting discounts and commissions and estimated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940" w:type="dxa"/>
            <w:vAlign w:val="bottom"/>
            <w:gridSpan w:val="2"/>
          </w:tcPr>
          <w:p>
            <w:pPr>
              <w:ind w:left="180"/>
              <w:spacing w:after="0"/>
              <w:rPr>
                <w:sz w:val="20"/>
                <w:szCs w:val="20"/>
                <w:color w:val="auto"/>
              </w:rPr>
            </w:pPr>
            <w:r>
              <w:rPr>
                <w:rFonts w:ascii="Arial" w:cs="Arial" w:eastAsia="Arial" w:hAnsi="Arial"/>
                <w:sz w:val="14"/>
                <w:szCs w:val="14"/>
                <w:color w:val="auto"/>
              </w:rPr>
              <w:t>offering expenses payable by us.</w:t>
            </w:r>
          </w:p>
        </w:tc>
        <w:tc>
          <w:tcPr>
            <w:tcW w:w="1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right="240" w:hanging="522"/>
        <w:spacing w:after="0" w:line="189" w:lineRule="auto"/>
        <w:tabs>
          <w:tab w:leader="none" w:pos="82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unaudited condensed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haven’t yet submitted an investigational new drug application, or IND, with the U.S. Food and Drug Administration, or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Our net losses were $17.5 million and $25.4 million for the years ended December 31, 2018 and 2019, respectively, and $12.1 million and $15.2 million for the six months ended June 30, 2019 and 2020, respectively. As of June 30, 2020, we had an accumulated deficit of $90.7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9" w:lineRule="exact"/>
        <w:rPr>
          <w:sz w:val="20"/>
          <w:szCs w:val="20"/>
          <w:color w:val="auto"/>
        </w:rPr>
      </w:pPr>
    </w:p>
    <w:p>
      <w:pPr>
        <w:ind w:left="880" w:right="90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As of June 30, 2020, we had $86.1 million in cash, cash equivalents and short-term marketable securities. We also received gross proceeds of $70.0 million from the sale of shares of Series D convertible preferred stock in July 2020. Based on our current operating plan, we believe that the proceeds from this offering, together with our existing cash, cash equivalents and short-term marketable</w:t>
      </w:r>
    </w:p>
    <w:p>
      <w:pPr>
        <w:spacing w:after="0" w:line="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securities, will be sufficient to fund our operations through .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60" w:hanging="224"/>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20" w:hanging="224"/>
        <w:spacing w:after="0" w:line="306"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 In the event that a patient’s cancer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other mutations or factors in addition to a p53 mutation, even if we correct or restore the p53 functionality, the patient’s cancer may persist.</w:t>
      </w:r>
    </w:p>
    <w:p>
      <w:pPr>
        <w:spacing w:after="0" w:line="17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clinical trials to begin.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as novel therapeutics,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6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5"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will be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360" w:firstLine="551"/>
        <w:spacing w:after="0" w:line="248" w:lineRule="auto"/>
        <w:rPr>
          <w:sz w:val="20"/>
          <w:szCs w:val="20"/>
          <w:color w:val="auto"/>
        </w:rPr>
      </w:pPr>
      <w:r>
        <w:rPr>
          <w:rFonts w:ascii="Arial" w:cs="Arial" w:eastAsia="Arial" w:hAnsi="Arial"/>
          <w:sz w:val="18"/>
          <w:szCs w:val="18"/>
          <w:color w:val="auto"/>
        </w:rPr>
        <w:t>As of July 29, 2020, we had 38 full-time employees, including 32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As of December 31, 2018 and 2019, we had federal NOL carryforwards of $43.0 million and $ 66.4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w:t>
      </w:r>
      <w:r>
        <w:rPr>
          <w:rFonts w:ascii="Arial" w:cs="Arial" w:eastAsia="Arial" w:hAnsi="Arial"/>
          <w:sz w:val="18"/>
          <w:szCs w:val="18"/>
          <w:color w:val="auto"/>
          <w:strike w:val="1"/>
        </w:rPr>
        <w:t>,</w:t>
      </w:r>
      <w:r>
        <w:rPr>
          <w:rFonts w:ascii="Arial" w:cs="Arial" w:eastAsia="Arial" w:hAnsi="Arial"/>
          <w:sz w:val="18"/>
          <w:szCs w:val="18"/>
          <w:color w:val="auto"/>
        </w:rPr>
        <w:t xml:space="preserve">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5"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160" w:firstLine="551"/>
        <w:spacing w:after="0" w:line="26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ind w:left="120" w:right="100"/>
        <w:spacing w:after="0" w:line="234"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 2020, assuming: (1) no exercise of the underwriters’ option to purchase additional shares, (2) the conversion of all outstanding shares of our convertible preferred stock as of June 30, 2020 into 120,393,150 shares of common stock immediately prior to the completion of this offering and (3) the conversion of our Series D convertible preferred stock issued and sold in July 2020 into 28,020,172 shares of common stock immediately prior to the completion of this offering. This includes the shares that we sell in this offering, which may be resold in the public market immediately without restriction, unless purchased by our affiliates. Of the remaining</w:t>
      </w:r>
    </w:p>
    <w:p>
      <w:pPr>
        <w:spacing w:after="0" w:line="4"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shares, shares of our common stock are currently restricted as a result of securities laws or lock-up agreements but will be able to be sold after this offering as described in the “Shares Eligible for Future Sale” section of this prospectus. Moreover, after this offering,</w:t>
      </w:r>
    </w:p>
    <w:p>
      <w:pPr>
        <w:spacing w:after="0" w:line="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Prior to this offering, our executive officers, directors, holders of % or more of our capital stock and their respective affiliates beneficially owned approximately % of our voting stock and, upon the closing of this offering, that same group will beneficially own approximately % of our outstanding voting stock (based on the number of shares of common stock outstanding as of July 31,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Certain of our directors are affiliated with the holders of more than % of our capital stock. In particular, Arnold Oronsky, Ph.D. is an affiliate of InterWest Partners X, L.P., Peter Thompson, M.D. is an affiliate of OrbiMed Private Investments V LP and Thilo Schroeder is an affiliate Nextech V Oncology S.C.S., SIACAV-SIF,</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as indicated in the “Principal Stockholders” section.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5" w:right="5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4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7"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420" w:firstLine="551"/>
        <w:spacing w:after="0" w:line="257"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w:t>
      </w:r>
    </w:p>
    <w:p>
      <w:pPr>
        <w:spacing w:after="0" w:line="2"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approximately $ per share, representing the difference between the assumed initial public offering price of $ per share, which is the midpoint of the estimated offering price range set forth on the cover page of this prospectus, after deducting the estimated underwriting discounts and commissions and estimated offering expenses payable by us, and our pro forma as adjusted net tangible book value per share as of June 30, 2020, after giving effect to this offering and the automatic conversion of all outstanding shares of our</w:t>
      </w:r>
    </w:p>
    <w:p>
      <w:pPr>
        <w:spacing w:after="0" w:line="3"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convertible preferred stock immediately prior to the closing of this offering. As of June 30, 2020, there were shares subject to outstanding options with a weighted-average exercise price of $ per share. To the extent these outstanding securities are ultimately</w:t>
      </w:r>
    </w:p>
    <w:p>
      <w:pPr>
        <w:spacing w:after="0" w:line="1" w:lineRule="exact"/>
        <w:rPr>
          <w:sz w:val="20"/>
          <w:szCs w:val="20"/>
          <w:color w:val="auto"/>
        </w:rPr>
      </w:pPr>
    </w:p>
    <w:p>
      <w:pPr>
        <w:jc w:val="both"/>
        <w:ind w:left="120" w:right="40"/>
        <w:spacing w:after="0" w:line="242" w:lineRule="auto"/>
        <w:rPr>
          <w:sz w:val="20"/>
          <w:szCs w:val="20"/>
          <w:color w:val="auto"/>
        </w:rPr>
      </w:pPr>
      <w:r>
        <w:rPr>
          <w:rFonts w:ascii="Arial" w:cs="Arial" w:eastAsia="Arial" w:hAnsi="Arial"/>
          <w:sz w:val="18"/>
          <w:szCs w:val="18"/>
          <w:color w:val="auto"/>
        </w:rPr>
        <w:t>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83"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 million, or approximately $ million if the underwriters exercise their option to purchase additional shares in full,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383" w:lineRule="exact"/>
        <w:rPr>
          <w:sz w:val="20"/>
          <w:szCs w:val="20"/>
          <w:color w:val="auto"/>
        </w:rPr>
      </w:pPr>
    </w:p>
    <w:p>
      <w:pPr>
        <w:jc w:val="both"/>
        <w:ind w:left="120" w:right="140" w:firstLine="551"/>
        <w:spacing w:after="0" w:line="247"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the net proceeds to us from this offering by approximately $ million, assuming the number of shares offered by us, as set forth on the</w:t>
      </w:r>
    </w:p>
    <w:p>
      <w:pPr>
        <w:spacing w:after="0" w:line="1"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color w:val="auto"/>
        </w:rPr>
        <w:t>cover page of this prospectus, remains the same, and after deducting estimated underwriting discounts and commissions and estimated offering expenses payable by us. Similarly, each increase or decrease of 1.0 million shares in the number of shares offered by us would</w:t>
      </w:r>
    </w:p>
    <w:p>
      <w:pPr>
        <w:spacing w:after="0" w:line="1" w:lineRule="exact"/>
        <w:rPr>
          <w:sz w:val="20"/>
          <w:szCs w:val="20"/>
          <w:color w:val="auto"/>
        </w:rPr>
      </w:pPr>
    </w:p>
    <w:p>
      <w:pPr>
        <w:jc w:val="both"/>
        <w:ind w:left="120" w:right="60"/>
        <w:spacing w:after="0" w:line="239" w:lineRule="auto"/>
        <w:rPr>
          <w:sz w:val="20"/>
          <w:szCs w:val="20"/>
          <w:color w:val="auto"/>
        </w:rPr>
      </w:pPr>
      <w:r>
        <w:rPr>
          <w:rFonts w:ascii="Arial" w:cs="Arial" w:eastAsia="Arial" w:hAnsi="Arial"/>
          <w:sz w:val="18"/>
          <w:szCs w:val="18"/>
          <w:color w:val="auto"/>
        </w:rPr>
        <w:t>increase or decrease the net proceeds to us from this offering by approximately $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17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7"/>
          <w:szCs w:val="17"/>
          <w:color w:val="auto"/>
        </w:rPr>
        <w:t>million to fund the Phase 1/2 development of PC14586;</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support the development of our R273H product candidate, including lead optimization and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$million for the development of our pipeline discovery programs; and</w:t>
      </w:r>
    </w:p>
    <w:p>
      <w:pPr>
        <w:spacing w:after="0" w:line="117"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260" w:firstLine="551"/>
        <w:spacing w:after="0" w:line="262" w:lineRule="auto"/>
        <w:rPr>
          <w:sz w:val="20"/>
          <w:szCs w:val="20"/>
          <w:color w:val="auto"/>
        </w:rPr>
      </w:pPr>
      <w:r>
        <w:rPr>
          <w:rFonts w:ascii="Arial" w:cs="Arial" w:eastAsia="Arial" w:hAnsi="Arial"/>
          <w:sz w:val="17"/>
          <w:szCs w:val="17"/>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w:t>
      </w:r>
    </w:p>
    <w:p>
      <w:pPr>
        <w:jc w:val="both"/>
        <w:ind w:left="120"/>
        <w:spacing w:after="0"/>
        <w:rPr>
          <w:sz w:val="20"/>
          <w:szCs w:val="20"/>
          <w:color w:val="auto"/>
        </w:rPr>
      </w:pPr>
      <w:r>
        <w:rPr>
          <w:rFonts w:ascii="Arial" w:cs="Arial" w:eastAsia="Arial" w:hAnsi="Arial"/>
          <w:sz w:val="18"/>
          <w:szCs w:val="18"/>
          <w:color w:val="auto"/>
        </w:rPr>
        <w:t>requirements through . We expect that the net proceeds from this offering, together with our existing cash, cash equivalents and short-term marketable securities, will allow us to complete our planned Phase 1/2 trial of PC14586; however, the expected net proceeds of this offering will not be sufficient for us to complete the development and commercialization of our product candidates, and we will need to raise substantial additional capital.</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5" w:right="4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00"/>
          </w:cols>
          <w:pgMar w:left="320" w:top="455" w:right="7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line="243"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 pro forma basis to reflect (i) our issuance and sale in July 2020 of an aggregate of 28,020,172 shares of our Series D Convertible Preferred Stock for gross proceeds of $70.0 million, (ii) the conversion of all outstanding shares of our convertible preferred stock, including our Series D convertible preferred stock issued in July 2020, into an aggregate of 148,413,322 shares of common stock, which will occur immediately prior to the completion of this offering, and the resulting reclassification of the convertible preferred stock and (iii) the filing and effectiveness of our amended and restated certificate of incorporation, which will occur immediately prior to the completion of this offering; and</w:t>
      </w:r>
    </w:p>
    <w:p>
      <w:pPr>
        <w:spacing w:after="0" w:line="79" w:lineRule="exact"/>
        <w:rPr>
          <w:sz w:val="20"/>
          <w:szCs w:val="20"/>
          <w:color w:val="auto"/>
        </w:rPr>
      </w:pPr>
    </w:p>
    <w:p>
      <w:pPr>
        <w:jc w:val="both"/>
        <w:ind w:left="880" w:right="240" w:hanging="219"/>
        <w:spacing w:after="0" w:line="247" w:lineRule="auto"/>
        <w:tabs>
          <w:tab w:leader="none" w:pos="860" w:val="left"/>
        </w:tabs>
        <w:rPr>
          <w:sz w:val="20"/>
          <w:szCs w:val="20"/>
          <w:color w:val="auto"/>
        </w:rPr>
      </w:pPr>
      <w:r>
        <w:rPr>
          <w:rFonts w:ascii="Arial" w:cs="Arial" w:eastAsia="Arial" w:hAnsi="Arial"/>
          <w:sz w:val="18"/>
          <w:szCs w:val="18"/>
          <w:color w:val="auto"/>
        </w:rPr>
        <w:t>•</w:t>
        <w:tab/>
        <w:t>on a pro forma as adjusted basis to further reflect our issuance and sale of        shares of common stock in this offering at the assumed initial public offering price of $        per share, which is the midpoint of the estimated offering price range set</w:t>
      </w:r>
    </w:p>
    <w:p>
      <w:pPr>
        <w:spacing w:after="0" w:line="1" w:lineRule="exact"/>
        <w:rPr>
          <w:sz w:val="20"/>
          <w:szCs w:val="20"/>
          <w:color w:val="auto"/>
        </w:rPr>
      </w:pPr>
    </w:p>
    <w:p>
      <w:pPr>
        <w:ind w:left="880" w:right="380"/>
        <w:spacing w:after="0" w:line="250" w:lineRule="auto"/>
        <w:rPr>
          <w:sz w:val="20"/>
          <w:szCs w:val="20"/>
          <w:color w:val="auto"/>
        </w:rPr>
      </w:pPr>
      <w:r>
        <w:rPr>
          <w:rFonts w:ascii="Arial" w:cs="Arial" w:eastAsia="Arial" w:hAnsi="Arial"/>
          <w:sz w:val="18"/>
          <w:szCs w:val="18"/>
          <w:color w:val="auto"/>
        </w:rPr>
        <w:t>forth on the cover page of this prospectus, after deducting estimated underwriting discounts and commissions and estimated offering expenses payable by us.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7 to our unaudited condensed financial statements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400" w:type="dxa"/>
            <w:vAlign w:val="bottom"/>
          </w:tcPr>
          <w:p>
            <w:pPr>
              <w:spacing w:after="0"/>
              <w:rPr>
                <w:sz w:val="15"/>
                <w:szCs w:val="15"/>
                <w:color w:val="auto"/>
              </w:rPr>
            </w:pPr>
          </w:p>
        </w:tc>
        <w:tc>
          <w:tcPr>
            <w:tcW w:w="1000" w:type="dxa"/>
            <w:vAlign w:val="bottom"/>
            <w:gridSpan w:val="2"/>
          </w:tcPr>
          <w:p>
            <w:pPr>
              <w:jc w:val="center"/>
              <w:ind w:right="4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8"/>
          </w:tcPr>
          <w:p>
            <w:pPr>
              <w:jc w:val="center"/>
              <w:ind w:right="45"/>
              <w:spacing w:after="0" w:line="141" w:lineRule="exact"/>
              <w:rPr>
                <w:sz w:val="20"/>
                <w:szCs w:val="20"/>
                <w:color w:val="auto"/>
              </w:rPr>
            </w:pPr>
            <w:r>
              <w:rPr>
                <w:rFonts w:ascii="Arial" w:cs="Arial" w:eastAsia="Arial" w:hAnsi="Arial"/>
                <w:sz w:val="14"/>
                <w:szCs w:val="14"/>
                <w:b w:val="1"/>
                <w:bCs w:val="1"/>
                <w:color w:val="auto"/>
              </w:rPr>
              <w:t>(in thousands, except per share and per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share amounts) (unaudited)</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86,136</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156,106</w:t>
            </w:r>
          </w:p>
        </w:tc>
        <w:tc>
          <w:tcPr>
            <w:tcW w:w="134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spacing w:after="0"/>
              <w:rPr>
                <w:sz w:val="20"/>
                <w:szCs w:val="20"/>
                <w:color w:val="auto"/>
              </w:rPr>
            </w:pPr>
            <w:r>
              <w:rPr>
                <w:rFonts w:ascii="Arial" w:cs="Arial" w:eastAsia="Arial" w:hAnsi="Arial"/>
                <w:sz w:val="18"/>
                <w:szCs w:val="18"/>
                <w:color w:val="auto"/>
              </w:rPr>
              <w:t>Convertible preferred stock, $0.00001 par value per share; 120,483,538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authorized, 120,393,150 shares issued and outstanding, actual; no shares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6060" w:type="dxa"/>
            <w:vAlign w:val="bottom"/>
            <w:gridSpan w:val="3"/>
          </w:tcPr>
          <w:p>
            <w:pPr>
              <w:ind w:left="2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168,933</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240" w:type="dxa"/>
            <w:vAlign w:val="bottom"/>
            <w:gridSpan w:val="4"/>
          </w:tcPr>
          <w:p>
            <w:pPr>
              <w:ind w:left="20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tcPr>
          <w:p>
            <w:pPr>
              <w:ind w:left="380"/>
              <w:spacing w:after="0" w:line="202" w:lineRule="exact"/>
              <w:rPr>
                <w:sz w:val="20"/>
                <w:szCs w:val="20"/>
                <w:color w:val="auto"/>
              </w:rPr>
            </w:pPr>
            <w:r>
              <w:rPr>
                <w:rFonts w:ascii="Arial" w:cs="Arial" w:eastAsia="Arial" w:hAnsi="Arial"/>
                <w:sz w:val="18"/>
                <w:szCs w:val="18"/>
                <w:color w:val="auto"/>
              </w:rPr>
              <w:t>actual;</w:t>
            </w:r>
          </w:p>
        </w:tc>
        <w:tc>
          <w:tcPr>
            <w:tcW w:w="618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shares authorized and no shares issued or outstanding, pro forma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and pro forma as adjusted</w:t>
            </w: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7240" w:type="dxa"/>
            <w:vAlign w:val="bottom"/>
            <w:gridSpan w:val="4"/>
            <w:shd w:val="clear" w:color="auto" w:fill="CCEEFF"/>
          </w:tcPr>
          <w:p>
            <w:pPr>
              <w:ind w:left="200"/>
              <w:spacing w:after="0" w:line="180" w:lineRule="exact"/>
              <w:rPr>
                <w:sz w:val="20"/>
                <w:szCs w:val="20"/>
                <w:color w:val="auto"/>
              </w:rPr>
            </w:pPr>
            <w:r>
              <w:rPr>
                <w:rFonts w:ascii="Arial" w:cs="Arial" w:eastAsia="Arial" w:hAnsi="Arial"/>
                <w:sz w:val="18"/>
                <w:szCs w:val="18"/>
                <w:color w:val="auto"/>
              </w:rPr>
              <w:t>Common stock, $0.00001 par value per share; 175,068,944 shares authorized,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16,038,590 shares issued and outstanding, actual; 201,747,258 shares</w:t>
            </w: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7240" w:type="dxa"/>
            <w:vAlign w:val="bottom"/>
            <w:gridSpan w:val="4"/>
            <w:shd w:val="clear" w:color="auto" w:fill="CCEEFF"/>
          </w:tcPr>
          <w:p>
            <w:pPr>
              <w:ind w:left="380"/>
              <w:spacing w:after="0" w:line="202" w:lineRule="exact"/>
              <w:rPr>
                <w:sz w:val="20"/>
                <w:szCs w:val="20"/>
                <w:color w:val="auto"/>
              </w:rPr>
            </w:pPr>
            <w:r>
              <w:rPr>
                <w:rFonts w:ascii="Arial" w:cs="Arial" w:eastAsia="Arial" w:hAnsi="Arial"/>
                <w:sz w:val="18"/>
                <w:szCs w:val="18"/>
                <w:color w:val="auto"/>
              </w:rPr>
              <w:t>authorized, 164,451,912 shares issued and outstanding, pro forma (unaudited);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shares authorized, shares issued and outstanding, pro forma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adjusted (unaudited)</w:t>
            </w:r>
          </w:p>
        </w:tc>
        <w:tc>
          <w:tcPr>
            <w:tcW w:w="1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5,648</w:t>
            </w:r>
          </w:p>
        </w:tc>
        <w:tc>
          <w:tcPr>
            <w:tcW w:w="40" w:type="dxa"/>
            <w:vAlign w:val="bottom"/>
          </w:tcPr>
          <w:p>
            <w:pPr>
              <w:spacing w:after="0"/>
              <w:rPr>
                <w:sz w:val="17"/>
                <w:szCs w:val="17"/>
                <w:color w:val="auto"/>
              </w:rPr>
            </w:pPr>
          </w:p>
        </w:tc>
        <w:tc>
          <w:tcPr>
            <w:tcW w:w="13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244,549</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(90,661)</w:t>
            </w:r>
          </w:p>
        </w:tc>
        <w:tc>
          <w:tcPr>
            <w:tcW w:w="1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(90,661)</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stockholders’ (deficit) equity</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13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153,895</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capitalization</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153,895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0" w:type="dxa"/>
            <w:vAlign w:val="bottom"/>
            <w:gridSpan w:val="2"/>
          </w:tcPr>
          <w:p>
            <w:pPr>
              <w:spacing w:after="0"/>
              <w:rPr>
                <w:sz w:val="11"/>
                <w:szCs w:val="11"/>
                <w:color w:val="auto"/>
              </w:rPr>
            </w:pPr>
          </w:p>
        </w:tc>
        <w:tc>
          <w:tcPr>
            <w:tcW w:w="48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6060" w:type="dxa"/>
            <w:vAlign w:val="bottom"/>
            <w:gridSpan w:val="3"/>
          </w:tcPr>
          <w:p>
            <w:pPr>
              <w:ind w:left="38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4800" w:type="dxa"/>
            <w:vAlign w:val="bottom"/>
            <w:gridSpan w:val="12"/>
          </w:tcPr>
          <w:p>
            <w:pPr>
              <w:ind w:left="20"/>
              <w:spacing w:after="0"/>
              <w:rPr>
                <w:sz w:val="20"/>
                <w:szCs w:val="20"/>
                <w:color w:val="auto"/>
              </w:rPr>
            </w:pPr>
            <w:r>
              <w:rPr>
                <w:rFonts w:ascii="Arial" w:cs="Arial" w:eastAsia="Arial" w:hAnsi="Arial"/>
                <w:sz w:val="14"/>
                <w:szCs w:val="14"/>
                <w:color w:val="auto"/>
              </w:rPr>
              <w:t>per share, which is the midpoint of the estimated offering price range set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forth on the cover page of this prospectus, would increase or decrease, as applicable, our pro forma as adjusted cash, cash equivalents and short-term marketable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240" w:type="dxa"/>
            <w:vAlign w:val="bottom"/>
            <w:gridSpan w:val="4"/>
          </w:tcPr>
          <w:p>
            <w:pPr>
              <w:ind w:left="380"/>
              <w:spacing w:after="0"/>
              <w:rPr>
                <w:sz w:val="20"/>
                <w:szCs w:val="20"/>
                <w:color w:val="auto"/>
              </w:rPr>
            </w:pPr>
            <w:r>
              <w:rPr>
                <w:rFonts w:ascii="Arial" w:cs="Arial" w:eastAsia="Arial" w:hAnsi="Arial"/>
                <w:sz w:val="14"/>
                <w:szCs w:val="14"/>
                <w:color w:val="auto"/>
              </w:rPr>
              <w:t>securities, additional paid-in capital, total stockholders’ equity and total capitalization by approximately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9"/>
          </w:tcPr>
          <w:p>
            <w:pPr>
              <w:ind w:left="260"/>
              <w:spacing w:after="0"/>
              <w:rPr>
                <w:sz w:val="20"/>
                <w:szCs w:val="20"/>
                <w:color w:val="auto"/>
              </w:rPr>
            </w:pPr>
            <w:r>
              <w:rPr>
                <w:rFonts w:ascii="Arial" w:cs="Arial" w:eastAsia="Arial" w:hAnsi="Arial"/>
                <w:sz w:val="14"/>
                <w:szCs w:val="14"/>
                <w:color w:val="auto"/>
              </w:rPr>
              <w:t>million, assuming that the number of shares of</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common stock offered by us, as set forth on the cover page of this prospectus, remains the same, and after deducting estimated underwriting discounts and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commissions and estimated offering expenses payable by us. Each increase or decrease of 1.0 million shares in the number of shares of common stock offered by</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us would increase or decrease, as applicable, our pro forma as adjusted cash, cash equivalents and short-term marketable securities, additional paid-in capital, total</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820" w:type="dxa"/>
            <w:vAlign w:val="bottom"/>
            <w:gridSpan w:val="2"/>
          </w:tcPr>
          <w:p>
            <w:pPr>
              <w:ind w:left="380"/>
              <w:spacing w:after="0"/>
              <w:rPr>
                <w:sz w:val="20"/>
                <w:szCs w:val="20"/>
                <w:color w:val="auto"/>
              </w:rPr>
            </w:pPr>
            <w:r>
              <w:rPr>
                <w:rFonts w:ascii="Arial" w:cs="Arial" w:eastAsia="Arial" w:hAnsi="Arial"/>
                <w:sz w:val="14"/>
                <w:szCs w:val="14"/>
                <w:color w:val="auto"/>
              </w:rPr>
              <w:t>stockholders’ equity and total capitalization by approximately $</w:t>
            </w:r>
          </w:p>
        </w:tc>
        <w:tc>
          <w:tcPr>
            <w:tcW w:w="4640" w:type="dxa"/>
            <w:vAlign w:val="bottom"/>
            <w:gridSpan w:val="10"/>
          </w:tcPr>
          <w:p>
            <w:pPr>
              <w:jc w:val="right"/>
              <w:ind w:right="580"/>
              <w:spacing w:after="0"/>
              <w:rPr>
                <w:sz w:val="20"/>
                <w:szCs w:val="20"/>
                <w:color w:val="auto"/>
              </w:rPr>
            </w:pPr>
            <w:r>
              <w:rPr>
                <w:rFonts w:ascii="Arial" w:cs="Arial" w:eastAsia="Arial" w:hAnsi="Arial"/>
                <w:sz w:val="14"/>
                <w:szCs w:val="14"/>
                <w:color w:val="auto"/>
              </w:rPr>
              <w:t>million, assuming the assumed initial public offering price of $</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per share, which is</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the midpoint of the estimated offering price range set forth on the cover page of this prospectus, remains the same, and after deducting estimated underwriting</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discounts and commissions and estimated offering expenses payable by us. The pro forma as adjusted information discussed above is illustrative only and will be</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7240" w:type="dxa"/>
            <w:vAlign w:val="bottom"/>
            <w:gridSpan w:val="4"/>
          </w:tcPr>
          <w:p>
            <w:pPr>
              <w:ind w:left="380"/>
              <w:spacing w:after="0"/>
              <w:rPr>
                <w:sz w:val="20"/>
                <w:szCs w:val="20"/>
                <w:color w:val="auto"/>
              </w:rPr>
            </w:pPr>
            <w:r>
              <w:rPr>
                <w:rFonts w:ascii="Arial" w:cs="Arial" w:eastAsia="Arial" w:hAnsi="Arial"/>
                <w:sz w:val="14"/>
                <w:szCs w:val="14"/>
                <w:color w:val="auto"/>
              </w:rPr>
              <w:t>adjusted based on the actual public offering price and other terms of this offering determined at pricing.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40" w:type="dxa"/>
            <w:vAlign w:val="bottom"/>
          </w:tcPr>
          <w:p>
            <w:pPr>
              <w:jc w:val="right"/>
              <w:ind w:right="539"/>
              <w:spacing w:after="0"/>
              <w:rPr>
                <w:sz w:val="20"/>
                <w:szCs w:val="20"/>
                <w:color w:val="auto"/>
              </w:rPr>
            </w:pPr>
            <w:r>
              <w:rPr>
                <w:rFonts w:ascii="Arial" w:cs="Arial" w:eastAsia="Arial" w:hAnsi="Arial"/>
                <w:sz w:val="18"/>
                <w:szCs w:val="18"/>
                <w:color w:val="auto"/>
              </w:rPr>
              <w:t>96</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164,451,912 shares of our common stock outstanding as of June 30, 2020 (including an aggregate of 120,393,150 shares of common stock issuable upon conversion of our outstanding convertible preferred stock as of June 30, 2020) and including 28,020,172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hanging="224"/>
        <w:spacing w:after="0" w:line="27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480" w:hanging="824"/>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76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880" w:right="200" w:hanging="224"/>
        <w:spacing w:after="0" w:line="306" w:lineRule="auto"/>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2013 Equity Incentive Plan, as amended, which shares will be added to the shares to be reserved under our 2020 Equity Incentive Plan, or 2020 Plan, upon its effectiveness;</w:t>
      </w:r>
    </w:p>
    <w:p>
      <w:pPr>
        <w:spacing w:after="0" w:line="28" w:lineRule="exact"/>
        <w:rPr>
          <w:rFonts w:ascii="Arial" w:cs="Arial" w:eastAsia="Arial" w:hAnsi="Arial"/>
          <w:sz w:val="17"/>
          <w:szCs w:val="17"/>
          <w:color w:val="auto"/>
        </w:rPr>
      </w:pPr>
    </w:p>
    <w:p>
      <w:pPr>
        <w:ind w:left="880" w:right="20" w:hanging="224"/>
        <w:spacing w:after="0" w:line="255"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 June 30, 2020 that will be converted into a warrant to purchase an aggregate of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880" w:hanging="224"/>
        <w:spacing w:after="0" w:line="255" w:lineRule="auto"/>
        <w:tabs>
          <w:tab w:leader="none" w:pos="1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320" w:top="455" w:right="5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$(85.0 million), or $(5.30)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pro forma net tangible book value (deficit) as of June 30, 2020 was approximately $153.9 million, or $0.94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(i) the conversion of all shares of our convertible preferred stock outstanding as of June 30, 2020 into an aggregate of 120,393,150 shares of our common stock, which will occur immediately prior to the completion of this offering and (ii) the issuance and sale of 28,020,172 shares of our Series D convertible preferred stock in July 2020 for aggregate gross proceeds of approximately $70.0 million, and the conversion of such shares into 28,020,172 shares of our common stock, which will occur immediately prior to the completion of this offering.</w:t>
      </w:r>
    </w:p>
    <w:p>
      <w:pPr>
        <w:spacing w:after="0" w:line="180"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After giving further effect to our sale of shares of common stock in this offering at the assumed initial public offering price of $ per share, which is the midpoint of the estimated offering price range set forth on the cover page of this prospectus, and</w:t>
      </w:r>
    </w:p>
    <w:p>
      <w:pPr>
        <w:ind w:left="120"/>
        <w:spacing w:after="0" w:line="235" w:lineRule="auto"/>
        <w:rPr>
          <w:sz w:val="20"/>
          <w:szCs w:val="20"/>
          <w:color w:val="auto"/>
        </w:rPr>
      </w:pPr>
      <w:r>
        <w:rPr>
          <w:rFonts w:ascii="Arial" w:cs="Arial" w:eastAsia="Arial" w:hAnsi="Arial"/>
          <w:sz w:val="18"/>
          <w:szCs w:val="18"/>
          <w:color w:val="auto"/>
        </w:rPr>
        <w:t>after deducting estimated underwriting discounts and commissions and estimated offering expenses payable by us, our pro forma as</w:t>
      </w:r>
    </w:p>
    <w:tbl>
      <w:tblPr>
        <w:tblLayout w:type="fixed"/>
        <w:tblInd w:w="120" w:type="dxa"/>
        <w:tblCellMar>
          <w:top w:w="0" w:type="dxa"/>
          <w:left w:w="0" w:type="dxa"/>
          <w:bottom w:w="0" w:type="dxa"/>
          <w:right w:w="0" w:type="dxa"/>
        </w:tblCellMar>
      </w:tblPr>
      <w:tr>
        <w:trPr>
          <w:trHeight w:val="181"/>
        </w:trPr>
        <w:tc>
          <w:tcPr>
            <w:tcW w:w="7380" w:type="dxa"/>
            <w:vAlign w:val="bottom"/>
          </w:tcPr>
          <w:p>
            <w:pPr>
              <w:spacing w:after="0" w:line="182" w:lineRule="exact"/>
              <w:rPr>
                <w:sz w:val="20"/>
                <w:szCs w:val="20"/>
                <w:color w:val="auto"/>
              </w:rPr>
            </w:pPr>
            <w:r>
              <w:rPr>
                <w:rFonts w:ascii="Arial" w:cs="Arial" w:eastAsia="Arial" w:hAnsi="Arial"/>
                <w:sz w:val="18"/>
                <w:szCs w:val="18"/>
                <w:color w:val="auto"/>
              </w:rPr>
              <w:t>adjusted net tangible book value as of June 30, 2020 would have been approximately $</w:t>
            </w:r>
          </w:p>
        </w:tc>
        <w:tc>
          <w:tcPr>
            <w:tcW w:w="16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million, or $</w:t>
            </w:r>
          </w:p>
        </w:tc>
        <w:tc>
          <w:tcPr>
            <w:tcW w:w="1980" w:type="dxa"/>
            <w:vAlign w:val="bottom"/>
            <w:gridSpan w:val="5"/>
          </w:tcPr>
          <w:p>
            <w:pPr>
              <w:jc w:val="right"/>
              <w:ind w:right="320"/>
              <w:spacing w:after="0" w:line="182" w:lineRule="exact"/>
              <w:rPr>
                <w:sz w:val="20"/>
                <w:szCs w:val="20"/>
                <w:color w:val="auto"/>
              </w:rPr>
            </w:pPr>
            <w:r>
              <w:rPr>
                <w:rFonts w:ascii="Arial" w:cs="Arial" w:eastAsia="Arial" w:hAnsi="Arial"/>
                <w:sz w:val="18"/>
                <w:szCs w:val="18"/>
                <w:color w:val="auto"/>
              </w:rPr>
              <w:t>per share. This</w:t>
            </w:r>
          </w:p>
        </w:tc>
      </w:tr>
      <w:tr>
        <w:trPr>
          <w:trHeight w:val="203"/>
        </w:trPr>
        <w:tc>
          <w:tcPr>
            <w:tcW w:w="7880" w:type="dxa"/>
            <w:vAlign w:val="bottom"/>
            <w:gridSpan w:val="2"/>
          </w:tcPr>
          <w:p>
            <w:pPr>
              <w:spacing w:after="0" w:line="202" w:lineRule="exact"/>
              <w:rPr>
                <w:sz w:val="20"/>
                <w:szCs w:val="20"/>
                <w:color w:val="auto"/>
              </w:rPr>
            </w:pPr>
            <w:r>
              <w:rPr>
                <w:rFonts w:ascii="Arial" w:cs="Arial" w:eastAsia="Arial" w:hAnsi="Arial"/>
                <w:sz w:val="18"/>
                <w:szCs w:val="18"/>
                <w:color w:val="auto"/>
              </w:rPr>
              <w:t>represents an immediate increase in pro forma as adjusted net tangible book value per share of $</w:t>
            </w:r>
          </w:p>
        </w:tc>
        <w:tc>
          <w:tcPr>
            <w:tcW w:w="3140" w:type="dxa"/>
            <w:vAlign w:val="bottom"/>
            <w:gridSpan w:val="6"/>
          </w:tcPr>
          <w:p>
            <w:pPr>
              <w:ind w:left="720"/>
              <w:spacing w:after="0" w:line="202" w:lineRule="exact"/>
              <w:rPr>
                <w:sz w:val="20"/>
                <w:szCs w:val="20"/>
                <w:color w:val="auto"/>
              </w:rPr>
            </w:pPr>
            <w:r>
              <w:rPr>
                <w:rFonts w:ascii="Arial" w:cs="Arial" w:eastAsia="Arial" w:hAnsi="Arial"/>
                <w:sz w:val="18"/>
                <w:szCs w:val="18"/>
                <w:color w:val="auto"/>
              </w:rPr>
              <w:t>to our existing stockholders</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and an immediate dilution in pro forma as adjusted net tangible book value per share of $</w:t>
            </w:r>
          </w:p>
        </w:tc>
        <w:tc>
          <w:tcPr>
            <w:tcW w:w="500" w:type="dxa"/>
            <w:vAlign w:val="bottom"/>
          </w:tcPr>
          <w:p>
            <w:pPr>
              <w:spacing w:after="0"/>
              <w:rPr>
                <w:sz w:val="17"/>
                <w:szCs w:val="17"/>
                <w:color w:val="auto"/>
              </w:rPr>
            </w:pPr>
          </w:p>
        </w:tc>
        <w:tc>
          <w:tcPr>
            <w:tcW w:w="3140" w:type="dxa"/>
            <w:vAlign w:val="bottom"/>
            <w:gridSpan w:val="6"/>
          </w:tcPr>
          <w:p>
            <w:pPr>
              <w:spacing w:after="0" w:line="202" w:lineRule="exact"/>
              <w:rPr>
                <w:sz w:val="20"/>
                <w:szCs w:val="20"/>
                <w:color w:val="auto"/>
              </w:rPr>
            </w:pPr>
            <w:r>
              <w:rPr>
                <w:rFonts w:ascii="Arial" w:cs="Arial" w:eastAsia="Arial" w:hAnsi="Arial"/>
                <w:sz w:val="18"/>
                <w:szCs w:val="18"/>
                <w:color w:val="auto"/>
              </w:rPr>
              <w:t>to new investors purchasing common</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stock in this offering.</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18"/>
        </w:trPr>
        <w:tc>
          <w:tcPr>
            <w:tcW w:w="7380" w:type="dxa"/>
            <w:vAlign w:val="bottom"/>
          </w:tcPr>
          <w:p>
            <w:pPr>
              <w:ind w:left="54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7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increase in net tangible book value (deficit) per share as of June 30, 2020</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7"/>
        </w:trPr>
        <w:tc>
          <w:tcPr>
            <w:tcW w:w="9040" w:type="dxa"/>
            <w:vAlign w:val="bottom"/>
            <w:gridSpan w:val="3"/>
          </w:tcPr>
          <w:p>
            <w:pPr>
              <w:ind w:left="360"/>
              <w:spacing w:after="0" w:line="187" w:lineRule="exact"/>
              <w:rPr>
                <w:sz w:val="20"/>
                <w:szCs w:val="20"/>
                <w:color w:val="auto"/>
              </w:rPr>
            </w:pPr>
            <w:r>
              <w:rPr>
                <w:rFonts w:ascii="Arial" w:cs="Arial" w:eastAsia="Arial" w:hAnsi="Arial"/>
                <w:sz w:val="18"/>
                <w:szCs w:val="18"/>
                <w:color w:val="auto"/>
              </w:rPr>
              <w:t>Pro forma net tangible book value (deficit) per share as of June 30, 2020 Increase in pro forma net</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7880" w:type="dxa"/>
            <w:vAlign w:val="bottom"/>
            <w:gridSpan w:val="2"/>
          </w:tcPr>
          <w:p>
            <w:pPr>
              <w:ind w:left="540"/>
              <w:spacing w:after="0"/>
              <w:rPr>
                <w:sz w:val="20"/>
                <w:szCs w:val="20"/>
                <w:color w:val="auto"/>
              </w:rPr>
            </w:pPr>
            <w:r>
              <w:rPr>
                <w:rFonts w:ascii="Arial" w:cs="Arial" w:eastAsia="Arial" w:hAnsi="Arial"/>
                <w:sz w:val="18"/>
                <w:szCs w:val="18"/>
                <w:color w:val="auto"/>
                <w:w w:val="99"/>
              </w:rPr>
              <w:t>tangible book value per share attributable to new investors purchasing shares in this offering</w:t>
            </w:r>
          </w:p>
        </w:tc>
        <w:tc>
          <w:tcPr>
            <w:tcW w:w="1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7380" w:type="dxa"/>
            <w:vAlign w:val="bottom"/>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640" w:type="dxa"/>
            <w:vAlign w:val="bottom"/>
            <w:gridSpan w:val="7"/>
          </w:tcPr>
          <w:p>
            <w:pPr>
              <w:jc w:val="right"/>
              <w:ind w:right="320"/>
              <w:spacing w:after="0"/>
              <w:rPr>
                <w:sz w:val="20"/>
                <w:szCs w:val="20"/>
                <w:color w:val="auto"/>
              </w:rPr>
            </w:pPr>
            <w:r>
              <w:rPr>
                <w:rFonts w:ascii="Arial" w:cs="Arial" w:eastAsia="Arial" w:hAnsi="Arial"/>
                <w:sz w:val="18"/>
                <w:szCs w:val="18"/>
                <w:color w:val="auto"/>
              </w:rPr>
              <w:t>per share, which is the midpoint of the</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estimated offering price range set forth on the cover page of this</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51"/>
        </w:trPr>
        <w:tc>
          <w:tcPr>
            <w:tcW w:w="7380" w:type="dxa"/>
            <w:vAlign w:val="bottom"/>
          </w:tcPr>
          <w:p>
            <w:pPr>
              <w:ind w:left="540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 would increase or decrease, as applicable, the pro forma as adjusted net tangible book value per share after this offering by</w:t>
      </w:r>
    </w:p>
    <w:p>
      <w:pPr>
        <w:spacing w:after="0" w:line="18"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 per share and the dilution to new investors purchasing common stock in this offering by $ per share, assuming the number of shares offered by us, as set forth on the cover page of this prospectus, remains the same, and after deducting estimated underwriting discounts and commissions and estimated offering expenses payable by us. An increase of 1.0 million shares in the number</w:t>
      </w:r>
    </w:p>
    <w:tbl>
      <w:tblPr>
        <w:tblLayout w:type="fixed"/>
        <w:tblInd w:w="120" w:type="dxa"/>
        <w:tblCellMar>
          <w:top w:w="0" w:type="dxa"/>
          <w:left w:w="0" w:type="dxa"/>
          <w:bottom w:w="0" w:type="dxa"/>
          <w:right w:w="0" w:type="dxa"/>
        </w:tblCellMar>
      </w:tblPr>
      <w:tr>
        <w:trPr>
          <w:trHeight w:val="183"/>
        </w:trPr>
        <w:tc>
          <w:tcPr>
            <w:tcW w:w="10080" w:type="dxa"/>
            <w:vAlign w:val="bottom"/>
            <w:gridSpan w:val="3"/>
          </w:tcPr>
          <w:p>
            <w:pPr>
              <w:spacing w:after="0" w:line="182" w:lineRule="exact"/>
              <w:rPr>
                <w:sz w:val="20"/>
                <w:szCs w:val="20"/>
                <w:color w:val="auto"/>
              </w:rPr>
            </w:pPr>
            <w:r>
              <w:rPr>
                <w:rFonts w:ascii="Arial" w:cs="Arial" w:eastAsia="Arial" w:hAnsi="Arial"/>
                <w:sz w:val="18"/>
                <w:szCs w:val="18"/>
                <w:color w:val="auto"/>
              </w:rPr>
              <w:t>of shares offered by us would increase the pro forma as adjusted net tangible book value per share after this offering by $</w:t>
            </w:r>
          </w:p>
        </w:tc>
        <w:tc>
          <w:tcPr>
            <w:tcW w:w="920" w:type="dxa"/>
            <w:vAlign w:val="bottom"/>
          </w:tcPr>
          <w:p>
            <w:pPr>
              <w:ind w:left="380"/>
              <w:spacing w:after="0" w:line="182" w:lineRule="exact"/>
              <w:rPr>
                <w:sz w:val="20"/>
                <w:szCs w:val="20"/>
                <w:color w:val="auto"/>
              </w:rPr>
            </w:pPr>
            <w:r>
              <w:rPr>
                <w:rFonts w:ascii="Arial" w:cs="Arial" w:eastAsia="Arial" w:hAnsi="Arial"/>
                <w:sz w:val="18"/>
                <w:szCs w:val="18"/>
                <w:color w:val="auto"/>
              </w:rPr>
              <w:t>and</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decrease the dilution per share to new investors participating in this offering by $</w:t>
            </w:r>
          </w:p>
        </w:tc>
        <w:tc>
          <w:tcPr>
            <w:tcW w:w="42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 A decrease of 1.0 million shares in the number</w:t>
            </w:r>
          </w:p>
        </w:tc>
      </w:tr>
      <w:tr>
        <w:trPr>
          <w:trHeight w:val="203"/>
        </w:trPr>
        <w:tc>
          <w:tcPr>
            <w:tcW w:w="10080" w:type="dxa"/>
            <w:vAlign w:val="bottom"/>
            <w:gridSpan w:val="3"/>
          </w:tcPr>
          <w:p>
            <w:pPr>
              <w:spacing w:after="0" w:line="202" w:lineRule="exact"/>
              <w:rPr>
                <w:sz w:val="20"/>
                <w:szCs w:val="20"/>
                <w:color w:val="auto"/>
              </w:rPr>
            </w:pPr>
            <w:r>
              <w:rPr>
                <w:rFonts w:ascii="Arial" w:cs="Arial" w:eastAsia="Arial" w:hAnsi="Arial"/>
                <w:sz w:val="18"/>
                <w:szCs w:val="18"/>
                <w:color w:val="auto"/>
              </w:rPr>
              <w:t>of shares offered by us would decrease the pro forma as adjusted net tangible book value per share after this offering by $</w:t>
            </w:r>
          </w:p>
        </w:tc>
        <w:tc>
          <w:tcPr>
            <w:tcW w:w="920" w:type="dxa"/>
            <w:vAlign w:val="bottom"/>
          </w:tcPr>
          <w:p>
            <w:pPr>
              <w:ind w:left="440"/>
              <w:spacing w:after="0" w:line="202" w:lineRule="exact"/>
              <w:rPr>
                <w:sz w:val="20"/>
                <w:szCs w:val="20"/>
                <w:color w:val="auto"/>
              </w:rPr>
            </w:pPr>
            <w:r>
              <w:rPr>
                <w:rFonts w:ascii="Arial" w:cs="Arial" w:eastAsia="Arial" w:hAnsi="Arial"/>
                <w:sz w:val="18"/>
                <w:szCs w:val="18"/>
                <w:color w:val="auto"/>
              </w:rPr>
              <w:t>and</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increase the dilution per share to new investors participating in this offering by $</w:t>
            </w:r>
          </w:p>
        </w:tc>
        <w:tc>
          <w:tcPr>
            <w:tcW w:w="42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assuming the assumed initial public offering</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price of $</w:t>
            </w:r>
          </w:p>
        </w:tc>
        <w:tc>
          <w:tcPr>
            <w:tcW w:w="9860" w:type="dxa"/>
            <w:vAlign w:val="bottom"/>
            <w:gridSpan w:val="3"/>
          </w:tcPr>
          <w:p>
            <w:pPr>
              <w:ind w:left="400"/>
              <w:spacing w:after="0"/>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w:t>
            </w:r>
          </w:p>
        </w:tc>
      </w:tr>
    </w:tbl>
    <w:p>
      <w:pPr>
        <w:ind w:left="120" w:right="280"/>
        <w:spacing w:after="0" w:line="250" w:lineRule="auto"/>
        <w:rPr>
          <w:sz w:val="20"/>
          <w:szCs w:val="20"/>
          <w:color w:val="auto"/>
        </w:rPr>
      </w:pPr>
      <w:r>
        <w:rPr>
          <w:rFonts w:ascii="Arial" w:cs="Arial" w:eastAsia="Arial" w:hAnsi="Arial"/>
          <w:sz w:val="18"/>
          <w:szCs w:val="18"/>
          <w:color w:val="auto"/>
        </w:rPr>
        <w:t>remains the same, and after deducting estimated underwriting discounts and commissions and estimated offering expenses payable by us.</w:t>
      </w:r>
    </w:p>
    <w:p>
      <w:pPr>
        <w:spacing w:after="0" w:line="168"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If the underwriters exercise their option to purchase additional shares of common stock in this offering in full at the assumed initial public offering price of $ per share, which is the midpoint of the estimated offering price range set forth on the</w:t>
      </w:r>
    </w:p>
    <w:p>
      <w:pPr>
        <w:spacing w:after="0" w:line="1"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cover of this prospectus, and assuming the number of shares offered by us, as set forth on the cover page of this prospectus, remains the same, and after deducting estimated underwriting discounts and commissions and estimated offering expenses payable by us, the pro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0" w:right="440"/>
        <w:spacing w:after="0" w:line="276" w:lineRule="auto"/>
        <w:rPr>
          <w:sz w:val="20"/>
          <w:szCs w:val="20"/>
          <w:color w:val="auto"/>
        </w:rPr>
      </w:pPr>
      <w:r>
        <w:rPr>
          <w:rFonts w:ascii="Arial" w:cs="Arial" w:eastAsia="Arial" w:hAnsi="Arial"/>
          <w:sz w:val="18"/>
          <w:szCs w:val="18"/>
          <w:color w:val="auto"/>
        </w:rPr>
        <w:t>forma as adjusted net tangible book value per share after this offering would be $ per share, and the dilution in pro forma as adjusted net tangible book value per share to new investors purchasing common stock in this offering would be $ per share.</w:t>
      </w:r>
    </w:p>
    <w:p>
      <w:pPr>
        <w:spacing w:after="0" w:line="145"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The following table summarizes, on a pro forma as adjusted basis, as of June 30, 2020, the number of shares of common stock purchased from us on an as converted to common stock basis, the total consideration paid and the weighted-average price per share paid</w:t>
      </w:r>
    </w:p>
    <w:p>
      <w:pPr>
        <w:jc w:val="both"/>
        <w:ind w:left="120" w:right="160"/>
        <w:spacing w:after="0" w:line="242" w:lineRule="auto"/>
        <w:rPr>
          <w:sz w:val="20"/>
          <w:szCs w:val="20"/>
          <w:color w:val="auto"/>
        </w:rPr>
      </w:pPr>
      <w:r>
        <w:rPr>
          <w:rFonts w:ascii="Arial" w:cs="Arial" w:eastAsia="Arial" w:hAnsi="Arial"/>
          <w:sz w:val="18"/>
          <w:szCs w:val="18"/>
          <w:color w:val="auto"/>
        </w:rPr>
        <w:t>by existing stockholders and by new investors in this offering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gridSpan w:val="3"/>
            <w:vMerge w:val="restart"/>
          </w:tcPr>
          <w:p>
            <w:pPr>
              <w:jc w:val="center"/>
              <w:ind w:left="46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95"/>
        </w:trPr>
        <w:tc>
          <w:tcPr>
            <w:tcW w:w="15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0" w:type="dxa"/>
            <w:vAlign w:val="bottom"/>
            <w:gridSpan w:val="4"/>
            <w:vMerge w:val="restart"/>
          </w:tcPr>
          <w:p>
            <w:pPr>
              <w:jc w:val="center"/>
              <w:ind w:left="268"/>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2"/>
        </w:trPr>
        <w:tc>
          <w:tcPr>
            <w:tcW w:w="1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1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The table above assumes no exercise of the underwriters’ option to purchase</w:t>
            </w:r>
          </w:p>
        </w:tc>
        <w:tc>
          <w:tcPr>
            <w:tcW w:w="180" w:type="dxa"/>
            <w:vAlign w:val="bottom"/>
          </w:tcPr>
          <w:p>
            <w:pPr>
              <w:spacing w:after="0"/>
              <w:rPr>
                <w:sz w:val="24"/>
                <w:szCs w:val="24"/>
                <w:color w:val="auto"/>
              </w:rPr>
            </w:pPr>
          </w:p>
        </w:tc>
        <w:tc>
          <w:tcPr>
            <w:tcW w:w="3840" w:type="dxa"/>
            <w:vAlign w:val="bottom"/>
            <w:gridSpan w:val="12"/>
          </w:tcPr>
          <w:p>
            <w:pPr>
              <w:ind w:left="300"/>
              <w:spacing w:after="0"/>
              <w:rPr>
                <w:sz w:val="20"/>
                <w:szCs w:val="20"/>
                <w:color w:val="auto"/>
              </w:rPr>
            </w:pPr>
            <w:r>
              <w:rPr>
                <w:rFonts w:ascii="Arial" w:cs="Arial" w:eastAsia="Arial" w:hAnsi="Arial"/>
                <w:sz w:val="18"/>
                <w:szCs w:val="18"/>
                <w:color w:val="auto"/>
              </w:rPr>
              <w:t>additional shares in this offering. If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underwriters’ option to purchase additional shares is exercised in full, the number of shares of our common stock held by existing</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would be reduced to approximately</w:t>
            </w:r>
          </w:p>
        </w:tc>
        <w:tc>
          <w:tcPr>
            <w:tcW w:w="6500" w:type="dxa"/>
            <w:vAlign w:val="bottom"/>
            <w:gridSpan w:val="17"/>
          </w:tcPr>
          <w:p>
            <w:pPr>
              <w:ind w:left="120"/>
              <w:spacing w:after="0" w:line="202" w:lineRule="exact"/>
              <w:rPr>
                <w:sz w:val="20"/>
                <w:szCs w:val="20"/>
                <w:color w:val="auto"/>
              </w:rPr>
            </w:pPr>
            <w:r>
              <w:rPr>
                <w:rFonts w:ascii="Arial" w:cs="Arial" w:eastAsia="Arial" w:hAnsi="Arial"/>
                <w:sz w:val="18"/>
                <w:szCs w:val="18"/>
                <w:color w:val="auto"/>
              </w:rPr>
              <w:t>% of the total number of shares of our common stock outstanding after this</w:t>
            </w:r>
          </w:p>
        </w:tc>
        <w:tc>
          <w:tcPr>
            <w:tcW w:w="0" w:type="dxa"/>
            <w:vAlign w:val="bottom"/>
          </w:tcPr>
          <w:p>
            <w:pPr>
              <w:spacing w:after="0"/>
              <w:rPr>
                <w:sz w:val="1"/>
                <w:szCs w:val="1"/>
                <w:color w:val="auto"/>
              </w:rPr>
            </w:pPr>
          </w:p>
        </w:tc>
      </w:tr>
      <w:tr>
        <w:trPr>
          <w:trHeight w:val="203"/>
        </w:trPr>
        <w:tc>
          <w:tcPr>
            <w:tcW w:w="10040" w:type="dxa"/>
            <w:vAlign w:val="bottom"/>
            <w:gridSpan w:val="16"/>
          </w:tcPr>
          <w:p>
            <w:pPr>
              <w:spacing w:after="0" w:line="202" w:lineRule="exact"/>
              <w:rPr>
                <w:sz w:val="20"/>
                <w:szCs w:val="20"/>
                <w:color w:val="auto"/>
              </w:rPr>
            </w:pPr>
            <w:r>
              <w:rPr>
                <w:rFonts w:ascii="Arial" w:cs="Arial" w:eastAsia="Arial" w:hAnsi="Arial"/>
                <w:sz w:val="18"/>
                <w:szCs w:val="18"/>
                <w:color w:val="auto"/>
              </w:rPr>
              <w:t>offering, and the number of shares of common stock held by new investors participating in the offering would be increased to</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approximately</w:t>
            </w:r>
          </w:p>
        </w:tc>
        <w:tc>
          <w:tcPr>
            <w:tcW w:w="5480" w:type="dxa"/>
            <w:vAlign w:val="bottom"/>
            <w:gridSpan w:val="5"/>
          </w:tcPr>
          <w:p>
            <w:pPr>
              <w:ind w:left="400"/>
              <w:spacing w:after="0"/>
              <w:rPr>
                <w:sz w:val="20"/>
                <w:szCs w:val="20"/>
                <w:color w:val="auto"/>
              </w:rPr>
            </w:pPr>
            <w:r>
              <w:rPr>
                <w:rFonts w:ascii="Arial" w:cs="Arial" w:eastAsia="Arial" w:hAnsi="Arial"/>
                <w:sz w:val="18"/>
                <w:szCs w:val="18"/>
                <w:color w:val="auto"/>
              </w:rPr>
              <w:t>% of the total number of shares outstanding after this offering.</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11"/>
          </w:tcPr>
          <w:p>
            <w:pPr>
              <w:ind w:left="160"/>
              <w:spacing w:after="0"/>
              <w:rPr>
                <w:sz w:val="20"/>
                <w:szCs w:val="20"/>
                <w:color w:val="auto"/>
              </w:rPr>
            </w:pPr>
            <w:r>
              <w:rPr>
                <w:rFonts w:ascii="Arial" w:cs="Arial" w:eastAsia="Arial" w:hAnsi="Arial"/>
                <w:sz w:val="18"/>
                <w:szCs w:val="18"/>
                <w:color w:val="auto"/>
              </w:rPr>
              <w:t>per share, which is the midpoint of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total</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by new investors by approximately $</w:t>
            </w:r>
          </w:p>
        </w:tc>
        <w:tc>
          <w:tcPr>
            <w:tcW w:w="6500" w:type="dxa"/>
            <w:vAlign w:val="bottom"/>
            <w:gridSpan w:val="17"/>
          </w:tcPr>
          <w:p>
            <w:pPr>
              <w:ind w:left="680"/>
              <w:spacing w:after="0" w:line="202" w:lineRule="exact"/>
              <w:rPr>
                <w:sz w:val="20"/>
                <w:szCs w:val="20"/>
                <w:color w:val="auto"/>
              </w:rPr>
            </w:pPr>
            <w:r>
              <w:rPr>
                <w:rFonts w:ascii="Arial" w:cs="Arial" w:eastAsia="Arial" w:hAnsi="Arial"/>
                <w:sz w:val="18"/>
                <w:szCs w:val="18"/>
                <w:color w:val="auto"/>
              </w:rPr>
              <w:t>million, assuming that the number of shares offered by us, as set forth</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on</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cover page of this prospectus, remains the same. An increase or decrease of 1.0 million shares in the number of shares offered by us</w:t>
      </w:r>
    </w:p>
    <w:p>
      <w:pPr>
        <w:spacing w:after="0" w:line="1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would increase or decrease, as applicable, the total consideration paid by new investors by approximately $ million, assuming the assumed initial public offering price of $ per share, which is the midpoint of the estimated offering price range set forth on the cover page of this prospectus, remains the same.</w:t>
      </w:r>
    </w:p>
    <w:p>
      <w:pPr>
        <w:spacing w:after="0" w:line="175" w:lineRule="exact"/>
        <w:rPr>
          <w:sz w:val="20"/>
          <w:szCs w:val="20"/>
          <w:color w:val="auto"/>
        </w:rPr>
      </w:pPr>
    </w:p>
    <w:p>
      <w:pPr>
        <w:jc w:val="both"/>
        <w:ind w:left="120" w:right="14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164,451,912 shares of our common stock outstanding as of June 30, 2020 (including an aggregate of 120,393,150 shares of common stock issuable upon conversion of our outstanding convertible preferred stock as of June 30, 2020) and including 28,020,172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right="8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480" w:hanging="824"/>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160" w:val="left"/>
        </w:tabs>
        <w:rPr>
          <w:sz w:val="20"/>
          <w:szCs w:val="20"/>
          <w:color w:val="auto"/>
        </w:rPr>
      </w:pPr>
      <w:r>
        <w:rPr>
          <w:rFonts w:ascii="Arial" w:cs="Arial" w:eastAsia="Arial" w:hAnsi="Arial"/>
          <w:sz w:val="18"/>
          <w:szCs w:val="18"/>
          <w:color w:val="auto"/>
        </w:rPr>
        <w:t>after June 30, 2020, with a weighted-average exercise price of $</w:t>
        <w:tab/>
        <w:t>per share;</w:t>
      </w:r>
    </w:p>
    <w:p>
      <w:pPr>
        <w:spacing w:after="0" w:line="95" w:lineRule="exact"/>
        <w:rPr>
          <w:sz w:val="20"/>
          <w:szCs w:val="20"/>
          <w:color w:val="auto"/>
        </w:rPr>
      </w:pPr>
    </w:p>
    <w:p>
      <w:pPr>
        <w:ind w:left="880" w:right="140" w:hanging="224"/>
        <w:spacing w:after="0" w:line="276"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2013 Equity Incentive Plan, as amended, which shares will be added to the shares to be reserved under our 2020 Equity Incentive Plan, or 2020 Plan, upon its effectiveness;</w:t>
      </w:r>
    </w:p>
    <w:p>
      <w:pPr>
        <w:spacing w:after="0" w:line="50"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 June 30, 2020 that will be converted into a warrant to purchase an aggregate of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880" w:right="80" w:hanging="224"/>
        <w:spacing w:after="0" w:line="255" w:lineRule="auto"/>
        <w:tabs>
          <w:tab w:leader="none" w:pos="15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For interim periods, we have derived our selected statements of operations data for the six months ended June 30, 2019 and 2020 and the selected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ectPr>
          <w:pgSz w:w="11900" w:h="16838" w:orient="portrait"/>
          <w:cols w:equalWidth="0" w:num="1">
            <w:col w:w="11140"/>
          </w:cols>
          <w:pgMar w:left="320" w:top="455" w:right="439" w:bottom="1440" w:gutter="0" w:footer="0" w:header="0"/>
        </w:sectPr>
      </w:pPr>
    </w:p>
    <w:p>
      <w:pPr>
        <w:spacing w:after="0" w:line="93"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10160</wp:posOffset>
            </wp:positionV>
            <wp:extent cx="17913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1" w:lineRule="exact"/>
        <w:rPr>
          <w:sz w:val="20"/>
          <w:szCs w:val="20"/>
          <w:color w:val="auto"/>
        </w:rPr>
      </w:pPr>
    </w:p>
    <w:p>
      <w:pPr>
        <w:ind w:left="5000"/>
        <w:spacing w:after="0"/>
        <w:tabs>
          <w:tab w:leader="none" w:pos="67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10160</wp:posOffset>
            </wp:positionV>
            <wp:extent cx="1800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1"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7800" w:space="720"/>
            <w:col w:w="26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40"/>
        </w:trPr>
        <w:tc>
          <w:tcPr>
            <w:tcW w:w="4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8"/>
          </w:tcPr>
          <w:p>
            <w:pPr>
              <w:jc w:val="right"/>
              <w:ind w:right="188"/>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13,853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20,759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8"/>
              <w:spacing w:after="0" w:line="202" w:lineRule="exact"/>
              <w:rPr>
                <w:sz w:val="20"/>
                <w:szCs w:val="20"/>
                <w:color w:val="auto"/>
              </w:rPr>
            </w:pPr>
            <w:r>
              <w:rPr>
                <w:rFonts w:ascii="Arial" w:cs="Arial" w:eastAsia="Arial" w:hAnsi="Arial"/>
                <w:sz w:val="18"/>
                <w:szCs w:val="18"/>
                <w:color w:val="auto"/>
              </w:rPr>
              <w:t>10,165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5,039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5,878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2,676</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18,892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26,637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28"/>
              <w:spacing w:after="0" w:line="202" w:lineRule="exact"/>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1,341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714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2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5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(17,535)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(25,344)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(12,127)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54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(17,538)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(25,352)</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(12,129)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(0.76)</w:t>
            </w:r>
          </w:p>
        </w:tc>
        <w:tc>
          <w:tcPr>
            <w:tcW w:w="7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15,860,018</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15,980,859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7"/>
              </w:rPr>
              <w:t>15,922,173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16,038,590</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Arial" w:cs="Arial" w:eastAsia="Arial" w:hAnsi="Arial"/>
                <w:sz w:val="18"/>
                <w:szCs w:val="18"/>
                <w:color w:val="auto"/>
              </w:rPr>
              <w:t>Pro forma net loss per share attributable to</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common stockholders — basic and diluted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79"/>
        </w:trPr>
        <w:tc>
          <w:tcPr>
            <w:tcW w:w="45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Pro forma weighted-average number of common</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 basic and diluted (unaudited)</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164,394,182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164,451,912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660" w:right="60" w:hanging="544"/>
        <w:spacing w:after="0" w:line="208" w:lineRule="auto"/>
        <w:tabs>
          <w:tab w:leader="none" w:pos="6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$ 61,907</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$101,486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59,912</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97,570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63,458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103,033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89,102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2,370</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107,228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(50,088)</w:t>
            </w:r>
          </w:p>
        </w:tc>
        <w:tc>
          <w:tcPr>
            <w:tcW w:w="1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(75,440)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(46,140)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(70,474)</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660" w:right="200" w:hanging="544"/>
        <w:spacing w:after="0" w:line="195" w:lineRule="auto"/>
        <w:tabs>
          <w:tab w:leader="none" w:pos="66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$17.5 million and $25.4 million for the years ended December 31, 2018 and December 31, 2019, respectively, and $12.1 million and $15.2 million for the six months ended June 30, 2019 and June 30, 2020, respectively. As of June 30, 2020, we had an accumulated deficit of $ 90.7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76"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We have funded our operations primarily from the issuance and sale of convertible preferred stock. As of June 30, 2020, we had $86.1 million in cash, cash equivalents and short-term marketable securities. We believe that our existing capital resources, including $70.0 million of gross proceeds received from the sale of 28,020,172 shares of our Series D convertible preferred stock in July 2020, will be sufficient to fund our planned operations for at least 12 months following the date of this offering.</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2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7860" w:type="dxa"/>
            <w:vAlign w:val="bottom"/>
            <w:gridSpan w:val="2"/>
            <w:vMerge w:val="continue"/>
          </w:tcPr>
          <w:p>
            <w:pPr>
              <w:spacing w:after="0"/>
              <w:rPr>
                <w:sz w:val="12"/>
                <w:szCs w:val="12"/>
                <w:color w:val="auto"/>
              </w:rPr>
            </w:pPr>
          </w:p>
        </w:tc>
        <w:tc>
          <w:tcPr>
            <w:tcW w:w="7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58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w w:val="99"/>
              </w:rPr>
              <w:t>$ 10,165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2,676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3,979</w:t>
            </w:r>
          </w:p>
        </w:tc>
        <w:tc>
          <w:tcPr>
            <w:tcW w:w="94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7"/>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98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(12,841)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(15,739)</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9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563</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8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9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520</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(15,219)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9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(12,129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760" w:type="dxa"/>
            <w:vAlign w:val="bottom"/>
            <w:gridSpan w:val="2"/>
            <w:vMerge w:val="continue"/>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w:t>
            </w:r>
          </w:p>
        </w:tc>
        <w:tc>
          <w:tcPr>
            <w:tcW w:w="4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4,720</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3,207</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2,600</w:t>
            </w:r>
          </w:p>
        </w:tc>
        <w:tc>
          <w:tcPr>
            <w:tcW w:w="2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4,593</w:t>
            </w: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2,718</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3,640</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4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10,165</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00" w:type="dxa"/>
            <w:vAlign w:val="bottom"/>
            <w:vMerge w:val="restart"/>
          </w:tcPr>
          <w:p>
            <w:pPr>
              <w:jc w:val="right"/>
              <w:ind w:right="2310"/>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Research and development expenses were $10.2 million for the six months ended June 30, 2019, compared to $11.8 million for the six months ended June 30, 2020. The increase of $1.6 million was primarily due to the following:</w:t>
      </w:r>
    </w:p>
    <w:p>
      <w:pPr>
        <w:spacing w:after="0" w:line="50" w:lineRule="exact"/>
        <w:rPr>
          <w:sz w:val="20"/>
          <w:szCs w:val="20"/>
          <w:color w:val="auto"/>
        </w:rPr>
      </w:pPr>
    </w:p>
    <w:p>
      <w:pPr>
        <w:ind w:left="880" w:right="32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decrease of $1.5 million in research expense which was driven by a decline in costs from certain of our contract manufacturing initiatives.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$2.0 million increase in our preclinical studies which were primarily associated with increased effort in developing our lead compound PC14586 through IND enabling studies.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$0.9 million increase in compensation and employee related expenses, primarily driven by increases in salaries and bonus expense associated with increased headcount for personnel dedicated to developing PC14586.</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$0.2 million increase in stock-based compensation expense associated with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General and administrative expenses were $2.7 million for the six months ended June 30, 2019, compared to $4.0 million for the six months ended June 30, 2020. The increase of $1.3 million was primarily due to the following:</w:t>
      </w:r>
    </w:p>
    <w:p>
      <w:pPr>
        <w:spacing w:after="0" w:line="50" w:lineRule="exact"/>
        <w:rPr>
          <w:sz w:val="20"/>
          <w:szCs w:val="20"/>
          <w:color w:val="auto"/>
        </w:rPr>
      </w:pPr>
    </w:p>
    <w:p>
      <w:pPr>
        <w:ind w:left="880" w:right="8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an increase in salary and bonus expense of $0.5 million and an increase in personnel related costs of $0.2 million associated with increased headcount to develop our financial and administrative staff. These increases were partially offset by a decrease in travel and entertainment expense of $0.1 million.</w:t>
      </w:r>
    </w:p>
    <w:p>
      <w:pPr>
        <w:spacing w:after="0" w:line="69"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$0.3 million increase in expense for legal services, which is primarily driven by increased legal costs associated with international patent filings in selected countries during the six months ended June 30, 2020.</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$0.2 million increase in administrative consulting, primarily associated with increased costs with augmenting our administrative staff.</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Interest income, net was $0.7 million for the six months ended June 30, 2019, compared to $0.6 million for the six months ended June 30, 2020. The decrease of $0.1 million is driven by decreased income from cash investments in marketable securities and U.S treasuries during the six months ended June 30, 2020.</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2"/>
        </w:trPr>
        <w:tc>
          <w:tcPr>
            <w:tcW w:w="81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9"/>
        </w:trPr>
        <w:tc>
          <w:tcPr>
            <w:tcW w:w="8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28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w:t>
            </w:r>
          </w:p>
        </w:tc>
        <w:tc>
          <w:tcPr>
            <w:tcW w:w="3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5,811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5,282</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20,759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4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 $1.8 million increase in research expense, driven primarily by a $1.3 million increase in outside laboratory analytics, $0.8 million increase in technical consulting, partially offset by a decrease of $0.4 million in scientific contract expense.</w:t>
      </w:r>
    </w:p>
    <w:p>
      <w:pPr>
        <w:spacing w:after="0" w:line="50" w:lineRule="exact"/>
        <w:rPr>
          <w:rFonts w:ascii="Arial" w:cs="Arial" w:eastAsia="Arial" w:hAnsi="Arial"/>
          <w:sz w:val="18"/>
          <w:szCs w:val="18"/>
          <w:color w:val="auto"/>
        </w:rPr>
      </w:pPr>
    </w:p>
    <w:p>
      <w:pPr>
        <w:ind w:left="880" w:right="140" w:hanging="224"/>
        <w:spacing w:after="0" w:line="24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 $4.6 million increase in preclinical development, which was primarily associated with increased effort in developing our lead candidate, PC14586. The $4.6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75"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an $0.4 million increase in expenses for salaries and bonuses, primarily driven by increased headcount for personnel dedicated to developing PC14586.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2020, we had cash, cash equivalents and short-term marketable securities of $86.1 million and an accumulated deficit of $90.7 million. We have financed our operations primarily through issuances of our convertible preferred stock. In 2019, we sold an aggregate of 28,798,050 shares of our Series C convertible preferred stock to accredited investors, generating gross proceeds of $61.9 million. In July 2020, we sold an aggregate of 28,020,172 shares of our Series D convertible preferred stock to accredited investors, generating gross proceeds of $70.0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Due to our significant research and development expenditures, we have generated substantial operating losses in each period since inception. We have incurred an accumulated deficit of $90.7 million through June 30, 2020.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which includes</w:t>
      </w:r>
    </w:p>
    <w:p>
      <w:pPr>
        <w:spacing w:after="0" w:line="1" w:lineRule="exact"/>
        <w:rPr>
          <w:sz w:val="20"/>
          <w:szCs w:val="20"/>
          <w:color w:val="auto"/>
        </w:rPr>
      </w:pPr>
    </w:p>
    <w:p>
      <w:pPr>
        <w:jc w:val="both"/>
        <w:ind w:left="120" w:right="80"/>
        <w:spacing w:after="0" w:line="242" w:lineRule="auto"/>
        <w:rPr>
          <w:sz w:val="20"/>
          <w:szCs w:val="20"/>
          <w:color w:val="auto"/>
        </w:rPr>
      </w:pPr>
      <w:r>
        <w:rPr>
          <w:rFonts w:ascii="Arial" w:cs="Arial" w:eastAsia="Arial" w:hAnsi="Arial"/>
          <w:sz w:val="18"/>
          <w:szCs w:val="18"/>
          <w:color w:val="auto"/>
        </w:rPr>
        <w:t>the gross proceeds of approximately $70.0 million from the Series D financing, will be sufficient to fund our operations through . We have based this estimate on assumptions that may prove to be wrong, however, and we could use our capital resources sooner than we expect.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ability to maintain future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4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2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(15,178)</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$(22,065)</w:t>
            </w:r>
          </w:p>
        </w:tc>
        <w:tc>
          <w:tcPr>
            <w:tcW w:w="11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(15,034)</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3,231</w:t>
            </w: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22,774</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19,931</w:t>
            </w: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financing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61,805</w:t>
            </w:r>
          </w:p>
        </w:tc>
        <w:tc>
          <w:tcPr>
            <w:tcW w:w="11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$ 42,971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$ 11,663</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Net cash used in operating activities for the six months ended June 30, 2019, was $11.2 million, which consisted primarily of net loss of $12.1 million decreased by non-cash charges of $0.7 million and by a net change of $0.3 million in our net operating assets. The non-cash charges primarily consisted of stock-based compensation of $0.4 million and depreciation of $0.2 million. The change in our net operating assets and liabilities was primarily due to an increase in accrued compensation and accrued liabilities and outstanding payables in 2019.</w:t>
      </w:r>
    </w:p>
    <w:p>
      <w:pPr>
        <w:spacing w:after="0" w:line="17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Net cash used in operating activities for the six months ended June 30, 2020, was $ 15.0 million, which consisted primarily of net loss of $15.2 million decreased by non-cash charges of $1.1 million partially offset by a net change of $0.9 million in our net operating assets. The non-cash charges primarily consisted of stock-based compensation of $0.7 million and depreciation and amortization expense of $0.3 million. The change in our net operating assets and liabilities was primarily due to a decrease in outstanding payables in 2020.</w:t>
      </w:r>
    </w:p>
    <w:p>
      <w:pPr>
        <w:spacing w:after="0" w:line="153"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$22.7 million of cash during the six months ended June 30, 2019, which consisted primarily of maturities of marketable securities of $33.6 million, partially offset by purchases of marketable securities of $10.7 million and purchases of property and equipment of $0.1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$19.9 million of cash during the six months ended June 30, 2020, which consisted primarily of maturities of marketable securities of $34.6 million, partially offset by purchases of marketable securities of $14.6 million and purchases of property and equipment of $0.1 million.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financing activities provided $0.1 million of cash during the six months ended June 30, 2019, which consisted primarily of exercises of stock options of $0.1 million.</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financing activities used $0.1 million of cash during the six months ended June 30, 2020, which consisted primarily of payments of deferred offering costs associated with incremental legal, professional and other third-party fees directly associated with the planned IPO.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estimates we use are reasonable, due to the inherent uncertainty involved in making those estimates, actual results reported in future periods could differ from those estimates.</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1"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00" w:hanging="224"/>
        <w:spacing w:after="0" w:line="248"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380" w:hanging="224"/>
        <w:spacing w:after="0" w:line="25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20" w:firstLine="551"/>
        <w:spacing w:after="0" w:line="262" w:lineRule="auto"/>
        <w:rPr>
          <w:sz w:val="20"/>
          <w:szCs w:val="20"/>
          <w:color w:val="auto"/>
        </w:rPr>
      </w:pPr>
      <w:r>
        <w:rPr>
          <w:rFonts w:ascii="Arial" w:cs="Arial" w:eastAsia="Arial" w:hAnsi="Arial"/>
          <w:sz w:val="17"/>
          <w:szCs w:val="17"/>
          <w:color w:val="auto"/>
        </w:rPr>
        <w:t>As of June 30, 2020, the total unrecognized compensation expense related to unvested employee and non-employee options was $3.6 million, which we expect to recognize over an estimated weighted-average period of 2.9 years. Based upon the assumed initial public</w:t>
      </w:r>
    </w:p>
    <w:p>
      <w:pPr>
        <w:ind w:left="120" w:right="160"/>
        <w:spacing w:after="0" w:line="234"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the aggregate intrinsic value of options outstanding as of June 30, 2020 was $ million, of which $ million related to vested options and</w:t>
      </w:r>
    </w:p>
    <w:p>
      <w:pPr>
        <w:spacing w:after="0" w:line="1" w:lineRule="exact"/>
        <w:rPr>
          <w:sz w:val="20"/>
          <w:szCs w:val="20"/>
          <w:color w:val="auto"/>
        </w:rPr>
      </w:pPr>
    </w:p>
    <w:p>
      <w:pPr>
        <w:ind w:left="820" w:hanging="70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million related to unvested options.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best estimate of the fair value of our common stock at each grant date. These factors include:</w:t>
      </w:r>
    </w:p>
    <w:p>
      <w:pPr>
        <w:spacing w:after="0" w:line="79"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had cash and cash equivalents of $78.1 million and short-term marketable securities of $8.1 million as of June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We are initially pursuing a tumor-agnostic development strategy and plan to submit our investigational new drug application, or IND, for PC14586 and start a Phase 1/2 clinical trial in the second half of 2020.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094730" cy="1603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9473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20" w:hanging="544"/>
        <w:spacing w:after="0" w:line="182" w:lineRule="auto"/>
        <w:tabs>
          <w:tab w:leader="none" w:pos="660"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U.S. Food and Drug Administration, or FDA, and we are not aware of any other products in clinical development, that selectively target the p53 Y220C mutation.</w:t>
      </w:r>
    </w:p>
    <w:p>
      <w:pPr>
        <w:spacing w:after="0" w:line="172" w:lineRule="exact"/>
        <w:rPr>
          <w:sz w:val="20"/>
          <w:szCs w:val="20"/>
          <w:color w:val="auto"/>
        </w:rPr>
      </w:pPr>
    </w:p>
    <w:p>
      <w:pPr>
        <w:ind w:left="120" w:right="60" w:firstLine="551"/>
        <w:spacing w:after="0" w:line="258" w:lineRule="auto"/>
        <w:rPr>
          <w:sz w:val="20"/>
          <w:szCs w:val="20"/>
          <w:color w:val="auto"/>
        </w:rPr>
      </w:pPr>
      <w:r>
        <w:rPr>
          <w:rFonts w:ascii="Arial" w:cs="Arial" w:eastAsia="Arial" w:hAnsi="Arial"/>
          <w:sz w:val="17"/>
          <w:szCs w:val="17"/>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7"/>
          <w:szCs w:val="17"/>
          <w:i w:val="1"/>
          <w:iCs w:val="1"/>
          <w:color w:val="auto"/>
        </w:rPr>
        <w:t>i.e.</w:t>
      </w:r>
      <w:r>
        <w:rPr>
          <w:rFonts w:ascii="Arial" w:cs="Arial" w:eastAsia="Arial" w:hAnsi="Arial"/>
          <w:sz w:val="17"/>
          <w:szCs w:val="17"/>
          <w:color w:val="auto"/>
        </w:rPr>
        <w:t>, only functions in cells with the p53 Y220C mutation) and exhibited robust anti-tumor activity evidenced by potent tumor growth inhibition, or TGI, and complete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6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plan to submit an IND for PC14586 and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306" w:lineRule="auto"/>
        <w:rPr>
          <w:sz w:val="20"/>
          <w:szCs w:val="20"/>
          <w:color w:val="auto"/>
        </w:rPr>
      </w:pPr>
      <w:r>
        <w:rPr>
          <w:rFonts w:ascii="Arial" w:cs="Arial" w:eastAsia="Arial" w:hAnsi="Arial"/>
          <w:sz w:val="17"/>
          <w:szCs w:val="17"/>
          <w:color w:val="auto"/>
        </w:rPr>
        <w:t>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2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line="245" w:lineRule="auto"/>
        <w:rPr>
          <w:sz w:val="20"/>
          <w:szCs w:val="20"/>
          <w:color w:val="auto"/>
        </w:rPr>
      </w:pPr>
      <w:r>
        <w:rPr>
          <w:rFonts w:ascii="Arial" w:cs="Arial" w:eastAsia="Arial" w:hAnsi="Arial"/>
          <w:sz w:val="18"/>
          <w:szCs w:val="18"/>
          <w:color w:val="auto"/>
        </w:rPr>
        <w:t>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76" w:lineRule="exact"/>
        <w:rPr>
          <w:sz w:val="20"/>
          <w:szCs w:val="20"/>
          <w:color w:val="auto"/>
        </w:rPr>
      </w:pPr>
    </w:p>
    <w:p>
      <w:pPr>
        <w:ind w:left="880" w:right="2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Since inception, our vision has been supported by leading investors, including InterWest Partners, OrbiMed Advisors, Topspin, Euclidean Capital, Nextech Invest, Viking Global Investors, Boxer Capital of Tavistock Group and Osage University Partners.</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of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2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40" w:hanging="224"/>
        <w:spacing w:after="0" w:line="248"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hanging="224"/>
        <w:spacing w:after="0" w:line="24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have tumors with genetic profiles eligible for treatment with an approved targeted agent, which leaves a large opportunity for precision oncology.</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(Merck),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72"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targeting p53 R273H mutations, into lead optimization in the second half of 2020.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094730" cy="16033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9473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544"/>
        <w:spacing w:after="0"/>
        <w:tabs>
          <w:tab w:leader="none" w:pos="66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320" w:hanging="544"/>
        <w:spacing w:after="0" w:line="182" w:lineRule="auto"/>
        <w:tabs>
          <w:tab w:leader="none" w:pos="66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82"/>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320" w:top="455" w:right="5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precisely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selectively binds to the crevice created by the Y220C mutation as this molecule does not bind to wild-type p53 or other p53 mutations such as R273H, R273C, R175H, G245S, R248Q and R282W as demonstrated by the lack of activity (as measured by p21 and MDM2 gene expression seen in the below diagrams). PC14586 only binds to the crevice created by the Y220C mutation, and none of the other tested p53 hotspot mutations, as seen by gene expression changes in the Y220C cell line when PC14586 is added in increasing concentrations.</w:t>
      </w:r>
    </w:p>
    <w:p>
      <w:pPr>
        <w:spacing w:after="0" w:line="17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20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6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64" w:lineRule="exact"/>
        <w:rPr>
          <w:sz w:val="20"/>
          <w:szCs w:val="20"/>
          <w:color w:val="auto"/>
        </w:rPr>
      </w:pPr>
    </w:p>
    <w:p>
      <w:pPr>
        <w:ind w:left="120"/>
        <w:spacing w:after="0" w:line="306" w:lineRule="auto"/>
        <w:rPr>
          <w:sz w:val="20"/>
          <w:szCs w:val="20"/>
          <w:color w:val="auto"/>
        </w:rPr>
      </w:pPr>
      <w:r>
        <w:rPr>
          <w:rFonts w:ascii="Arial" w:cs="Arial" w:eastAsia="Arial" w:hAnsi="Arial"/>
          <w:sz w:val="17"/>
          <w:szCs w:val="17"/>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45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167005</wp:posOffset>
            </wp:positionV>
            <wp:extent cx="1808480" cy="22371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84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320" w:top="455" w:right="5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synergeneic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76"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vehicle.</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74565" cy="1808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745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1240" w:type="dxa"/>
            <w:vAlign w:val="bottom"/>
            <w:tcBorders>
              <w:right w:val="single" w:sz="8" w:color="auto"/>
            </w:tcBorders>
          </w:tcPr>
          <w:p>
            <w:pPr>
              <w:spacing w:after="0"/>
              <w:rPr>
                <w:sz w:val="17"/>
                <w:szCs w:val="17"/>
                <w:color w:val="auto"/>
              </w:rPr>
            </w:pPr>
          </w:p>
        </w:tc>
        <w:tc>
          <w:tcPr>
            <w:tcW w:w="3800" w:type="dxa"/>
            <w:vAlign w:val="bottom"/>
            <w:tcBorders>
              <w:top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1240" w:type="dxa"/>
            <w:vAlign w:val="bottom"/>
            <w:tcBorders>
              <w:right w:val="single" w:sz="8" w:color="auto"/>
            </w:tcBorders>
          </w:tcPr>
          <w:p>
            <w:pPr>
              <w:spacing w:after="0"/>
              <w:rPr>
                <w:sz w:val="18"/>
                <w:szCs w:val="18"/>
                <w:color w:val="auto"/>
              </w:rPr>
            </w:pPr>
          </w:p>
        </w:tc>
        <w:tc>
          <w:tcPr>
            <w:tcW w:w="3800" w:type="dxa"/>
            <w:vAlign w:val="bottom"/>
            <w:tcBorders>
              <w:bottom w:val="single" w:sz="8" w:color="0C0C0C"/>
            </w:tcBorders>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1240" w:type="dxa"/>
            <w:vAlign w:val="bottom"/>
            <w:tcBorders>
              <w:right w:val="single" w:sz="8" w:color="auto"/>
            </w:tcBorders>
          </w:tcPr>
          <w:p>
            <w:pPr>
              <w:spacing w:after="0"/>
              <w:rPr>
                <w:sz w:val="23"/>
                <w:szCs w:val="23"/>
                <w:color w:val="auto"/>
              </w:rPr>
            </w:pPr>
          </w:p>
        </w:tc>
        <w:tc>
          <w:tcPr>
            <w:tcW w:w="3800" w:type="dxa"/>
            <w:vAlign w:val="bottom"/>
          </w:tcPr>
          <w:p>
            <w:pPr>
              <w:jc w:val="center"/>
              <w:ind w:left="5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6"/>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1240" w:type="dxa"/>
            <w:vAlign w:val="bottom"/>
            <w:tcBorders>
              <w:right w:val="single" w:sz="8" w:color="auto"/>
            </w:tcBorders>
          </w:tcPr>
          <w:p>
            <w:pPr>
              <w:spacing w:after="0"/>
              <w:rPr>
                <w:sz w:val="22"/>
                <w:szCs w:val="22"/>
                <w:color w:val="auto"/>
              </w:rPr>
            </w:pPr>
          </w:p>
        </w:tc>
        <w:tc>
          <w:tcPr>
            <w:tcW w:w="3800" w:type="dxa"/>
            <w:vAlign w:val="bottom"/>
          </w:tcPr>
          <w:p>
            <w:pPr>
              <w:jc w:val="center"/>
              <w:ind w:left="7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2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Note: Dosing ceased on day 70 in the PC14586 arm.</w:t>
            </w:r>
          </w:p>
        </w:tc>
        <w:tc>
          <w:tcPr>
            <w:tcW w:w="3680" w:type="dxa"/>
            <w:vAlign w:val="bottom"/>
          </w:tcPr>
          <w:p>
            <w:pPr>
              <w:spacing w:after="0"/>
              <w:rPr>
                <w:sz w:val="24"/>
                <w:szCs w:val="24"/>
                <w:color w:val="auto"/>
              </w:rPr>
            </w:pPr>
          </w:p>
        </w:tc>
      </w:tr>
    </w:tbl>
    <w:p>
      <w:pPr>
        <w:spacing w:after="0" w:line="176" w:lineRule="exact"/>
        <w:rPr>
          <w:sz w:val="20"/>
          <w:szCs w:val="20"/>
          <w:color w:val="auto"/>
        </w:rPr>
      </w:pPr>
    </w:p>
    <w:p>
      <w:pPr>
        <w:jc w:val="both"/>
        <w:ind w:left="120" w:right="100" w:firstLine="551"/>
        <w:spacing w:after="0" w:line="257" w:lineRule="auto"/>
        <w:rPr>
          <w:sz w:val="20"/>
          <w:szCs w:val="20"/>
          <w:color w:val="auto"/>
        </w:rPr>
      </w:pPr>
      <w:r>
        <w:rPr>
          <w:rFonts w:ascii="Arial" w:cs="Arial" w:eastAsia="Arial" w:hAnsi="Arial"/>
          <w:sz w:val="17"/>
          <w:szCs w:val="17"/>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its impact on the immune system, which is the key mechanism of action of cancer immunotherapies such as anti-PD-1 antibodies.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When PC14586 was administered at a sub-therapeutic daily oral dose of 50 mg/kg for 70 days in combination with a therapeutic dose of a PD-1 antibody, regression of tumors that express the p53 Y220C mutation was observed. As illustrated by the table below, median survival for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sub-therapeutic dose of PC14586 combined with anti -PD-1 treatment exceeded 156 days, even though drug treatment was discontinued on day 70, compared with median survival of only 24 days for anti-PD-1 treatment alone.</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167005</wp:posOffset>
            </wp:positionV>
            <wp:extent cx="4749165" cy="29317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30"/>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We plan to submit our IND for PC14586 and start a Phase 1/2 clinical trial in the second half of 2020.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 (Ayvakit), as well as the pivotal studies announced by other companies for their product</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60"/>
          </w:cols>
          <w:pgMar w:left="320" w:top="455" w:right="61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 xml:space="preserve">candidates, including Amgen (AMG 510), Mirati (MRTX849)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serum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7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Patient blood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R273H: Our Second Program</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second half of 2020. R273H is the third most frequent p53 mutation and is found in approximately 4% of all p53 mutations. The R273H mutation results from arginine being substituted by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 histidine at amino acid position 273 and is considered a DNA contact mutation. DNA contact mutations affect residues involved directly in DNA-p53 binding but does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135890</wp:posOffset>
            </wp:positionV>
            <wp:extent cx="5143500" cy="42176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 We expect to advance this program into lead optimization in the second half of 2020.</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120" w:right="20" w:firstLine="551"/>
        <w:spacing w:after="0" w:line="306" w:lineRule="auto"/>
        <w:rPr>
          <w:sz w:val="20"/>
          <w:szCs w:val="20"/>
          <w:color w:val="auto"/>
        </w:rPr>
      </w:pPr>
      <w:r>
        <w:rPr>
          <w:rFonts w:ascii="Arial" w:cs="Arial" w:eastAsia="Arial" w:hAnsi="Arial"/>
          <w:sz w:val="17"/>
          <w:szCs w:val="17"/>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123"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320" w:top="455" w:right="5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20"/>
        <w:spacing w:after="0" w:line="276" w:lineRule="auto"/>
        <w:rPr>
          <w:sz w:val="20"/>
          <w:szCs w:val="20"/>
          <w:color w:val="auto"/>
        </w:rPr>
      </w:pPr>
      <w:r>
        <w:rPr>
          <w:rFonts w:ascii="Arial" w:cs="Arial" w:eastAsia="Arial" w:hAnsi="Arial"/>
          <w:sz w:val="18"/>
          <w:szCs w:val="18"/>
          <w:color w:val="auto"/>
        </w:rPr>
        <w:t>have a 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48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right="320" w:firstLine="551"/>
        <w:spacing w:after="0" w:line="277" w:lineRule="auto"/>
        <w:rPr>
          <w:sz w:val="20"/>
          <w:szCs w:val="20"/>
          <w:color w:val="auto"/>
        </w:rPr>
      </w:pPr>
      <w:r>
        <w:rPr>
          <w:rFonts w:ascii="Arial" w:cs="Arial" w:eastAsia="Arial" w:hAnsi="Arial"/>
          <w:sz w:val="17"/>
          <w:szCs w:val="17"/>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760" w:firstLine="551"/>
        <w:spacing w:after="0" w:line="27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9"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jc w:val="both"/>
        <w:ind w:left="120" w:right="460" w:firstLine="551"/>
        <w:spacing w:after="0" w:line="248" w:lineRule="auto"/>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6"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7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0"/>
        <w:spacing w:after="0" w:line="255" w:lineRule="auto"/>
        <w:rPr>
          <w:sz w:val="20"/>
          <w:szCs w:val="20"/>
          <w:color w:val="auto"/>
        </w:rPr>
      </w:pPr>
      <w:r>
        <w:rPr>
          <w:rFonts w:ascii="Arial" w:cs="Arial" w:eastAsia="Arial" w:hAnsi="Arial"/>
          <w:sz w:val="18"/>
          <w:szCs w:val="18"/>
          <w:color w:val="auto"/>
        </w:rPr>
        <w:t>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As of July 29, 2020, we had 38 full-time employees, including 16 employees with Ph.D., M.D. or Pharm.D. degrees. Of these full-time employees, 32 employees are engaged in research and development activities.</w:t>
      </w:r>
    </w:p>
    <w:p>
      <w:pPr>
        <w:spacing w:after="0" w:line="145" w:lineRule="exact"/>
        <w:rPr>
          <w:sz w:val="20"/>
          <w:szCs w:val="20"/>
          <w:color w:val="auto"/>
        </w:rPr>
      </w:pPr>
    </w:p>
    <w:p>
      <w:pPr>
        <w:ind w:left="120" w:right="74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Head of Regulatory Affairs</w:t>
            </w:r>
          </w:p>
        </w:tc>
      </w:tr>
      <w:tr>
        <w:trPr>
          <w:trHeight w:val="310"/>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Thompson, 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311"/>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Davis,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Biology</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Pharmacology and Translational Medicine</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Chemistry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7"/>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80" w:lineRule="exact"/>
        <w:rPr>
          <w:sz w:val="20"/>
          <w:szCs w:val="20"/>
          <w:color w:val="auto"/>
        </w:rPr>
      </w:pPr>
    </w:p>
    <w:p>
      <w:pPr>
        <w:ind w:left="120" w:right="340" w:firstLine="551"/>
        <w:spacing w:after="0" w:line="256"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 President of</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8"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and Head of Regulatory Affairs since June 2019.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 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color w:val="auto"/>
        </w:rPr>
        <w:t xml:space="preserve">Thomas Davis, Ph.D. </w:t>
      </w:r>
      <w:r>
        <w:rPr>
          <w:rFonts w:ascii="Arial" w:cs="Arial" w:eastAsia="Arial" w:hAnsi="Arial"/>
          <w:sz w:val="18"/>
          <w:szCs w:val="18"/>
          <w:color w:val="auto"/>
        </w:rPr>
        <w:t>has served as our Vice President of Biology since March 2016. Prior to joining our company, Dr. Davis was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Preclinical Oncology and PTC Therapeutics,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43" w:lineRule="auto"/>
        <w:rPr>
          <w:sz w:val="20"/>
          <w:szCs w:val="20"/>
          <w:color w:val="auto"/>
        </w:rPr>
      </w:pPr>
      <w:r>
        <w:rPr>
          <w:rFonts w:ascii="Arial" w:cs="Arial" w:eastAsia="Arial" w:hAnsi="Arial"/>
          <w:sz w:val="18"/>
          <w:szCs w:val="18"/>
          <w:color w:val="auto"/>
        </w:rPr>
        <w:t>where he was responsible for building and developing the internal oncology portfolio. During his 13 year tenure at PTC Therapeutics, Dr. Davis’s group developed three drug candidates, two of which (PTC299 and PTC596) have entered clinical trials. His industry experience began at Pharmacia Corporation, where he led a team tasked with expanding the selective COX2 inhibitor celecoxib (Celebrex, Pfizer) into the oncology arena. Dr. Davis has co-authored over 20 manuscripts and is an inventor on over 10 issued U.S. patents. Dr. Davis received a B.S. in Microbiology from Iowa State University and a Ph.D. in Microbiology and Immunology from the University of Kentucky. He also completed a Postdoctoral Fellowship at the University of Wisconsin, Madison.</w:t>
      </w:r>
    </w:p>
    <w:p>
      <w:pPr>
        <w:spacing w:after="0" w:line="17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Pharmacology and Translational Medicine since October 2017.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80"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Chemistry since June 2015 and served as our Director of Research from</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660"/>
        <w:spacing w:after="0"/>
        <w:tabs>
          <w:tab w:leader="none" w:pos="4840" w:val="left"/>
        </w:tabs>
        <w:rPr>
          <w:sz w:val="20"/>
          <w:szCs w:val="20"/>
          <w:color w:val="auto"/>
        </w:rPr>
      </w:pPr>
      <w:r>
        <w:rPr>
          <w:rFonts w:ascii="Arial" w:cs="Arial" w:eastAsia="Arial" w:hAnsi="Arial"/>
          <w:sz w:val="18"/>
          <w:szCs w:val="18"/>
          <w:color w:val="auto"/>
        </w:rPr>
        <w:t>Our board of directors currently consists of</w:t>
      </w:r>
      <w:r>
        <w:rPr>
          <w:sz w:val="20"/>
          <w:szCs w:val="20"/>
          <w:color w:val="auto"/>
        </w:rPr>
        <w:tab/>
      </w:r>
      <w:r>
        <w:rPr>
          <w:rFonts w:ascii="Arial" w:cs="Arial" w:eastAsia="Arial" w:hAnsi="Arial"/>
          <w:sz w:val="17"/>
          <w:szCs w:val="17"/>
          <w:color w:val="auto"/>
        </w:rPr>
        <w:t>members. After the completion of this offering, the number of directors will be</w:t>
      </w:r>
    </w:p>
    <w:p>
      <w:pPr>
        <w:spacing w:after="0" w:line="1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stockholders, with the other classes continuing for the remainder of their respective three-year terms. Our directors will be divided among the three classes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  The Class I directors will be</w:t>
            </w:r>
          </w:p>
        </w:tc>
        <w:tc>
          <w:tcPr>
            <w:tcW w:w="7460" w:type="dxa"/>
            <w:vAlign w:val="bottom"/>
          </w:tcPr>
          <w:p>
            <w:pPr>
              <w:ind w:left="360"/>
              <w:spacing w:after="0"/>
              <w:rPr>
                <w:sz w:val="20"/>
                <w:szCs w:val="20"/>
                <w:color w:val="auto"/>
              </w:rPr>
            </w:pPr>
            <w:r>
              <w:rPr>
                <w:rFonts w:ascii="Arial" w:cs="Arial" w:eastAsia="Arial" w:hAnsi="Arial"/>
                <w:sz w:val="18"/>
                <w:szCs w:val="18"/>
                <w:color w:val="auto"/>
              </w:rPr>
              <w:t>, and their terms will expire at the annual meeting of stockholders to be held in 2021;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The Class II directors will be</w:t>
            </w:r>
          </w:p>
        </w:tc>
        <w:tc>
          <w:tcPr>
            <w:tcW w:w="7460" w:type="dxa"/>
            <w:vAlign w:val="bottom"/>
          </w:tcPr>
          <w:p>
            <w:pPr>
              <w:ind w:left="400"/>
              <w:spacing w:after="0"/>
              <w:rPr>
                <w:sz w:val="20"/>
                <w:szCs w:val="20"/>
                <w:color w:val="auto"/>
              </w:rPr>
            </w:pPr>
            <w:r>
              <w:rPr>
                <w:rFonts w:ascii="Arial" w:cs="Arial" w:eastAsia="Arial" w:hAnsi="Arial"/>
                <w:sz w:val="18"/>
                <w:szCs w:val="18"/>
                <w:color w:val="auto"/>
                <w:w w:val="99"/>
              </w:rPr>
              <w:t>, and their terms will expire at the annual meeting of stockholders to be held in 2022; and</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The Class III directors will be</w:t>
            </w:r>
          </w:p>
        </w:tc>
        <w:tc>
          <w:tcPr>
            <w:tcW w:w="7460" w:type="dxa"/>
            <w:vAlign w:val="bottom"/>
          </w:tcPr>
          <w:p>
            <w:pPr>
              <w:ind w:left="460"/>
              <w:spacing w:after="0"/>
              <w:rPr>
                <w:sz w:val="20"/>
                <w:szCs w:val="20"/>
                <w:color w:val="auto"/>
              </w:rPr>
            </w:pPr>
            <w:r>
              <w:rPr>
                <w:rFonts w:ascii="Arial" w:cs="Arial" w:eastAsia="Arial" w:hAnsi="Arial"/>
                <w:sz w:val="18"/>
                <w:szCs w:val="18"/>
                <w:color w:val="auto"/>
              </w:rPr>
              <w:t>, and their terms will expire at the annual meeting of stockholders to be held in 2023.</w:t>
            </w:r>
          </w:p>
        </w:tc>
      </w:tr>
    </w:tbl>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intend to apply to list our common stock on the Nasdaq Global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 responsibilities. Based upon information requested from and provided by each director concerning his or her background, employment</w:t>
      </w:r>
    </w:p>
    <w:p>
      <w:pPr>
        <w:spacing w:after="0" w:line="13" w:lineRule="exact"/>
        <w:rPr>
          <w:sz w:val="20"/>
          <w:szCs w:val="20"/>
          <w:color w:val="auto"/>
        </w:rPr>
      </w:pPr>
    </w:p>
    <w:p>
      <w:pPr>
        <w:ind w:left="120"/>
        <w:spacing w:after="0"/>
        <w:tabs>
          <w:tab w:leader="none" w:pos="7880" w:val="left"/>
          <w:tab w:leader="none" w:pos="9780" w:val="left"/>
        </w:tabs>
        <w:rPr>
          <w:sz w:val="20"/>
          <w:szCs w:val="20"/>
          <w:color w:val="auto"/>
        </w:rPr>
      </w:pPr>
      <w:r>
        <w:rPr>
          <w:rFonts w:ascii="Arial" w:cs="Arial" w:eastAsia="Arial" w:hAnsi="Arial"/>
          <w:sz w:val="18"/>
          <w:szCs w:val="18"/>
          <w:color w:val="auto"/>
        </w:rPr>
        <w:t>and affiliations, including family relationships, our board of directors has determined that</w:t>
      </w:r>
      <w:r>
        <w:rPr>
          <w:sz w:val="20"/>
          <w:szCs w:val="20"/>
          <w:color w:val="auto"/>
        </w:rPr>
        <w:tab/>
      </w:r>
      <w:r>
        <w:rPr>
          <w:rFonts w:ascii="Arial" w:cs="Arial" w:eastAsia="Arial" w:hAnsi="Arial"/>
          <w:sz w:val="18"/>
          <w:szCs w:val="18"/>
          <w:color w:val="auto"/>
        </w:rPr>
        <w:t>, representing</w:t>
      </w:r>
      <w:r>
        <w:rPr>
          <w:sz w:val="20"/>
          <w:szCs w:val="20"/>
          <w:color w:val="auto"/>
        </w:rPr>
        <w:tab/>
      </w:r>
      <w:r>
        <w:rPr>
          <w:rFonts w:ascii="Arial" w:cs="Arial" w:eastAsia="Arial" w:hAnsi="Arial"/>
          <w:sz w:val="18"/>
          <w:szCs w:val="18"/>
          <w:color w:val="auto"/>
        </w:rPr>
        <w:t>of</w:t>
      </w:r>
    </w:p>
    <w:p>
      <w:pPr>
        <w:ind w:left="120"/>
        <w:spacing w:after="0" w:line="234" w:lineRule="auto"/>
        <w:tabs>
          <w:tab w:leader="none" w:pos="1160" w:val="left"/>
        </w:tabs>
        <w:rPr>
          <w:sz w:val="20"/>
          <w:szCs w:val="20"/>
          <w:color w:val="auto"/>
        </w:rPr>
      </w:pPr>
      <w:r>
        <w:rPr>
          <w:rFonts w:ascii="Arial" w:cs="Arial" w:eastAsia="Arial" w:hAnsi="Arial"/>
          <w:sz w:val="18"/>
          <w:szCs w:val="18"/>
          <w:color w:val="auto"/>
        </w:rPr>
        <w:t>our</w:t>
      </w:r>
      <w:r>
        <w:rPr>
          <w:sz w:val="20"/>
          <w:szCs w:val="20"/>
          <w:color w:val="auto"/>
        </w:rPr>
        <w:tab/>
      </w:r>
      <w:r>
        <w:rPr>
          <w:rFonts w:ascii="Arial" w:cs="Arial" w:eastAsia="Arial" w:hAnsi="Arial"/>
          <w:sz w:val="18"/>
          <w:szCs w:val="18"/>
          <w:color w:val="auto"/>
        </w:rPr>
        <w:t>directors, do not have a relationship that would interfere with the exercise of independent judgment in carrying out the</w:t>
      </w:r>
    </w:p>
    <w:p>
      <w:pPr>
        <w:spacing w:after="0" w:line="1"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responsibilities of a director and that each of these directors is “independent” as that term is defined under the rules of Nasdaq. Dr. Mack is not an independent director because he is our President and Chief Executive Officer.</w:t>
      </w:r>
    </w:p>
    <w:p>
      <w:pPr>
        <w:spacing w:after="0" w:line="168"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 , and will be the chair of our audit committee. Our board of directors has determined that all members are independent under the listing standards of Nasdaq and Rule 10A-3(b)(1) of the Exchange Act and that is an audit committee</w:t>
      </w:r>
    </w:p>
    <w:p>
      <w:pPr>
        <w:spacing w:after="0" w:line="1"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will oversee our corporate accounting and financial reporting process and assist our board of directors in monitoring our financial systems. Among other matters, our audit committee will also:</w:t>
      </w:r>
    </w:p>
    <w:p>
      <w:pPr>
        <w:spacing w:after="0" w:line="81"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jc w:val="both"/>
        <w:ind w:left="880" w:right="320" w:hanging="224"/>
        <w:spacing w:after="0" w:line="255"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will be , and will be the chair of our compensation committee. Our board of directors has determined that all members are independent under the listing standards of Nasdaq and are “non-employee directors” as defined in Rule 16b-3 promulgated under the Exchange Act. Our compensation committee will oversee our compensation policies, plans and benefits programs. Among other matters, our compensation committee will also:</w:t>
      </w:r>
    </w:p>
    <w:p>
      <w:pPr>
        <w:spacing w:after="0" w:line="82"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5480" w:right="180" w:hanging="4824"/>
        <w:spacing w:after="0" w:line="448" w:lineRule="auto"/>
        <w:tabs>
          <w:tab w:leader="none" w:pos="8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 160</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corporate</w:t>
      </w:r>
    </w:p>
    <w:p>
      <w:pPr>
        <w:spacing w:after="0" w:line="18"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governance and nominating committee will be , and will be the chair of our corporate governance and nominating committee. Our board of directors has determined that all members of the corporate governance and nominating committee are independent under the listing standards of Nasdaq. Our corporate governance and nominating committee will oversee and assist our board of directors in reviewing and recommending nominees for election as directors. Among other matters, our corporate governance and nominating committee will:</w:t>
      </w:r>
    </w:p>
    <w:p>
      <w:pPr>
        <w:spacing w:after="0" w:line="81" w:lineRule="exact"/>
        <w:rPr>
          <w:sz w:val="20"/>
          <w:szCs w:val="20"/>
          <w:color w:val="auto"/>
        </w:rPr>
      </w:pPr>
    </w:p>
    <w:p>
      <w:pPr>
        <w:ind w:left="880" w:right="8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50"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140" w:firstLine="1351"/>
        <w:spacing w:after="0" w:line="248" w:lineRule="auto"/>
        <w:rPr>
          <w:sz w:val="20"/>
          <w:szCs w:val="20"/>
          <w:color w:val="auto"/>
        </w:rPr>
      </w:pPr>
      <w:r>
        <w:rPr>
          <w:rFonts w:ascii="Arial" w:cs="Arial" w:eastAsia="Arial" w:hAnsi="Arial"/>
          <w:sz w:val="18"/>
          <w:szCs w:val="18"/>
          <w:color w:val="auto"/>
        </w:rPr>
        <w:t>and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00" w:firstLine="551"/>
        <w:spacing w:after="0" w:line="277" w:lineRule="auto"/>
        <w:rPr>
          <w:sz w:val="20"/>
          <w:szCs w:val="20"/>
          <w:color w:val="auto"/>
        </w:rPr>
      </w:pPr>
      <w:r>
        <w:rPr>
          <w:rFonts w:ascii="Arial" w:cs="Arial" w:eastAsia="Arial" w:hAnsi="Arial"/>
          <w:sz w:val="17"/>
          <w:szCs w:val="17"/>
          <w:color w:val="auto"/>
        </w:rPr>
        <w:t>Prior to this offering, we did not have a formal policy with respect to compensation payable to our non-employee directors. We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4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3" w:lineRule="auto"/>
        <w:tabs>
          <w:tab w:leader="none" w:pos="5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ind w:left="120"/>
        <w:spacing w:after="0"/>
        <w:tabs>
          <w:tab w:leader="none" w:pos="520" w:val="left"/>
          <w:tab w:leader="none" w:pos="4740" w:val="left"/>
        </w:tabs>
        <w:rPr>
          <w:sz w:val="20"/>
          <w:szCs w:val="20"/>
          <w:color w:val="auto"/>
        </w:rPr>
      </w:pP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3"/>
          <w:szCs w:val="13"/>
          <w:color w:val="auto"/>
        </w:rPr>
        <w:t>Mr. Winick resigned from our board of directors effective</w:t>
      </w:r>
      <w:r>
        <w:rPr>
          <w:sz w:val="20"/>
          <w:szCs w:val="20"/>
          <w:color w:val="auto"/>
        </w:rPr>
        <w:tab/>
      </w:r>
      <w:r>
        <w:rPr>
          <w:rFonts w:ascii="Arial" w:cs="Arial" w:eastAsia="Arial" w:hAnsi="Arial"/>
          <w:sz w:val="14"/>
          <w:szCs w:val="14"/>
          <w:color w:val="auto"/>
        </w:rPr>
        <w:t>,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Deepika Jalota, our Senior Vice President and Head of Regulatory Affairs.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and Head of Regulatory Affairs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60" w:hanging="544"/>
        <w:spacing w:after="0" w:line="185"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475,000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3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691"/>
              <w:spacing w:after="0" w:line="159" w:lineRule="exact"/>
              <w:rPr>
                <w:sz w:val="20"/>
                <w:szCs w:val="20"/>
                <w:color w:val="auto"/>
              </w:rPr>
            </w:pPr>
            <w:r>
              <w:rPr>
                <w:rFonts w:ascii="Arial" w:cs="Arial" w:eastAsia="Arial" w:hAnsi="Arial"/>
                <w:sz w:val="14"/>
                <w:szCs w:val="14"/>
                <w:b w:val="1"/>
                <w:bCs w:val="1"/>
                <w:color w:val="auto"/>
              </w:rPr>
              <w:t>Grant</w:t>
            </w:r>
          </w:p>
        </w:tc>
        <w:tc>
          <w:tcPr>
            <w:tcW w:w="12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Options (#)</w:t>
            </w:r>
          </w:p>
        </w:tc>
        <w:tc>
          <w:tcPr>
            <w:tcW w:w="134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Options (#)</w:t>
            </w:r>
          </w:p>
        </w:tc>
        <w:tc>
          <w:tcPr>
            <w:tcW w:w="11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4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6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gridSpan w:val="2"/>
          </w:tcPr>
          <w:p>
            <w:pPr>
              <w:jc w:val="center"/>
              <w:ind w:right="3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72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3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520" w:type="dxa"/>
            <w:vAlign w:val="bottom"/>
            <w:tcBorders>
              <w:top w:val="single" w:sz="8" w:color="CCEEFF"/>
            </w:tcBorders>
            <w:shd w:val="clear" w:color="auto" w:fill="CCEEFF"/>
          </w:tcPr>
          <w:p>
            <w:pPr>
              <w:jc w:val="right"/>
              <w:ind w:right="29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2,608,000</w:t>
            </w:r>
          </w:p>
        </w:tc>
        <w:tc>
          <w:tcPr>
            <w:tcW w:w="3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6"/>
                <w:szCs w:val="16"/>
                <w:color w:val="auto"/>
                <w:w w:val="89"/>
              </w:rPr>
              <w:t>0.10</w:t>
            </w:r>
          </w:p>
        </w:tc>
        <w:tc>
          <w:tcPr>
            <w:tcW w:w="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1,267,017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1,566,791</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859,209</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72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320" w:type="dxa"/>
            <w:vAlign w:val="bottom"/>
          </w:tcPr>
          <w:p>
            <w:pPr>
              <w:spacing w:after="0"/>
              <w:rPr>
                <w:sz w:val="16"/>
                <w:szCs w:val="16"/>
                <w:color w:val="auto"/>
              </w:rPr>
            </w:pPr>
          </w:p>
        </w:tc>
        <w:tc>
          <w:tcPr>
            <w:tcW w:w="1380" w:type="dxa"/>
            <w:vAlign w:val="bottom"/>
            <w:gridSpan w:val="2"/>
          </w:tcPr>
          <w:p>
            <w:pPr>
              <w:jc w:val="right"/>
              <w:ind w:right="29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2,506,440</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420"/>
              <w:spacing w:after="0"/>
              <w:rPr>
                <w:sz w:val="20"/>
                <w:szCs w:val="20"/>
                <w:color w:val="auto"/>
              </w:rPr>
            </w:pPr>
            <w:r>
              <w:rPr>
                <w:rFonts w:ascii="Arial" w:cs="Arial" w:eastAsia="Arial" w:hAnsi="Arial"/>
                <w:sz w:val="16"/>
                <w:szCs w:val="16"/>
                <w:color w:val="auto"/>
              </w:rPr>
              <w:t>0.61</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700" w:type="dxa"/>
            <w:vAlign w:val="bottom"/>
            <w:gridSpan w:val="3"/>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475,000</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5"/>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40" w:hanging="544"/>
        <w:spacing w:after="0" w:line="21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named executive officer’s continued service through each vesting date. The second tranche (covering 25% of the total number of shares of our common stock underlying the option) vest as to 1/48th of the shares of our common stock underlying it in monthly installments, subject to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We currently expect that, prior to the completion of this offering, we will enter into a continuing employment letter with Dr. Mack, our President and Chief Executive Officer. The confirmatory employment letter currently is expected to have no specific term and will provide</w:t>
      </w:r>
    </w:p>
    <w:p>
      <w:pPr>
        <w:ind w:left="120" w:right="200"/>
        <w:spacing w:after="0" w:line="245" w:lineRule="auto"/>
        <w:rPr>
          <w:sz w:val="20"/>
          <w:szCs w:val="20"/>
          <w:color w:val="auto"/>
        </w:rPr>
      </w:pPr>
      <w:r>
        <w:rPr>
          <w:rFonts w:ascii="Arial" w:cs="Arial" w:eastAsia="Arial" w:hAnsi="Arial"/>
          <w:sz w:val="18"/>
          <w:szCs w:val="18"/>
          <w:color w:val="auto"/>
        </w:rPr>
        <w:t>for at-will employment. Dr. Mack’s current annual base salary is $ , and Dr. Mack’s annual target bonus is % of his annual base salary.</w:t>
      </w: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We have entered into an employment offer letter agreement with Mr. Kung in connection with his employment with us. This offer letter provides for “at will” employment.</w:t>
      </w:r>
    </w:p>
    <w:p>
      <w:pPr>
        <w:spacing w:after="0" w:line="145"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currently expect that, prior to the completion of this offering, we will enter into a confirmatory employment letter with Mr. Kung, our Chief Operating Officer and Chief Financial Officer. The confirmatory employment letter currently is expected to have no specific term and will provide for at-will</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180" w:val="left"/>
          <w:tab w:leader="none" w:pos="8540" w:val="left"/>
        </w:tabs>
        <w:rPr>
          <w:sz w:val="20"/>
          <w:szCs w:val="20"/>
          <w:color w:val="auto"/>
        </w:rPr>
      </w:pPr>
      <w:r>
        <w:rPr>
          <w:rFonts w:ascii="Arial" w:cs="Arial" w:eastAsia="Arial" w:hAnsi="Arial"/>
          <w:sz w:val="18"/>
          <w:szCs w:val="18"/>
          <w:color w:val="auto"/>
        </w:rPr>
        <w:t>employment. Mr. Kung’s current annual base salary is $</w:t>
      </w:r>
      <w:r>
        <w:rPr>
          <w:sz w:val="20"/>
          <w:szCs w:val="20"/>
          <w:color w:val="auto"/>
        </w:rPr>
        <w:tab/>
      </w:r>
      <w:r>
        <w:rPr>
          <w:rFonts w:ascii="Arial" w:cs="Arial" w:eastAsia="Arial" w:hAnsi="Arial"/>
          <w:sz w:val="18"/>
          <w:szCs w:val="18"/>
          <w:color w:val="auto"/>
        </w:rPr>
        <w:t>, and Mr. Kung’s annual target bonus is</w:t>
      </w:r>
      <w:r>
        <w:rPr>
          <w:sz w:val="20"/>
          <w:szCs w:val="20"/>
          <w:color w:val="auto"/>
        </w:rPr>
        <w:tab/>
      </w:r>
      <w:r>
        <w:rPr>
          <w:rFonts w:ascii="Arial" w:cs="Arial" w:eastAsia="Arial" w:hAnsi="Arial"/>
          <w:sz w:val="17"/>
          <w:szCs w:val="17"/>
          <w:color w:val="auto"/>
        </w:rPr>
        <w:t>% of his annual base salary.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We have entered into an employment offer letter agreement with Dr. Jalota in connection with his or her employment with us. This offer letter provides for “at will” employment.</w:t>
      </w:r>
    </w:p>
    <w:p>
      <w:pPr>
        <w:spacing w:after="0" w:line="145" w:lineRule="exact"/>
        <w:rPr>
          <w:sz w:val="20"/>
          <w:szCs w:val="20"/>
          <w:color w:val="auto"/>
        </w:rPr>
      </w:pPr>
    </w:p>
    <w:p>
      <w:pPr>
        <w:ind w:left="120" w:right="80" w:firstLine="551"/>
        <w:spacing w:after="0" w:line="262" w:lineRule="auto"/>
        <w:rPr>
          <w:sz w:val="20"/>
          <w:szCs w:val="20"/>
          <w:color w:val="auto"/>
        </w:rPr>
      </w:pPr>
      <w:r>
        <w:rPr>
          <w:rFonts w:ascii="Arial" w:cs="Arial" w:eastAsia="Arial" w:hAnsi="Arial"/>
          <w:sz w:val="17"/>
          <w:szCs w:val="17"/>
          <w:color w:val="auto"/>
        </w:rPr>
        <w:t>We currently expect that, prior to the completion of this offering, we will enter into a confirmatory employment letter with Dr. Jalota, our Senior Vice President and Head of Regulatory Affairs. The confirmatory employment letter currently is expected to have no specific</w:t>
      </w:r>
    </w:p>
    <w:p>
      <w:pPr>
        <w:ind w:left="320" w:right="260" w:hanging="199"/>
        <w:spacing w:after="0" w:line="245" w:lineRule="auto"/>
        <w:rPr>
          <w:sz w:val="20"/>
          <w:szCs w:val="20"/>
          <w:color w:val="auto"/>
        </w:rPr>
      </w:pPr>
      <w:r>
        <w:rPr>
          <w:rFonts w:ascii="Arial" w:cs="Arial" w:eastAsia="Arial" w:hAnsi="Arial"/>
          <w:sz w:val="18"/>
          <w:szCs w:val="18"/>
          <w:color w:val="auto"/>
        </w:rPr>
        <w:t>term and will provide for at-will employment. Dr. Jalota’s current annual base salary is $</w:t>
      </w:r>
      <w:r>
        <w:rPr>
          <w:sz w:val="20"/>
          <w:szCs w:val="20"/>
          <w:color w:val="auto"/>
        </w:rPr>
        <w:t xml:space="preserve"> </w:t>
      </w:r>
      <w:r>
        <w:rPr>
          <w:rFonts w:ascii="Arial" w:cs="Arial" w:eastAsia="Arial" w:hAnsi="Arial"/>
          <w:sz w:val="18"/>
          <w:szCs w:val="18"/>
          <w:color w:val="auto"/>
        </w:rPr>
        <w:t>, and Dr. Jalota’s annual target bonus is % of her annual base salary.</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captioned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w:t>
      </w:r>
    </w:p>
    <w:p>
      <w:pPr>
        <w:spacing w:after="0" w:line="14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hanging="224"/>
        <w:spacing w:after="0" w:line="255"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six months for Dr. Jalota);</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lump sum payment equal to a pro-rata portion of the participant’s target annual bonus for the year of termination;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coverage or COBRA benefit,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420" w:hanging="224"/>
        <w:spacing w:after="0" w:line="27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equal to the amount specified in the participant’s participation agreement (equal to the number of shares otherwise scheduled to</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5" w:right="49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420"/>
        <w:spacing w:after="0" w:line="276" w:lineRule="auto"/>
        <w:rPr>
          <w:sz w:val="20"/>
          <w:szCs w:val="20"/>
          <w:color w:val="auto"/>
        </w:rPr>
      </w:pPr>
      <w:r>
        <w:rPr>
          <w:rFonts w:ascii="Arial" w:cs="Arial" w:eastAsia="Arial" w:hAnsi="Arial"/>
          <w:sz w:val="18"/>
          <w:szCs w:val="18"/>
          <w:color w:val="auto"/>
        </w:rPr>
        <w:t>vest during the 12 month period following the date of termination for Dr. Mack and the six month period following the date of termination for Mr. Kung and Dr. Jalota);</w:t>
      </w:r>
    </w:p>
    <w:p>
      <w:pPr>
        <w:spacing w:after="0" w:line="50" w:lineRule="exact"/>
        <w:rPr>
          <w:sz w:val="20"/>
          <w:szCs w:val="20"/>
          <w:color w:val="auto"/>
        </w:rPr>
      </w:pPr>
    </w:p>
    <w:p>
      <w:pPr>
        <w:ind w:left="880" w:right="60" w:hanging="224"/>
        <w:spacing w:after="0" w:line="27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and six months’ base salary for Mr. Kung and Dr. Jalota); and</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coverage or COBRA benefit, as applicable, for a time period specified in the participant’s participation agreement (12 months for Dr. Mack and six months for Mr. Kung and Dr. Jalota).</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 (2020 Plan)</w:t>
      </w:r>
    </w:p>
    <w:p>
      <w:pPr>
        <w:spacing w:after="0" w:line="10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Prior to the effectiveness of this offering, we expect that our board of directors will adopt, and our stockholders will approve, our 2020 Equity Incentive Plan, or 2020 Plan. The 2020 Plan will be effective on the business day immediately prior to the effective date of the registration statement of which this prospectus forms a part. Our 2020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7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shares of our common stock are reserved for issuance pursuant to our 2020 Plan.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reserved for issuance under our 2020 Plan will also include (i) those shares reserved but unissued under our 2013 Plan as of the date of stockholder approval of the 2020 Plan and (ii) shares of our common stock subject to awards granted under our 2013 Plan that, after the date of stockholder approval of the 2020 Plan, expire or otherwise terminate without having been exercised in full or are forfeited to or repurchased by us (provided that the maximum number of shares that may be added to the 2020 Plan pursuant to (i) and (ii)</w:t>
      </w:r>
    </w:p>
    <w:p>
      <w:pPr>
        <w:spacing w:after="0" w:line="4"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is shares). The number of shares available for issuance under our 2020 Plan will also include an annual increase on the first day of each fiscal year beginning with our 2021 fiscal year, equal to the lesser of:</w:t>
      </w:r>
    </w:p>
    <w:p>
      <w:pPr>
        <w:spacing w:after="0" w:line="73" w:lineRule="exact"/>
        <w:rPr>
          <w:sz w:val="20"/>
          <w:szCs w:val="20"/>
          <w:color w:val="auto"/>
        </w:rPr>
      </w:pPr>
    </w:p>
    <w:p>
      <w:pPr>
        <w:ind w:left="1480" w:hanging="824"/>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80"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color w:val="auto"/>
        </w:rPr>
        <w:t>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79"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under our 2020 Plan. To provide a maximum limit on the cash compensation and equity awards that can be made to our outside directors, our 2020 Plan provides that in any given fiscal year, an outside director will not be granted cash compensation and equity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awards with an aggregate value greater than $ (increased to $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6" w:lineRule="exact"/>
        <w:rPr>
          <w:sz w:val="20"/>
          <w:szCs w:val="20"/>
          <w:color w:val="auto"/>
        </w:rPr>
      </w:pPr>
    </w:p>
    <w:p>
      <w:pPr>
        <w:jc w:val="both"/>
        <w:ind w:left="120" w:right="52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6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2" w:lineRule="exact"/>
        <w:rPr>
          <w:sz w:val="20"/>
          <w:szCs w:val="20"/>
          <w:color w:val="auto"/>
        </w:rPr>
      </w:pPr>
    </w:p>
    <w:p>
      <w:pPr>
        <w:ind w:left="120" w:right="40" w:firstLine="551"/>
        <w:spacing w:after="0" w:line="263"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57"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automatically will terminate in 2030, unless we terminate it sooner.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 as amended</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It is expected that as of one business day prior to the effectiveness of the registration statement of which this prospectus forms a part, our 2013 Plan will be terminated and we will not grant any additional awards under our 2013 Plan thereafter. However, our 2013 Plan will continue to govern the terms and conditions of the outstanding awards previously granted under our 2013 Plan.</w:t>
      </w:r>
    </w:p>
    <w:p>
      <w:pPr>
        <w:sectPr>
          <w:pgSz w:w="11900" w:h="16838" w:orient="portrait"/>
          <w:cols w:equalWidth="0" w:num="1">
            <w:col w:w="11140"/>
          </w:cols>
          <w:pgMar w:left="320" w:top="455" w:right="439" w:bottom="1440" w:gutter="0" w:footer="0" w:header="0"/>
        </w:sectPr>
      </w:pPr>
    </w:p>
    <w:p>
      <w:pPr>
        <w:spacing w:after="0" w:line="17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common stock.</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shares of our</w:t>
      </w:r>
    </w:p>
    <w:p>
      <w:pPr>
        <w:spacing w:after="0" w:line="425" w:lineRule="exact"/>
        <w:rPr>
          <w:sz w:val="20"/>
          <w:szCs w:val="20"/>
          <w:color w:val="auto"/>
        </w:rPr>
      </w:pPr>
    </w:p>
    <w:p>
      <w:pPr>
        <w:sectPr>
          <w:pgSz w:w="11900" w:h="16838" w:orient="portrait"/>
          <w:cols w:equalWidth="0" w:num="2">
            <w:col w:w="9060" w:space="720"/>
            <w:col w:w="1360"/>
          </w:cols>
          <w:pgMar w:left="320" w:top="455" w:right="439" w:bottom="1440" w:gutter="0" w:footer="0" w:header="0"/>
          <w:type w:val="continuous"/>
        </w:sect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5" w:right="439" w:bottom="1440" w:gutter="0" w:footer="0" w:header="0"/>
          <w:type w:val="continuous"/>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76" w:lineRule="auto"/>
        <w:rPr>
          <w:sz w:val="20"/>
          <w:szCs w:val="20"/>
          <w:color w:val="auto"/>
        </w:rPr>
      </w:pPr>
      <w:r>
        <w:rPr>
          <w:rFonts w:ascii="Arial" w:cs="Arial" w:eastAsia="Arial" w:hAnsi="Arial"/>
          <w:sz w:val="18"/>
          <w:szCs w:val="18"/>
          <w:color w:val="auto"/>
        </w:rPr>
        <w:t>rescind rules and regulations relating to our 2013 Plan, to modify or amend each award and to make all other determinations deemed necessary or advisable for administering our 2013 Plan.</w:t>
      </w:r>
    </w:p>
    <w:p>
      <w:pPr>
        <w:spacing w:after="0" w:line="145"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 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69"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6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2013 Plan will be terminated and we will not grant any additional awards under our 2013 Plan thereafter.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after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and intend to continue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we issued and sold an aggregate of 28,020,172 shares of our Series D convertible preferred stock, or Series D Preferred Stock, at a purchase price of $2.4982 per share for an aggregate purchase price of approximately $70.0 million. These shares of Series D Preferred Stock will convert into an aggregate of 28,020,172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480" w:type="dxa"/>
            <w:vAlign w:val="bottom"/>
            <w:vMerge w:val="restart"/>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4,002,882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4,002,882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OrbiMed Private Investments V LP</w:t>
            </w:r>
          </w:p>
        </w:tc>
        <w:tc>
          <w:tcPr>
            <w:tcW w:w="238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4,002,881</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28,798,050 shares of our Series C convertible preferred stock, or Series C Preferred Stock, at a purchase price of $2.1485 per share for an aggregate purchase price of approximately $61.9 million. These shares of Series C Preferred Stock will convert into an aggregate of 28,798,050 shares of common stock immediately prior to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46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86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9,308,820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17"/>
                <w:szCs w:val="17"/>
                <w:color w:val="auto"/>
              </w:rPr>
            </w:pP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6,981,615</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4,654,409</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860" w:type="dxa"/>
            <w:vAlign w:val="bottom"/>
          </w:tcPr>
          <w:p>
            <w:pPr>
              <w:spacing w:after="0"/>
              <w:rPr>
                <w:sz w:val="17"/>
                <w:szCs w:val="17"/>
                <w:color w:val="auto"/>
              </w:rPr>
            </w:pP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2,728,331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1,396,323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175</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40,396,799 shares of our Series B convertible preferred stock, or Series B Preferred Stock, at a purchase price of $1.8251 per share for an aggregate purchase price of approximately $73.7 million. These shares of Series B Preferred Stock will convert into an aggregate of 40,396,799 shares of common stock immediately prior to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3860" w:type="dxa"/>
            <w:vAlign w:val="bottom"/>
            <w:gridSpan w:val="2"/>
            <w:vMerge w:val="restart"/>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Affiliated Director(s) or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gridSpan w:val="2"/>
            <w:vMerge w:val="continue"/>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140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21,916,604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4"/>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1400" w:type="dxa"/>
            <w:vAlign w:val="bottom"/>
          </w:tcPr>
          <w:p>
            <w:pPr>
              <w:spacing w:after="0"/>
              <w:rPr>
                <w:sz w:val="17"/>
                <w:szCs w:val="17"/>
                <w:color w:val="auto"/>
              </w:rPr>
            </w:pPr>
          </w:p>
        </w:tc>
        <w:tc>
          <w:tcPr>
            <w:tcW w:w="24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Peter Thompson, M.D.</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5,669,940</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44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140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5,479,151</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4420" w:type="dxa"/>
            <w:vAlign w:val="bottom"/>
            <w:gridSpan w:val="4"/>
          </w:tcPr>
          <w:p>
            <w:pPr>
              <w:spacing w:after="0"/>
              <w:rPr>
                <w:sz w:val="20"/>
                <w:szCs w:val="20"/>
                <w:color w:val="auto"/>
              </w:rPr>
            </w:pPr>
            <w:r>
              <w:rPr>
                <w:rFonts w:ascii="Arial" w:cs="Arial" w:eastAsia="Arial" w:hAnsi="Arial"/>
                <w:sz w:val="18"/>
                <w:szCs w:val="18"/>
                <w:color w:val="auto"/>
              </w:rPr>
              <w:t>TopSpin Biotech Fund II, L.P.</w:t>
            </w:r>
          </w:p>
        </w:tc>
        <w:tc>
          <w:tcPr>
            <w:tcW w:w="1400" w:type="dxa"/>
            <w:vAlign w:val="bottom"/>
          </w:tcPr>
          <w:p>
            <w:pPr>
              <w:spacing w:after="0"/>
              <w:rPr>
                <w:sz w:val="21"/>
                <w:szCs w:val="21"/>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Steve Winick</w:t>
            </w:r>
            <w:r>
              <w:rPr>
                <w:rFonts w:ascii="Arial" w:cs="Arial" w:eastAsia="Arial" w:hAnsi="Arial"/>
                <w:sz w:val="15"/>
                <w:szCs w:val="15"/>
                <w:color w:val="auto"/>
                <w:w w:val="99"/>
              </w:rPr>
              <w:t>(1)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5,479,151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20"/>
                <w:szCs w:val="20"/>
                <w:color w:val="auto"/>
              </w:rPr>
            </w:pPr>
            <w:r>
              <w:rPr>
                <w:rFonts w:ascii="Arial" w:cs="Arial" w:eastAsia="Arial" w:hAnsi="Arial"/>
                <w:sz w:val="12"/>
                <w:szCs w:val="12"/>
                <w:color w:val="auto"/>
              </w:rPr>
              <w:t>(1)</w:t>
            </w:r>
          </w:p>
        </w:tc>
        <w:tc>
          <w:tcPr>
            <w:tcW w:w="4080" w:type="dxa"/>
            <w:vAlign w:val="bottom"/>
            <w:gridSpan w:val="3"/>
          </w:tcPr>
          <w:p>
            <w:pPr>
              <w:ind w:left="200"/>
              <w:spacing w:after="0"/>
              <w:rPr>
                <w:sz w:val="20"/>
                <w:szCs w:val="20"/>
                <w:color w:val="auto"/>
              </w:rPr>
            </w:pPr>
            <w:r>
              <w:rPr>
                <w:rFonts w:ascii="Arial" w:cs="Arial" w:eastAsia="Arial" w:hAnsi="Arial"/>
                <w:sz w:val="14"/>
                <w:szCs w:val="14"/>
                <w:color w:val="auto"/>
              </w:rPr>
              <w:t>Mr. Winick resigned from our board of directors effective</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 2020.</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238,680 and 795,600 shares of our common stock, each awarded at $0.80, to newly-appointed director and Chairman of the board of directors Richard Heyman, Ph.D.</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5" w:right="51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July 31, 2020 by:</w:t>
      </w:r>
    </w:p>
    <w:p>
      <w:pPr>
        <w:spacing w:after="0" w:line="117"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have based our calculation of the percentage of beneficial ownership prior to this offering on 164,451,912 shares of our common stock outstanding as of July 31, 2020, which includes 148,413,322 shares of our common stock resulting from the conversion of all 148,413,322 outstanding shares of our convertible preferred stock into our common stock, which will occur immediately prior to the completion of this offering, as if this conversion had occurred as of July 31, 2020. We have based our calculation of the percentage of</w:t>
      </w:r>
    </w:p>
    <w:p>
      <w:pPr>
        <w:spacing w:after="0" w:line="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July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or Greater Stockholders:</w:t>
      </w:r>
    </w:p>
    <w:p>
      <w:pPr>
        <w:ind w:left="120"/>
        <w:spacing w:after="0" w:line="180" w:lineRule="auto"/>
        <w:rPr>
          <w:sz w:val="20"/>
          <w:szCs w:val="20"/>
          <w:color w:val="auto"/>
        </w:rPr>
      </w:pPr>
      <w:r>
        <w:rPr>
          <w:rFonts w:ascii="Arial" w:cs="Arial" w:eastAsia="Arial" w:hAnsi="Arial"/>
          <w:sz w:val="15"/>
          <w:szCs w:val="15"/>
          <w:color w:val="auto"/>
        </w:rPr>
        <w:t>InterWest Partners X, L.P.</w:t>
      </w:r>
      <w:r>
        <w:rPr>
          <w:rFonts w:ascii="Arial" w:cs="Arial" w:eastAsia="Arial" w:hAnsi="Arial"/>
          <w:sz w:val="25"/>
          <w:szCs w:val="25"/>
          <w:color w:val="auto"/>
          <w:vertAlign w:val="superscript"/>
        </w:rPr>
        <w:t>(1)</w:t>
      </w:r>
    </w:p>
    <w:p>
      <w:pPr>
        <w:ind w:left="120"/>
        <w:spacing w:after="0" w:line="180" w:lineRule="auto"/>
        <w:rPr>
          <w:sz w:val="20"/>
          <w:szCs w:val="20"/>
          <w:color w:val="auto"/>
        </w:rPr>
      </w:pPr>
      <w:r>
        <w:rPr>
          <w:rFonts w:ascii="Arial" w:cs="Arial" w:eastAsia="Arial" w:hAnsi="Arial"/>
          <w:sz w:val="15"/>
          <w:szCs w:val="15"/>
          <w:color w:val="auto"/>
        </w:rPr>
        <w:t>Entities affiliated with OrbiMed Advisors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Entities affiliated with Euclidean Capital LLC</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7" w:lineRule="auto"/>
        <w:rPr>
          <w:sz w:val="20"/>
          <w:szCs w:val="20"/>
          <w:color w:val="auto"/>
        </w:rPr>
      </w:pPr>
      <w:r>
        <w:rPr>
          <w:rFonts w:ascii="Arial" w:cs="Arial" w:eastAsia="Arial" w:hAnsi="Arial"/>
          <w:sz w:val="14"/>
          <w:szCs w:val="14"/>
          <w:color w:val="auto"/>
        </w:rPr>
        <w:t>Nextech V Oncology S.C.S., SICAV-SIF</w:t>
      </w:r>
      <w:r>
        <w:rPr>
          <w:rFonts w:ascii="Arial" w:cs="Arial" w:eastAsia="Arial" w:hAnsi="Arial"/>
          <w:sz w:val="22"/>
          <w:szCs w:val="22"/>
          <w:color w:val="auto"/>
          <w:vertAlign w:val="superscript"/>
        </w:rPr>
        <w:t>(4)</w:t>
      </w:r>
    </w:p>
    <w:p>
      <w:pPr>
        <w:ind w:left="120"/>
        <w:spacing w:after="0" w:line="181" w:lineRule="auto"/>
        <w:rPr>
          <w:sz w:val="20"/>
          <w:szCs w:val="20"/>
          <w:color w:val="auto"/>
        </w:rPr>
      </w:pPr>
      <w:r>
        <w:rPr>
          <w:rFonts w:ascii="Arial" w:cs="Arial" w:eastAsia="Arial" w:hAnsi="Arial"/>
          <w:sz w:val="15"/>
          <w:szCs w:val="15"/>
          <w:color w:val="auto"/>
        </w:rPr>
        <w:t>Viking Global Opportunities Illiquid Investments Sub-master LP</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Named Executive Officers:</w:t>
      </w:r>
    </w:p>
    <w:p>
      <w:pPr>
        <w:ind w:left="120"/>
        <w:spacing w:after="0" w:line="180" w:lineRule="auto"/>
        <w:rPr>
          <w:sz w:val="20"/>
          <w:szCs w:val="20"/>
          <w:color w:val="auto"/>
        </w:rPr>
      </w:pPr>
      <w:r>
        <w:rPr>
          <w:rFonts w:ascii="Arial" w:cs="Arial" w:eastAsia="Arial" w:hAnsi="Arial"/>
          <w:sz w:val="15"/>
          <w:szCs w:val="15"/>
          <w:color w:val="auto"/>
        </w:rPr>
        <w:t>David H. Mack, Ph.D.</w:t>
      </w:r>
      <w:r>
        <w:rPr>
          <w:rFonts w:ascii="Arial" w:cs="Arial" w:eastAsia="Arial" w:hAnsi="Arial"/>
          <w:sz w:val="25"/>
          <w:szCs w:val="25"/>
          <w:color w:val="auto"/>
          <w:vertAlign w:val="superscript"/>
        </w:rPr>
        <w:t>(6)</w:t>
      </w:r>
    </w:p>
    <w:p>
      <w:pPr>
        <w:ind w:left="120"/>
        <w:spacing w:after="0" w:line="184" w:lineRule="auto"/>
        <w:rPr>
          <w:sz w:val="20"/>
          <w:szCs w:val="20"/>
          <w:color w:val="auto"/>
        </w:rPr>
      </w:pPr>
      <w:r>
        <w:rPr>
          <w:rFonts w:ascii="Arial" w:cs="Arial" w:eastAsia="Arial" w:hAnsi="Arial"/>
          <w:sz w:val="14"/>
          <w:szCs w:val="14"/>
          <w:color w:val="auto"/>
        </w:rPr>
        <w:t>Winston Kung</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0" w:lineRule="auto"/>
        <w:rPr>
          <w:sz w:val="20"/>
          <w:szCs w:val="20"/>
          <w:color w:val="auto"/>
        </w:rPr>
      </w:pPr>
      <w:r>
        <w:rPr>
          <w:rFonts w:ascii="Arial" w:cs="Arial" w:eastAsia="Arial" w:hAnsi="Arial"/>
          <w:sz w:val="15"/>
          <w:szCs w:val="15"/>
          <w:color w:val="auto"/>
        </w:rPr>
        <w:t>Deepika Jalota, Pharm.D.</w:t>
      </w:r>
      <w:r>
        <w:rPr>
          <w:rFonts w:ascii="Arial" w:cs="Arial" w:eastAsia="Arial" w:hAnsi="Arial"/>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Non-Employee Directors:</w:t>
      </w:r>
    </w:p>
    <w:p>
      <w:pPr>
        <w:ind w:left="120"/>
        <w:spacing w:after="0" w:line="180" w:lineRule="auto"/>
        <w:rPr>
          <w:sz w:val="20"/>
          <w:szCs w:val="20"/>
          <w:color w:val="auto"/>
        </w:rPr>
      </w:pPr>
      <w:r>
        <w:rPr>
          <w:rFonts w:ascii="Arial" w:cs="Arial" w:eastAsia="Arial" w:hAnsi="Arial"/>
          <w:sz w:val="15"/>
          <w:szCs w:val="15"/>
          <w:color w:val="auto"/>
        </w:rPr>
        <w:t>Richard Heyman, Ph.D.</w:t>
      </w:r>
      <w:r>
        <w:rPr>
          <w:rFonts w:ascii="Arial" w:cs="Arial" w:eastAsia="Arial" w:hAnsi="Arial"/>
          <w:sz w:val="25"/>
          <w:szCs w:val="25"/>
          <w:color w:val="auto"/>
          <w:vertAlign w:val="superscript"/>
        </w:rPr>
        <w:t>(9)</w:t>
      </w:r>
    </w:p>
    <w:p>
      <w:pPr>
        <w:ind w:left="120"/>
        <w:spacing w:after="0" w:line="184" w:lineRule="auto"/>
        <w:rPr>
          <w:sz w:val="20"/>
          <w:szCs w:val="20"/>
          <w:color w:val="auto"/>
        </w:rPr>
      </w:pPr>
      <w:r>
        <w:rPr>
          <w:rFonts w:ascii="Arial" w:cs="Arial" w:eastAsia="Arial" w:hAnsi="Arial"/>
          <w:sz w:val="14"/>
          <w:szCs w:val="14"/>
          <w:color w:val="auto"/>
        </w:rPr>
        <w:t>Arnold Levine, Ph.D.</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3" w:lineRule="auto"/>
        <w:rPr>
          <w:sz w:val="20"/>
          <w:szCs w:val="20"/>
          <w:color w:val="auto"/>
        </w:rPr>
      </w:pPr>
      <w:r>
        <w:rPr>
          <w:rFonts w:ascii="Arial" w:cs="Arial" w:eastAsia="Arial" w:hAnsi="Arial"/>
          <w:sz w:val="14"/>
          <w:szCs w:val="14"/>
          <w:color w:val="auto"/>
        </w:rPr>
        <w:t>Arnold Oronsky, Ph.D.</w:t>
      </w:r>
      <w:r>
        <w:rPr>
          <w:rFonts w:ascii="Arial" w:cs="Arial" w:eastAsia="Arial" w:hAnsi="Arial"/>
          <w:sz w:val="23"/>
          <w:szCs w:val="23"/>
          <w:color w:val="auto"/>
          <w:vertAlign w:val="superscript"/>
        </w:rPr>
        <w:t>(1)</w:t>
      </w:r>
    </w:p>
    <w:p>
      <w:pPr>
        <w:ind w:left="120"/>
        <w:spacing w:after="0" w:line="184" w:lineRule="auto"/>
        <w:rPr>
          <w:sz w:val="20"/>
          <w:szCs w:val="20"/>
          <w:color w:val="auto"/>
        </w:rPr>
      </w:pPr>
      <w:r>
        <w:rPr>
          <w:rFonts w:ascii="Arial" w:cs="Arial" w:eastAsia="Arial" w:hAnsi="Arial"/>
          <w:sz w:val="14"/>
          <w:szCs w:val="14"/>
          <w:color w:val="auto"/>
        </w:rPr>
        <w:t>Peter Thompson, M.D.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Thilo Schroeder, Ph.D.</w:t>
      </w:r>
      <w:r>
        <w:rPr>
          <w:rFonts w:ascii="Arial" w:cs="Arial" w:eastAsia="Arial" w:hAnsi="Arial"/>
          <w:sz w:val="23"/>
          <w:szCs w:val="23"/>
          <w:color w:val="auto"/>
          <w:vertAlign w:val="superscript"/>
        </w:rPr>
        <w:t>(4)</w:t>
      </w:r>
    </w:p>
    <w:p>
      <w:pPr>
        <w:ind w:left="120"/>
        <w:spacing w:after="0"/>
        <w:rPr>
          <w:sz w:val="20"/>
          <w:szCs w:val="20"/>
          <w:color w:val="auto"/>
        </w:rPr>
      </w:pPr>
      <w:r>
        <w:rPr>
          <w:rFonts w:ascii="Arial" w:cs="Arial" w:eastAsia="Arial" w:hAnsi="Arial"/>
          <w:sz w:val="16"/>
          <w:szCs w:val="16"/>
          <w:color w:val="auto"/>
        </w:rPr>
        <w:t>All executive officers and directors as a group (9 persons)</w:t>
      </w:r>
      <w:r>
        <w:rPr>
          <w:rFonts w:ascii="Arial" w:cs="Arial" w:eastAsia="Arial" w:hAnsi="Arial"/>
          <w:sz w:val="27"/>
          <w:szCs w:val="27"/>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19050</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400" w:type="dxa"/>
            <w:vAlign w:val="bottom"/>
          </w:tcPr>
          <w:p>
            <w:pPr>
              <w:jc w:val="center"/>
              <w:ind w:right="448"/>
              <w:spacing w:after="0"/>
              <w:rPr>
                <w:sz w:val="20"/>
                <w:szCs w:val="20"/>
                <w:color w:val="auto"/>
              </w:rPr>
            </w:pPr>
            <w:r>
              <w:rPr>
                <w:rFonts w:ascii="Arial" w:cs="Arial" w:eastAsia="Arial" w:hAnsi="Arial"/>
                <w:sz w:val="14"/>
                <w:szCs w:val="14"/>
                <w:b w:val="1"/>
                <w:bCs w:val="1"/>
                <w:color w:val="auto"/>
              </w:rPr>
              <w:t>Number of</w:t>
            </w: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6"/>
        </w:trPr>
        <w:tc>
          <w:tcPr>
            <w:tcW w:w="1400" w:type="dxa"/>
            <w:vAlign w:val="bottom"/>
          </w:tcPr>
          <w:p>
            <w:pPr>
              <w:jc w:val="center"/>
              <w:ind w:right="448"/>
              <w:spacing w:after="0"/>
              <w:rPr>
                <w:sz w:val="20"/>
                <w:szCs w:val="20"/>
                <w:color w:val="auto"/>
              </w:rPr>
            </w:pPr>
            <w:r>
              <w:rPr>
                <w:rFonts w:ascii="Arial" w:cs="Arial" w:eastAsia="Arial" w:hAnsi="Arial"/>
                <w:sz w:val="14"/>
                <w:szCs w:val="14"/>
                <w:b w:val="1"/>
                <w:bCs w:val="1"/>
                <w:color w:val="auto"/>
              </w:rPr>
              <w:t>Shares</w:t>
            </w: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0"/>
        </w:trPr>
        <w:tc>
          <w:tcPr>
            <w:tcW w:w="1400" w:type="dxa"/>
            <w:vAlign w:val="bottom"/>
          </w:tcPr>
          <w:p>
            <w:pPr>
              <w:jc w:val="center"/>
              <w:ind w:right="448"/>
              <w:spacing w:after="0" w:line="141" w:lineRule="exact"/>
              <w:rPr>
                <w:sz w:val="20"/>
                <w:szCs w:val="20"/>
                <w:color w:val="auto"/>
              </w:rPr>
            </w:pPr>
            <w:r>
              <w:rPr>
                <w:rFonts w:ascii="Arial" w:cs="Arial" w:eastAsia="Arial" w:hAnsi="Arial"/>
                <w:sz w:val="14"/>
                <w:szCs w:val="14"/>
                <w:b w:val="1"/>
                <w:bCs w:val="1"/>
                <w:color w:val="auto"/>
              </w:rPr>
              <w:t>Beneficially</w:t>
            </w:r>
          </w:p>
        </w:tc>
        <w:tc>
          <w:tcPr>
            <w:tcW w:w="12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rPr>
              <w:t>Before the</w:t>
            </w:r>
          </w:p>
        </w:tc>
        <w:tc>
          <w:tcPr>
            <w:tcW w:w="64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After the</w:t>
            </w:r>
          </w:p>
        </w:tc>
      </w:tr>
      <w:tr>
        <w:trPr>
          <w:trHeight w:val="177"/>
        </w:trPr>
        <w:tc>
          <w:tcPr>
            <w:tcW w:w="140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Owned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520" w:type="dxa"/>
            <w:vAlign w:val="bottom"/>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Offering</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33,772,242</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33,595,580</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22,005,055</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13,311,702</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10,984,497</w:t>
      </w:r>
    </w:p>
    <w:p>
      <w:pPr>
        <w:spacing w:after="0" w:line="20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7,541,308</w:t>
      </w:r>
    </w:p>
    <w:p>
      <w:pPr>
        <w:spacing w:after="0" w:line="3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2,564,002</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159,687</w:t>
      </w:r>
    </w:p>
    <w:p>
      <w:pPr>
        <w:spacing w:after="0" w:line="20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316,943</w:t>
      </w:r>
    </w:p>
    <w:p>
      <w:pPr>
        <w:spacing w:after="0" w:line="3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2,250,000</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33,772,242</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33,593,580</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13,311,702</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93,509,464</w:t>
      </w:r>
    </w:p>
    <w:p>
      <w:pPr>
        <w:spacing w:after="0" w:line="182" w:lineRule="exact"/>
        <w:rPr>
          <w:sz w:val="20"/>
          <w:szCs w:val="20"/>
          <w:color w:val="auto"/>
        </w:rPr>
      </w:pPr>
    </w:p>
    <w:p>
      <w:pPr>
        <w:sectPr>
          <w:pgSz w:w="11900" w:h="16838" w:orient="portrait"/>
          <w:cols w:equalWidth="0" w:num="2">
            <w:col w:w="7080" w:space="720"/>
            <w:col w:w="3300"/>
          </w:cols>
          <w:pgMar w:left="320" w:top="455" w:right="479" w:bottom="1440" w:gutter="0" w:footer="0" w:header="0"/>
          <w:type w:val="continuous"/>
        </w:sectPr>
      </w:pPr>
    </w:p>
    <w:p>
      <w:pPr>
        <w:ind w:left="660" w:hanging="544"/>
        <w:spacing w:after="0"/>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12" w:lineRule="exact"/>
        <w:rPr>
          <w:sz w:val="20"/>
          <w:szCs w:val="20"/>
          <w:color w:val="auto"/>
        </w:rPr>
      </w:pPr>
    </w:p>
    <w:p>
      <w:pPr>
        <w:ind w:left="660" w:right="20" w:hanging="544"/>
        <w:spacing w:after="0" w:line="220"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8,529,997 shares of common stock issuable upon conversion of Series Seed convertible preferred stock, (ii) 18,366,771 shares of common stock issuable upon conversion of Series A convertible preferred stock, (iii) 5,479,151 shares of common stock issuable upon conversion of Series B convertible preferred stock and (iv) 1,396,323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94022.</w:t>
      </w:r>
    </w:p>
    <w:p>
      <w:pPr>
        <w:spacing w:after="0" w:line="3" w:lineRule="exact"/>
        <w:rPr>
          <w:rFonts w:ascii="Arial" w:cs="Arial" w:eastAsia="Arial" w:hAnsi="Arial"/>
          <w:sz w:val="24"/>
          <w:szCs w:val="24"/>
          <w:color w:val="auto"/>
          <w:vertAlign w:val="superscript"/>
        </w:rPr>
      </w:pPr>
    </w:p>
    <w:p>
      <w:pPr>
        <w:ind w:left="660" w:hanging="544"/>
        <w:spacing w:after="0" w:line="223"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31,592,140 shares held by OrbiMed Private Investments V, LP, or OPI V, (ii) 600,432 shares held by OrbiMed Genesis Master Fund, L.P., or Genesis Master Fund and (iii) 1,401,008 shares held by The Biotech Growth Trust PLC, or Biotech Growth Trust. Dr. Peter Thompson is an employee of OrbiMed Advisors LLC, or OrbiMed Advisors, and a member of our board of directors. OrbiMed Capital GP V LLC, or OrbiMed GP V, is the general partner of OPI V and OrbiMed Advisors is the managing member of OrbiMed GP V. OrbiMed Genesis GP LLC, or Genesis GP, is the general partner of Genesis Master Fund and OrbiMed Advisors is the managing member of Genesis GP. By virtue of such relationships, OrbiMed GP V, Genesis GP and OrbiMed Advisors may be deemed to have voting and investment power over the securities held by OPI V, Genesis Master Fund and Biotech Growth Trust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and Genesis Master Fund. The business address of OPI V, Genesis Master Fund and Biotech Growth Trust is c/o OrbiMed Advisors LLC, 601 Lexington Avenue, 54th Floor, New York, NY 10022.</w:t>
      </w:r>
    </w:p>
    <w:p>
      <w:pPr>
        <w:spacing w:after="0" w:line="4" w:lineRule="exact"/>
        <w:rPr>
          <w:rFonts w:ascii="Arial" w:cs="Arial" w:eastAsia="Arial" w:hAnsi="Arial"/>
          <w:sz w:val="24"/>
          <w:szCs w:val="24"/>
          <w:color w:val="auto"/>
          <w:vertAlign w:val="superscript"/>
        </w:rPr>
      </w:pPr>
    </w:p>
    <w:p>
      <w:pPr>
        <w:ind w:left="660" w:hanging="544"/>
        <w:spacing w:after="0"/>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3,652,767 shares held of record by Greenland A LLC, (ii) 3,956,248 shares held of record by Greenland FP LLC, (iii) 698,161 shares held of record by Greenland NFP LLC, and (iv) 13,697,879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0" w:hanging="544"/>
        <w:spacing w:after="0" w:line="209"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13,311,702 shares held by Nextech V Oncology S.C.S., SICAV-SIF. Dr.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Nextech V GP S.à r.l. is the general partner of Nextech V Oncology S.C.S., SICAV-SIF. Dalia Bleyer, James Pledger and Thomas Lips are Managers of Nextech V GP S.à r.l.</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5" w:right="479" w:bottom="1440" w:gutter="0" w:footer="0" w:header="0"/>
          <w:type w:val="continuous"/>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both"/>
        <w:ind w:left="660"/>
        <w:spacing w:after="0" w:line="246" w:lineRule="auto"/>
        <w:rPr>
          <w:sz w:val="20"/>
          <w:szCs w:val="20"/>
          <w:color w:val="auto"/>
        </w:rPr>
      </w:pPr>
      <w:r>
        <w:rPr>
          <w:rFonts w:ascii="Arial" w:cs="Arial" w:eastAsia="Arial" w:hAnsi="Arial"/>
          <w:sz w:val="14"/>
          <w:szCs w:val="14"/>
          <w:color w:val="auto"/>
        </w:rPr>
        <w:t>and each of Nextech V GP S.à r.l. and Messrs. Dalia Bleyer, James Pledger and Thomas Lips may be deemed to share voting and investment power with respect to the shares reported herein and disclaim beneficial ownership over such shares, except to the extent of their respective pecuniary interest therein, if any. The address of the entities listed herein is 8 rue Lou Hemmer L-1748 Senningerberg, Luxembourg.</w:t>
      </w:r>
    </w:p>
    <w:p>
      <w:pPr>
        <w:spacing w:after="0" w:line="1" w:lineRule="exact"/>
        <w:rPr>
          <w:sz w:val="20"/>
          <w:szCs w:val="20"/>
          <w:color w:val="auto"/>
        </w:rPr>
      </w:pPr>
    </w:p>
    <w:p>
      <w:pPr>
        <w:ind w:left="660" w:right="120" w:hanging="544"/>
        <w:spacing w:after="0" w:line="213"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10,984,497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w:t>
      </w:r>
    </w:p>
    <w:p>
      <w:pPr>
        <w:ind w:left="660"/>
        <w:spacing w:after="0"/>
        <w:rPr>
          <w:rFonts w:ascii="Arial" w:cs="Arial" w:eastAsia="Arial" w:hAnsi="Arial"/>
          <w:sz w:val="24"/>
          <w:szCs w:val="24"/>
          <w:color w:val="auto"/>
          <w:vertAlign w:val="superscript"/>
        </w:rPr>
      </w:pPr>
      <w:r>
        <w:rPr>
          <w:rFonts w:ascii="Arial" w:cs="Arial" w:eastAsia="Arial" w:hAnsi="Arial"/>
          <w:sz w:val="14"/>
          <w:szCs w:val="14"/>
          <w:color w:val="auto"/>
        </w:rPr>
        <w:t>55 Railroad Avenue, Greenwich, Connecticut 06830.</w:t>
      </w:r>
    </w:p>
    <w:p>
      <w:pPr>
        <w:spacing w:after="0" w:line="1" w:lineRule="exact"/>
        <w:rPr>
          <w:rFonts w:ascii="Arial" w:cs="Arial" w:eastAsia="Arial" w:hAnsi="Arial"/>
          <w:sz w:val="24"/>
          <w:szCs w:val="24"/>
          <w:color w:val="auto"/>
          <w:vertAlign w:val="superscript"/>
        </w:rPr>
      </w:pPr>
    </w:p>
    <w:p>
      <w:pPr>
        <w:ind w:left="660" w:right="180" w:hanging="544"/>
        <w:spacing w:after="0" w:line="195"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(i) 1,200,000 shares of common stock held by The Mack-Mulligan Revocable Trust, of which Dr. David Mack is a co-trustee, (ii) 300,000 shares of common stock held by Mack/Mulligan 2020 Irrevocable Descendants’ Trust, of which Dr. Mack is a co-trustee and (iii) 6,041,308 shares of common stock issuable pursuant to options held directly by Dr. Mack, exercisable within 60 days of July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2,564,002 shares of common stock issuable pursuant to options held directly by Winston Kung, exercisable within 60 days of July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159,687 shares of common stock issuable pursuant to options held directly by Dr. Deepika Jalota, exercisable within 60 days of July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316,943 shares of common stock issuable pursuant to options held directly by Dr. Richard Heyman, exercisable within 60 days of July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2,250,000 shares of common stock held directly by Dr. Arnold Levine.</w:t>
      </w:r>
    </w:p>
    <w:p>
      <w:pPr>
        <w:ind w:left="660" w:right="120" w:hanging="544"/>
        <w:spacing w:after="0" w:line="185"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(i) 84,427,524 shares beneficially owned by our current executive officers and directors as of July 31, 2020 and (ii) 9,081,940 shares subject to options, exercisable within 60 days of July 31, 2020, of which 7,796,813 are vested as of such date.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and the filing of our amended and restated certificate of incorporation in connection with this</w:t>
      </w:r>
    </w:p>
    <w:p>
      <w:pPr>
        <w:spacing w:after="0" w:line="18"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offering, our authorized capital stock will consist of shares of common stock, par value $0.00001 per share, and shares of preferred stock, par value $0.00001 per share.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Based on 16,038,590 shares of common stock outstanding as of June 30, 2020, and after giving effect to the conversion of all of our outstanding convertible preferred stock into an aggregate of 148,413,322 shares of common stock, including the shares issuable upon the conversion of our Series D convertible preferred stock issued and sold in July 2020, which will occur immediately prior to the</w:t>
      </w:r>
    </w:p>
    <w:p>
      <w:pPr>
        <w:spacing w:after="0" w:line="1" w:lineRule="exact"/>
        <w:rPr>
          <w:sz w:val="20"/>
          <w:szCs w:val="20"/>
          <w:color w:val="auto"/>
        </w:rPr>
      </w:pPr>
    </w:p>
    <w:p>
      <w:pPr>
        <w:jc w:val="both"/>
        <w:ind w:left="120" w:right="220"/>
        <w:spacing w:after="0" w:line="242" w:lineRule="auto"/>
        <w:rPr>
          <w:sz w:val="20"/>
          <w:szCs w:val="20"/>
          <w:color w:val="auto"/>
        </w:rPr>
      </w:pPr>
      <w:r>
        <w:rPr>
          <w:rFonts w:ascii="Arial" w:cs="Arial" w:eastAsia="Arial" w:hAnsi="Arial"/>
          <w:sz w:val="18"/>
          <w:szCs w:val="18"/>
          <w:color w:val="auto"/>
        </w:rPr>
        <w:t>completion of this offering and the issuance of shares of common stock in this offering, there will be shares of common stock outstanding upon the completion of this offering. Upon the closing of our Series D convertible preferred stock financing in July 2020, we had 37 stockholders of record.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5" w:right="49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up to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120" w:firstLine="551"/>
        <w:spacing w:after="0" w:line="262" w:lineRule="auto"/>
        <w:rPr>
          <w:sz w:val="20"/>
          <w:szCs w:val="20"/>
          <w:color w:val="auto"/>
        </w:rPr>
      </w:pPr>
      <w:r>
        <w:rPr>
          <w:rFonts w:ascii="Arial" w:cs="Arial" w:eastAsia="Arial" w:hAnsi="Arial"/>
          <w:sz w:val="17"/>
          <w:szCs w:val="17"/>
          <w:color w:val="auto"/>
        </w:rPr>
        <w:t>As of June 30, 2020, we had outstanding options to purchase an aggregate of 20,653,300 shares of our common stock, with a weighted-average exercise price of $0.50 per share, under our 2013 Equity Incentive Plan, or 2013 Plan. After June 30, 2020, we issued</w:t>
      </w:r>
    </w:p>
    <w:p>
      <w:pPr>
        <w:ind w:left="120" w:right="160"/>
        <w:spacing w:after="0" w:line="250" w:lineRule="auto"/>
        <w:rPr>
          <w:sz w:val="20"/>
          <w:szCs w:val="20"/>
          <w:color w:val="auto"/>
        </w:rPr>
      </w:pPr>
      <w:r>
        <w:rPr>
          <w:rFonts w:ascii="Arial" w:cs="Arial" w:eastAsia="Arial" w:hAnsi="Arial"/>
          <w:sz w:val="18"/>
          <w:szCs w:val="18"/>
          <w:color w:val="auto"/>
        </w:rPr>
        <w:t>options to purchase an aggregate of shares of our common stock, with a weighted-average exercise price of $ per share, under our 2013 Plan.</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56,866 shares of our Series Seed convertible preferred stock at $0.3517 per share. The warrant will be converted into a warrant to purchase an aggregate of 56,866 shares of our common stock, with an exercise price of $0.3517 per share, upon the completion of this offering.</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148,470,188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5" w:right="49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148,413,322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20" w:hanging="4"/>
        <w:spacing w:after="0" w:line="242" w:lineRule="auto"/>
        <w:tabs>
          <w:tab w:leader="none" w:pos="3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500" w:right="8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two-thirds of the voting power of all the then outstanding shares of the common stock. Additionally, our amended and restated certificate of incorporation will provide that our bylaws may be amended, altered or repealed by the board of directors.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list our common stock on the Nasdaq Global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660"/>
        <w:spacing w:after="0"/>
        <w:tabs>
          <w:tab w:leader="none" w:pos="5840" w:val="left"/>
          <w:tab w:leader="none" w:pos="1012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00"/>
          </w:cols>
          <w:pgMar w:left="320" w:top="455" w:right="5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120" w:firstLine="551"/>
        <w:spacing w:after="0" w:line="262" w:lineRule="auto"/>
        <w:rPr>
          <w:sz w:val="20"/>
          <w:szCs w:val="20"/>
          <w:color w:val="auto"/>
        </w:rPr>
      </w:pPr>
      <w:r>
        <w:rPr>
          <w:rFonts w:ascii="Arial" w:cs="Arial" w:eastAsia="Arial" w:hAnsi="Arial"/>
          <w:sz w:val="17"/>
          <w:szCs w:val="17"/>
          <w:color w:val="auto"/>
        </w:rPr>
        <w:t>Upon completion of this offering, based on our shares of common stock outstanding as of June 30, 2020 and after giving effect to the conversion of all of the 148,413,322 shares of our convertible preferred stock outstanding at June 30, 2020 and the conversion of all of</w:t>
      </w:r>
    </w:p>
    <w:p>
      <w:pPr>
        <w:ind w:left="120" w:right="460"/>
        <w:spacing w:after="0" w:line="234" w:lineRule="auto"/>
        <w:rPr>
          <w:sz w:val="20"/>
          <w:szCs w:val="20"/>
          <w:color w:val="auto"/>
        </w:rPr>
      </w:pPr>
      <w:r>
        <w:rPr>
          <w:rFonts w:ascii="Arial" w:cs="Arial" w:eastAsia="Arial" w:hAnsi="Arial"/>
          <w:sz w:val="18"/>
          <w:szCs w:val="18"/>
          <w:color w:val="auto"/>
        </w:rPr>
        <w:t>our Series D convertible preferred stock issued and sold in July 2020 into 28,020,172 shares of common stock, shares of our common stock will be outstanding, or shares of common stock if the underwriters exercise their option to purchase additional</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9" w:lineRule="exact"/>
        <w:rPr>
          <w:sz w:val="20"/>
          <w:szCs w:val="20"/>
          <w:color w:val="auto"/>
        </w:rPr>
      </w:pPr>
    </w:p>
    <w:p>
      <w:pPr>
        <w:ind w:left="1480" w:hanging="824"/>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shares of common stock immediately after the completion of this offering, assuming no exercise by the underwriters of their option to purchase additional shares; or</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5" w:right="4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980"/>
          </w:cols>
          <w:pgMar w:left="320" w:top="455" w:right="5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5" w:right="5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20"/>
          </w:cols>
          <w:pgMar w:left="320" w:top="455" w:right="6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ind w:left="120"/>
        <w:spacing w:after="0" w:line="234"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-1905</wp:posOffset>
            </wp:positionV>
            <wp:extent cx="7886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040" w:type="dxa"/>
            <w:vAlign w:val="bottom"/>
            <w:gridSpan w:val="3"/>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w:t>
            </w:r>
          </w:p>
        </w:tc>
        <w:tc>
          <w:tcPr>
            <w:tcW w:w="1980" w:type="dxa"/>
            <w:vAlign w:val="bottom"/>
            <w:gridSpan w:val="4"/>
          </w:tcPr>
          <w:p>
            <w:pPr>
              <w:ind w:left="280"/>
              <w:spacing w:after="0"/>
              <w:rPr>
                <w:sz w:val="20"/>
                <w:szCs w:val="20"/>
                <w:color w:val="auto"/>
              </w:rPr>
            </w:pPr>
            <w:r>
              <w:rPr>
                <w:rFonts w:ascii="Arial" w:cs="Arial" w:eastAsia="Arial" w:hAnsi="Arial"/>
                <w:sz w:val="18"/>
                <w:szCs w:val="18"/>
                <w:color w:val="auto"/>
              </w:rPr>
              <w:t>additional shares.</w:t>
            </w:r>
          </w:p>
        </w:tc>
      </w:tr>
      <w:tr>
        <w:trPr>
          <w:trHeight w:val="366"/>
        </w:trPr>
        <w:tc>
          <w:tcPr>
            <w:tcW w:w="16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70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Total</w:t>
            </w:r>
          </w:p>
        </w:tc>
        <w:tc>
          <w:tcPr>
            <w:tcW w:w="7440" w:type="dxa"/>
            <w:vAlign w:val="bottom"/>
            <w:gridSpan w:val="2"/>
          </w:tcPr>
          <w:p>
            <w:pPr>
              <w:ind w:left="70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355"/>
        </w:trPr>
        <w:tc>
          <w:tcPr>
            <w:tcW w:w="11020" w:type="dxa"/>
            <w:vAlign w:val="bottom"/>
            <w:gridSpan w:val="7"/>
          </w:tcPr>
          <w:p>
            <w:pPr>
              <w:ind w:left="540"/>
              <w:spacing w:after="0"/>
              <w:rPr>
                <w:sz w:val="20"/>
                <w:szCs w:val="20"/>
                <w:color w:val="auto"/>
              </w:rPr>
            </w:pPr>
            <w:r>
              <w:rPr>
                <w:rFonts w:ascii="Arial" w:cs="Arial" w:eastAsia="Arial" w:hAnsi="Arial"/>
                <w:sz w:val="18"/>
                <w:szCs w:val="18"/>
                <w:color w:val="auto"/>
              </w:rPr>
              <w:t>We estimate that our total out of pocket expenses for this offering, excluding the underwriting discounts and commissions, will be</w:t>
            </w: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approximately $</w:t>
            </w:r>
          </w:p>
        </w:tc>
        <w:tc>
          <w:tcPr>
            <w:tcW w:w="8460" w:type="dxa"/>
            <w:vAlign w:val="bottom"/>
            <w:gridSpan w:val="4"/>
          </w:tcPr>
          <w:p>
            <w:pPr>
              <w:ind w:left="320"/>
              <w:spacing w:after="0"/>
              <w:rPr>
                <w:sz w:val="20"/>
                <w:szCs w:val="20"/>
                <w:color w:val="auto"/>
              </w:rPr>
            </w:pPr>
            <w:r>
              <w:rPr>
                <w:rFonts w:ascii="Arial" w:cs="Arial" w:eastAsia="Arial" w:hAnsi="Arial"/>
                <w:sz w:val="18"/>
                <w:szCs w:val="18"/>
                <w:color w:val="auto"/>
              </w:rPr>
              <w:t>. We have also agreed to reimburse the underwriters certain of their expenses in an amount up to $</w:t>
            </w:r>
          </w:p>
        </w:tc>
        <w:tc>
          <w:tcPr>
            <w:tcW w:w="9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76" w:lineRule="exact"/>
        <w:rPr>
          <w:sz w:val="20"/>
          <w:szCs w:val="20"/>
          <w:color w:val="auto"/>
        </w:rPr>
      </w:pPr>
    </w:p>
    <w:p>
      <w:pPr>
        <w:jc w:val="both"/>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0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list our common stock on the Nasdaq Global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w:t>
      </w:r>
    </w:p>
    <w:p>
      <w:pPr>
        <w:spacing w:after="0" w:line="1"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168"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5" w:right="49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or each, a Member State, no shares of our common stock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underwriter to publish a prospectus pursuant to Article 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Prospectus Regulation or supplement a prospectus pursuant to Article 23 of the Prospectus Regulation.</w:t>
      </w:r>
    </w:p>
    <w:p>
      <w:pPr>
        <w:spacing w:after="0" w:line="145"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14"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In the United Kingdom, this prospectus is only addressed to and directed at qualified investors who are (i) investment professionals falling within Article 19(5) of the Financial Services and Markets Act 2000, as amended (Financial Promotion), Order 2005 (the Order) or</w:t>
      </w:r>
    </w:p>
    <w:p>
      <w:pPr>
        <w:ind w:left="120" w:right="40" w:hanging="4"/>
        <w:spacing w:after="0"/>
        <w:tabs>
          <w:tab w:leader="none" w:pos="3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5" w:right="4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8"/>
        </w:trPr>
        <w:tc>
          <w:tcPr>
            <w:tcW w:w="105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Balance Sheets as of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Operations and Comprehensive Loss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Statements of Cash Flows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Notes to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26"/>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Condensed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Balance Sheets as of December 31, 2019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Condensed Statements of Operations and Comprehensive Loss for the Six Months Ended June 30, 2019 and 2020</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8"/>
        </w:trPr>
        <w:tc>
          <w:tcPr>
            <w:tcW w:w="10520" w:type="dxa"/>
            <w:vAlign w:val="bottom"/>
            <w:gridSpan w:val="5"/>
          </w:tcPr>
          <w:p>
            <w:pPr>
              <w:ind w:left="480"/>
              <w:spacing w:after="0" w:line="198" w:lineRule="exact"/>
              <w:rPr>
                <w:rFonts w:ascii="Arial" w:cs="Arial" w:eastAsia="Arial" w:hAnsi="Arial"/>
                <w:sz w:val="18"/>
                <w:szCs w:val="18"/>
                <w:color w:val="0000EE"/>
              </w:rPr>
            </w:pPr>
            <w:hyperlink w:anchor="page235">
              <w:r>
                <w:rPr>
                  <w:rFonts w:ascii="Arial" w:cs="Arial" w:eastAsia="Arial" w:hAnsi="Arial"/>
                  <w:sz w:val="18"/>
                  <w:szCs w:val="18"/>
                  <w:color w:val="0000EE"/>
                </w:rPr>
                <w:t>Condensed Statements of Convertible Preferred Stock and Stockholders’ (Deficit) Equity for the Six Months Ended June 30,</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235">
              <w:r>
                <w:rPr>
                  <w:rFonts w:ascii="Arial" w:cs="Arial" w:eastAsia="Arial" w:hAnsi="Arial"/>
                  <w:sz w:val="18"/>
                  <w:szCs w:val="18"/>
                  <w:color w:val="0000EE"/>
                  <w:w w:val="98"/>
                </w:rPr>
                <w:t>2019 and 2020</w:t>
              </w:r>
            </w:hyperlink>
          </w:p>
        </w:tc>
        <w:tc>
          <w:tcPr>
            <w:tcW w:w="8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spacing w:after="0"/>
              <w:rPr>
                <w:sz w:val="16"/>
                <w:szCs w:val="16"/>
                <w:color w:val="auto"/>
              </w:rPr>
            </w:pPr>
          </w:p>
        </w:tc>
        <w:tc>
          <w:tcPr>
            <w:tcW w:w="9860" w:type="dxa"/>
            <w:vAlign w:val="bottom"/>
            <w:gridSpan w:val="3"/>
          </w:tcPr>
          <w:p>
            <w:pPr>
              <w:spacing w:after="0" w:line="187" w:lineRule="exact"/>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Condensed Statements of Cash Flows for the Six Months Ended June 30, 2019 and 2020</w:t>
              </w:r>
            </w:hyperlink>
          </w:p>
        </w:tc>
        <w:tc>
          <w:tcPr>
            <w:tcW w:w="540" w:type="dxa"/>
            <w:vAlign w:val="bottom"/>
          </w:tcPr>
          <w:p>
            <w:pPr>
              <w:jc w:val="right"/>
              <w:spacing w:after="0" w:line="187"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Notes to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5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5" w:right="5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0"/>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130,000,000 and 175,068,944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15,860,018 and 16,038,590 shares issued and outstanding at December 31, 2018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8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3"/>
          </w:tcPr>
          <w:p>
            <w:pPr>
              <w:jc w:val="center"/>
              <w:ind w:right="721"/>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9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6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rPr>
              <w:t>13,853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5,039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5,878</w:t>
            </w:r>
          </w:p>
        </w:tc>
      </w:tr>
      <w:tr>
        <w:trPr>
          <w:trHeight w:val="217"/>
        </w:trPr>
        <w:tc>
          <w:tcPr>
            <w:tcW w:w="6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7"/>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1,293</w:t>
            </w:r>
          </w:p>
        </w:tc>
      </w:tr>
      <w:tr>
        <w:trPr>
          <w:trHeight w:val="209"/>
        </w:trPr>
        <w:tc>
          <w:tcPr>
            <w:tcW w:w="692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10"/>
        </w:trPr>
        <w:tc>
          <w:tcPr>
            <w:tcW w:w="69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9"/>
        </w:trPr>
        <w:tc>
          <w:tcPr>
            <w:tcW w:w="692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800" w:type="dxa"/>
            <w:vAlign w:val="bottom"/>
          </w:tcPr>
          <w:p>
            <w:pPr>
              <w:jc w:val="right"/>
              <w:ind w:right="6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1"/>
              <w:spacing w:after="0" w:line="196" w:lineRule="exact"/>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w w:val="97"/>
              </w:rPr>
              <w:t>15,860,018</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15,980,859</w:t>
            </w: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(0.15)</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164,394,182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10"/>
        </w:trPr>
        <w:tc>
          <w:tcPr>
            <w:tcW w:w="2160" w:type="dxa"/>
            <w:vAlign w:val="bottom"/>
            <w:vMerge w:val="restart"/>
          </w:tcPr>
          <w:p>
            <w:pPr>
              <w:spacing w:after="0"/>
              <w:rPr>
                <w:sz w:val="20"/>
                <w:szCs w:val="20"/>
                <w:color w:val="auto"/>
              </w:rPr>
            </w:pPr>
            <w:r>
              <w:rPr>
                <w:rFonts w:ascii="Arial" w:cs="Arial" w:eastAsia="Arial" w:hAnsi="Arial"/>
                <w:sz w:val="18"/>
                <w:szCs w:val="18"/>
                <w:color w:val="auto"/>
              </w:rPr>
              <w:t>Balances at December</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1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31, 2017</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31, 2018</w:t>
            </w:r>
          </w:p>
        </w:tc>
        <w:tc>
          <w:tcPr>
            <w:tcW w:w="1080" w:type="dxa"/>
            <w:vAlign w:val="bottom"/>
          </w:tcPr>
          <w:p>
            <w:pPr>
              <w:jc w:val="right"/>
              <w:spacing w:after="0"/>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28,798,050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120,393,150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178,572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16,038,590</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-3445510</wp:posOffset>
            </wp:positionV>
            <wp:extent cx="6995160" cy="3454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460"/>
            <w:col w:w="630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6"/>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10"/>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5" w:right="5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580"/>
        <w:spacing w:after="0" w:line="276" w:lineRule="auto"/>
        <w:rPr>
          <w:sz w:val="20"/>
          <w:szCs w:val="20"/>
          <w:color w:val="auto"/>
        </w:rPr>
      </w:pPr>
      <w:r>
        <w:rPr>
          <w:rFonts w:ascii="Arial" w:cs="Arial" w:eastAsia="Arial" w:hAnsi="Arial"/>
          <w:sz w:val="18"/>
          <w:szCs w:val="18"/>
          <w:color w:val="auto"/>
        </w:rPr>
        <w:t>the control of the Company. The Company’s policy is not to accrete the carrying value and related issuance costs of the convertible preferred stock to its redemption value until it is probable that the security will become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72"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 xml:space="preserve">Basic net loss per share is computed using the “two-class” method which includes the weighted average number of shares of common stock outstanding during the period and other securities that 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xml:space="preserve">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 xml:space="preserve">uncertainty of cash flows arising from leases. In June 2020, the FASB also issued ASU 2020-05,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and Leases (Topic 842): Effective Dates for Certain Entities, </w:t>
      </w:r>
      <w:r>
        <w:rPr>
          <w:rFonts w:ascii="Arial" w:cs="Arial" w:eastAsia="Arial" w:hAnsi="Arial"/>
          <w:sz w:val="17"/>
          <w:szCs w:val="17"/>
          <w:color w:val="auto"/>
        </w:rPr>
        <w:t>which requires nonpublic entities to adopt the provisions of ASU</w:t>
      </w:r>
      <w:r>
        <w:rPr>
          <w:rFonts w:ascii="Arial" w:cs="Arial" w:eastAsia="Arial" w:hAnsi="Arial"/>
          <w:sz w:val="17"/>
          <w:szCs w:val="17"/>
          <w:i w:val="1"/>
          <w:iCs w:val="1"/>
          <w:color w:val="auto"/>
        </w:rPr>
        <w:t xml:space="preserve"> </w:t>
      </w:r>
      <w:r>
        <w:rPr>
          <w:rFonts w:ascii="Arial" w:cs="Arial" w:eastAsia="Arial" w:hAnsi="Arial"/>
          <w:sz w:val="17"/>
          <w:szCs w:val="17"/>
          <w:color w:val="auto"/>
        </w:rPr>
        <w:t>2016-02 for fiscal years beginning after December 15, 2021, and for interim periods within fiscal years beginning after December 15, 2022.</w:t>
      </w:r>
    </w:p>
    <w:p>
      <w:pPr>
        <w:spacing w:after="0" w:line="147"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6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9"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306" w:lineRule="auto"/>
        <w:rPr>
          <w:sz w:val="20"/>
          <w:szCs w:val="20"/>
          <w:color w:val="auto"/>
        </w:rPr>
      </w:pPr>
      <w:r>
        <w:rPr>
          <w:rFonts w:ascii="Arial" w:cs="Arial" w:eastAsia="Arial" w:hAnsi="Arial"/>
          <w:sz w:val="17"/>
          <w:szCs w:val="17"/>
          <w:color w:val="auto"/>
        </w:rPr>
        <w:t>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2"/>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is authorized to issue up to 120,483,538 shares of convertible preferred stock with a par value of $0.00001 per share. 8,729,029 shares have been designated as Series Seed convertible preferred stock (Series Seed Preferred), 42,526,138 shares have been designated as Series A convertible preferred stock (Series A Preferred), 40,396,799 shares have been designated as Series B convertible preferred stock (Series B Preferred) and 28,831,572 shares have been designated as Series C convertible preferred stock (Series C Preferred). At December 31, 2019, the Company had an aggregate of 120,393,150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396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 Stock</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396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Preference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8,729,029</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30,593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42,526,138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40,396,799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28,831,572</w:t>
            </w:r>
          </w:p>
        </w:tc>
        <w:tc>
          <w:tcPr>
            <w:tcW w:w="380" w:type="dxa"/>
            <w:vAlign w:val="bottom"/>
          </w:tcPr>
          <w:p>
            <w:pPr>
              <w:spacing w:after="0"/>
              <w:rPr>
                <w:sz w:val="17"/>
                <w:szCs w:val="17"/>
                <w:color w:val="auto"/>
              </w:rPr>
            </w:pP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28,798,050</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61,705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28,798,050</w:t>
            </w:r>
          </w:p>
        </w:tc>
      </w:tr>
      <w:tr>
        <w:trPr>
          <w:trHeight w:val="27"/>
        </w:trPr>
        <w:tc>
          <w:tcPr>
            <w:tcW w:w="3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120,483,538</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120,393,150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120,393,150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$0.3517 for Series Seed Preferred, $0.7078 for Series A Preferred, $1.8251 for Series B Preferred and $2.1485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$2.1485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$0.3517, $0.7078, $1.8251 and $2.1485,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$2.1485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The Company is authorized to issue up to 175,068,944 shares of common stock with a par value of $0.00001 per share. At December 31, 2018 and 2019, there were 15,860,018 and 16,038,590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14,140,032</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3,669,997</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8,058,357</w:t>
            </w:r>
          </w:p>
        </w:tc>
      </w:tr>
      <w:tr>
        <w:trPr>
          <w:trHeight w:val="27"/>
        </w:trPr>
        <w:tc>
          <w:tcPr>
            <w:tcW w:w="8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109,461,995</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143,081,473</w:t>
            </w:r>
          </w:p>
        </w:tc>
      </w:tr>
      <w:tr>
        <w:trPr>
          <w:trHeight w:val="20"/>
        </w:trPr>
        <w:tc>
          <w:tcPr>
            <w:tcW w:w="8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2014, the Company adopted the 2013 Stock Plan (the “Plan”). As of December 31, 2019, there were 23,363,923 shares of common stock authorized and 8,058,357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6,448,937</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11,361,092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(4,215,465)</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4,215,465</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1,436,525</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(1,436,525)</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3,669,997</w:t>
            </w:r>
          </w:p>
        </w:tc>
        <w:tc>
          <w:tcPr>
            <w:tcW w:w="5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14,140,032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5,000,000</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(1,315,000)</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1,315,000</w:t>
            </w:r>
          </w:p>
        </w:tc>
        <w:tc>
          <w:tcPr>
            <w:tcW w:w="26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0.67</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703,360</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(703,360)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(178,572)</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0.56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8,058,357</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14,573,100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0.39</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9,884,600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0.34</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11,509,852</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6"/>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$0.61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$0.67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626,610 stock options at a grant-date fair value of $0.49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rPr>
              <w:t>December 31,</w:t>
            </w:r>
          </w:p>
        </w:tc>
        <w:tc>
          <w:tcPr>
            <w:tcW w:w="1280" w:type="dxa"/>
            <w:vAlign w:val="bottom"/>
            <w:tcBorders>
              <w:top w:val="single" w:sz="8" w:color="auto"/>
            </w:tcBorders>
            <w:gridSpan w:val="4"/>
          </w:tcPr>
          <w:p>
            <w:pPr>
              <w:jc w:val="right"/>
              <w:ind w:right="16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6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16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14,140,032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105,791,998</w:t>
            </w:r>
          </w:p>
        </w:tc>
        <w:tc>
          <w:tcPr>
            <w:tcW w:w="160" w:type="dxa"/>
            <w:vAlign w:val="bottom"/>
          </w:tcPr>
          <w:p>
            <w:pPr>
              <w:spacing w:after="0"/>
              <w:rPr>
                <w:sz w:val="18"/>
                <w:szCs w:val="18"/>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135,023,116</w:t>
            </w:r>
          </w:p>
        </w:tc>
        <w:tc>
          <w:tcPr>
            <w:tcW w:w="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6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20" w:type="dxa"/>
            <w:vAlign w:val="bottom"/>
            <w:gridSpan w:val="4"/>
          </w:tcPr>
          <w:p>
            <w:pPr>
              <w:jc w:val="right"/>
              <w:ind w:right="540"/>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7"/>
        </w:trPr>
        <w:tc>
          <w:tcPr>
            <w:tcW w:w="6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gridSpan w:val="2"/>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7"/>
              </w:rPr>
              <w:t>15,860,018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15,980,859</w:t>
            </w:r>
          </w:p>
        </w:tc>
        <w:tc>
          <w:tcPr>
            <w:tcW w:w="80" w:type="dxa"/>
            <w:vAlign w:val="bottom"/>
          </w:tcPr>
          <w:p>
            <w:pPr>
              <w:spacing w:after="0"/>
              <w:rPr>
                <w:sz w:val="17"/>
                <w:szCs w:val="17"/>
                <w:color w:val="auto"/>
              </w:rPr>
            </w:pPr>
          </w:p>
        </w:tc>
      </w:tr>
      <w:tr>
        <w:trPr>
          <w:trHeight w:val="27"/>
        </w:trPr>
        <w:tc>
          <w:tcPr>
            <w:tcW w:w="6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880" w:firstLine="551"/>
        <w:spacing w:after="0" w:line="276"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560"/>
        <w:spacing w:after="0" w:line="276" w:lineRule="auto"/>
        <w:rPr>
          <w:sz w:val="20"/>
          <w:szCs w:val="20"/>
          <w:color w:val="auto"/>
        </w:rPr>
      </w:pPr>
      <w:r>
        <w:rPr>
          <w:rFonts w:ascii="Arial" w:cs="Arial" w:eastAsia="Arial" w:hAnsi="Arial"/>
          <w:sz w:val="18"/>
          <w:szCs w:val="18"/>
          <w:color w:val="auto"/>
        </w:rPr>
        <w:t>outstanding shares of convertible preferred stock during the year ended December 31, 2019 into shares of common stock as if such conversion had occurred at January 1, 2019, inclusive of 28,020,172 shares of Series D preferred stock issued in July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7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spacing w:after="0"/>
              <w:rPr>
                <w:sz w:val="17"/>
                <w:szCs w:val="17"/>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15,980,859</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148,413,322</w:t>
            </w:r>
          </w:p>
        </w:tc>
      </w:t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164,394,182</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(0.15)</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7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73,278</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78,051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8,085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8,085</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651</w:t>
            </w:r>
          </w:p>
        </w:tc>
      </w:tr>
      <w:tr>
        <w:trPr>
          <w:trHeight w:val="210"/>
        </w:trPr>
        <w:tc>
          <w:tcPr>
            <w:tcW w:w="7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2"/>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2,837</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2,146</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2,907</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8"/>
                <w:szCs w:val="18"/>
                <w:color w:val="auto"/>
              </w:rPr>
              <w:t>Convertible preferred stock, accumulated liquidation value of $169,385, $169,385, and $0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at December 31, 2019, June 30, 2020 (unaudited), and pro forma June 30,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(unaudited), respectively (see Note 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32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175,068,944, 175,068,944, and 175,068,944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shares authorized; 16,038,590, 16,038,590, and 164,451,912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outstanding at December 31, 2019, June 30, 2020 (unaudited), and pro forma June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30, 2020 (unaudited),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244,549</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(90,661)</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7"/>
        </w:trPr>
        <w:tc>
          <w:tcPr>
            <w:tcW w:w="73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(85,008)</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153,895</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103,033</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89,102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159,042</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June 30, 2019</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6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10,165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11,760</w:t>
            </w: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3,979</w:t>
            </w:r>
          </w:p>
        </w:tc>
      </w:tr>
      <w:tr>
        <w:trPr>
          <w:trHeight w:val="217"/>
        </w:trPr>
        <w:tc>
          <w:tcPr>
            <w:tcW w:w="6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(15,739)</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w:t>
            </w:r>
          </w:p>
        </w:tc>
      </w:tr>
      <w:tr>
        <w:trPr>
          <w:trHeight w:val="210"/>
        </w:trPr>
        <w:tc>
          <w:tcPr>
            <w:tcW w:w="652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9"/>
        </w:trPr>
        <w:tc>
          <w:tcPr>
            <w:tcW w:w="65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9"/>
        </w:trPr>
        <w:tc>
          <w:tcPr>
            <w:tcW w:w="652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5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 — basic and diluted</w:t>
            </w:r>
          </w:p>
        </w:tc>
        <w:tc>
          <w:tcPr>
            <w:tcW w:w="1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(0.95)</w:t>
            </w: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w w:val="97"/>
              </w:rPr>
              <w:t>15,922,173</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16,038,590</w:t>
            </w: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 - basic and diluted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(0.09)</w:t>
            </w: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164,451,912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60" w:type="dxa"/>
            <w:vAlign w:val="bottom"/>
            <w:tcBorders>
              <w:right w:val="single" w:sz="8" w:color="auto"/>
            </w:tcBorders>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Convertible</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00" w:type="dxa"/>
            <w:vAlign w:val="bottom"/>
          </w:tcPr>
          <w:p>
            <w:pPr>
              <w:spacing w:after="0"/>
              <w:rPr>
                <w:sz w:val="8"/>
                <w:szCs w:val="8"/>
                <w:color w:val="auto"/>
              </w:rPr>
            </w:pPr>
          </w:p>
        </w:tc>
        <w:tc>
          <w:tcPr>
            <w:tcW w:w="2260" w:type="dxa"/>
            <w:vAlign w:val="bottom"/>
            <w:tcBorders>
              <w:right w:val="single" w:sz="8" w:color="auto"/>
            </w:tcBorders>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2260" w:type="dxa"/>
            <w:vAlign w:val="bottom"/>
            <w:tcBorders>
              <w:right w:val="single" w:sz="8" w:color="auto"/>
            </w:tcBorders>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5"/>
                <w:szCs w:val="5"/>
                <w:color w:val="auto"/>
              </w:rPr>
            </w:pPr>
          </w:p>
        </w:tc>
        <w:tc>
          <w:tcPr>
            <w:tcW w:w="1440" w:type="dxa"/>
            <w:vAlign w:val="bottom"/>
            <w:gridSpan w:val="3"/>
            <w:vMerge w:val="restart"/>
          </w:tcPr>
          <w:p>
            <w:pPr>
              <w:jc w:val="center"/>
              <w:ind w:left="21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2260" w:type="dxa"/>
            <w:vAlign w:val="bottom"/>
            <w:tcBorders>
              <w:right w:val="single" w:sz="8" w:color="auto"/>
            </w:tcBorders>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9"/>
                <w:szCs w:val="9"/>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6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2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color w:val="auto"/>
              </w:rPr>
              <w:t>Balance at December 31,</w:t>
            </w: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91,595,100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107,228</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15,860,018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Exercise of stock options</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178,572</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Stock-based</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Net loss (unaudited)</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0" w:type="dxa"/>
            <w:vAlign w:val="bottom"/>
            <w:gridSpan w:val="2"/>
          </w:tcPr>
          <w:p>
            <w:pPr>
              <w:jc w:val="center"/>
              <w:ind w:left="492"/>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Unrealized gain on</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(unaudited)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91,595,100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107,228</w:t>
            </w: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16,038,590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Balance at December 31,</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120,393,150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168,933</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16,038,590</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Stock-based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180"/>
        </w:trPr>
        <w:tc>
          <w:tcPr>
            <w:tcW w:w="2200" w:type="dxa"/>
            <w:vAlign w:val="bottom"/>
          </w:tcPr>
          <w:p>
            <w:pPr>
              <w:spacing w:after="0" w:line="180" w:lineRule="exact"/>
              <w:rPr>
                <w:sz w:val="20"/>
                <w:szCs w:val="20"/>
                <w:color w:val="auto"/>
              </w:rPr>
            </w:pPr>
            <w:r>
              <w:rPr>
                <w:rFonts w:ascii="Arial" w:cs="Arial" w:eastAsia="Arial" w:hAnsi="Arial"/>
                <w:sz w:val="18"/>
                <w:szCs w:val="18"/>
                <w:color w:val="auto"/>
              </w:rPr>
              <w:t>Unrealized gain on</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investments (unaudited)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ind w:left="6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120,393,150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168,933</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16,038,590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5,648</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(90,661)</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Issuance of Series 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Stock (unaudited)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28,020,172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69,970</w:t>
            </w:r>
          </w:p>
        </w:tc>
        <w:tc>
          <w:tcPr>
            <w:tcW w:w="40" w:type="dxa"/>
            <w:vAlign w:val="bottom"/>
          </w:tcPr>
          <w:p>
            <w:pPr>
              <w:spacing w:after="0"/>
              <w:rPr>
                <w:sz w:val="19"/>
                <w:szCs w:val="19"/>
                <w:color w:val="auto"/>
              </w:rPr>
            </w:pP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Conversion of convertible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into</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(148,413,322)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(238,903)</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148,413,322</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238,901</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238,903</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Pro forma balance at</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June 30, 2020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164,451,912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244,549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(90,661)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153,895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36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(12,129)</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(1,205)</w:t>
            </w:r>
          </w:p>
        </w:tc>
      </w:tr>
      <w:tr>
        <w:trPr>
          <w:trHeight w:val="210"/>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(14,618)</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34,600</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4,773</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 beginning of period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Unpaid offering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660" w:right="7240" w:hanging="544"/>
        <w:spacing w:after="0" w:line="360" w:lineRule="auto"/>
        <w:tabs>
          <w:tab w:leader="none" w:pos="309"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Formation and Business of the Company Organization</w:t>
      </w:r>
    </w:p>
    <w:p>
      <w:pPr>
        <w:ind w:left="120" w:right="22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six months ended June 30, 2020, the Company incurred a net loss of $15,221 and used $15,034 of cash for operations. At June 30, 2020, the Company had accumulated deficit of $90,661. Cash, cash equivalents and short-term marketable securities at June 30, 2020 were $86,136.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04"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2019, included elsewhere in this prospectus. Since the date of those financial statements, there have been no changes to its significant accounting policies except as noted below.</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unaudited interim condensed financial statements have been prepared on the same basis as the audited financial statements. In the opinion of the Company’s management, the accompanying unaudited interim consolidated financial statements contain all adjustments that are necessary to present fairly the Company’s financial position as of June 30, 2020, the results of its operations and other comprehensive loss for the six months ended June 30, 2020 and 2019, convertible preferred stock and stockholders’ deficit for the six months ended June 30, 2020 and 2019 and cash flows for the six months ended June 30, 2020 and 2019. Such adjustments are of a normal and recurring nature. The results for the six months ended June 30, 2020 are not necessarily indicative of the results for the year ending December 31, 2020, or for any future period. These interim financial statements should be read in conjunction with the audited financial statements as of and for the year ended December 31, 2019, and the notes thereto, which are included elsewhere in this prospectus.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5" w:right="51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ind w:left="338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six-months ended June 30, 2019 and 2020, the Company recorded $35 and $147 of amortization, respectively.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Company recorded $16 and $8 in other comprehensive income related to unrealized gains on marketable securities, net of tax for the six-months ended June 30, 2019 and 2020,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2020, inclusive of 28,020,172 shares of common stock issuable upon the conversion of the Company’s Series D convertible preferred stock (“Series D Preferred Stock”) issued in July 2020.</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closing of the Company’s qualified initial public offering (see Note 6), all of the outstanding shares of convertible preferred stock will automatically convert into shares of common stock. The unaudited pro forma condensed balance sheet and the unaudited pro forma condensed statements of convertible preferred stock and stockholders’ (deficit) equity give pro forma effect to the issuance and sale in July 2020 of an aggregate of 28,020,172 shares of the Company’s Series D Preferred Stock for gross proceeds of $70.0 million and the conversion of all issued and outstanding shares of convertible preferred stock as of June 30, 2020 into shares of common stock, inclusive of 28,020,172 shares of common stock issuable upon the conversion of the Company’s Series D Preferred Stock issued in July 2020. The shares of common stock expected to be issued and the proceeds expected to be received in the initial public offering (“IPO”) are excluded from such pro forma financial information.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Company capitalizes incremental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from the offering. If the Company terminates its plan for an IPO, any costs deferred will be expensed immediately. As of June 30, 2020, deferred offering costs were $1,475.</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ind w:left="338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8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04"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beginning after December 15, 2021, and interim periods within fiscal years beginning after December 15, 2022 for all non-public entities, with early adoption permitted. The Company is currently assessing the impact that adopting this standard will have on its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0"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5" w:right="4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2019 and June 30, 2020:</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center"/>
              <w:ind w:right="880"/>
              <w:spacing w:after="0"/>
              <w:rPr>
                <w:sz w:val="20"/>
                <w:szCs w:val="20"/>
                <w:color w:val="auto"/>
              </w:rPr>
            </w:pPr>
            <w:r>
              <w:rPr>
                <w:rFonts w:ascii="Arial" w:cs="Arial" w:eastAsia="Arial" w:hAnsi="Arial"/>
                <w:sz w:val="14"/>
                <w:szCs w:val="14"/>
                <w:b w:val="1"/>
                <w:bCs w:val="1"/>
                <w:color w:val="auto"/>
              </w:rPr>
              <w:t>As of June 30, 2020 (unaudited)</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Quoted priced in</w:t>
            </w:r>
          </w:p>
        </w:tc>
        <w:tc>
          <w:tcPr>
            <w:tcW w:w="60" w:type="dxa"/>
            <w:vAlign w:val="bottom"/>
          </w:tcPr>
          <w:p>
            <w:pPr>
              <w:spacing w:after="0"/>
              <w:rPr>
                <w:sz w:val="12"/>
                <w:szCs w:val="12"/>
                <w:color w:val="auto"/>
              </w:rPr>
            </w:pPr>
          </w:p>
        </w:tc>
        <w:tc>
          <w:tcPr>
            <w:tcW w:w="14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32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48,657</w:t>
            </w:r>
          </w:p>
        </w:tc>
        <w:tc>
          <w:tcPr>
            <w:tcW w:w="154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48,657</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48,657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32,081</w:t>
            </w:r>
          </w:p>
        </w:tc>
        <w:tc>
          <w:tcPr>
            <w:tcW w:w="154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32,086</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32,086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80,738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$ 80,743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Quoted Priced in</w:t>
            </w:r>
          </w:p>
        </w:tc>
        <w:tc>
          <w:tcPr>
            <w:tcW w:w="148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32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1,680</w:t>
            </w:r>
          </w:p>
        </w:tc>
        <w:tc>
          <w:tcPr>
            <w:tcW w:w="12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97,819</w:t>
            </w:r>
          </w:p>
        </w:tc>
        <w:tc>
          <w:tcPr>
            <w:tcW w:w="12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99,499</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99" w:lineRule="exact"/>
        <w:rPr>
          <w:sz w:val="20"/>
          <w:szCs w:val="20"/>
          <w:color w:val="auto"/>
        </w:rPr>
      </w:pPr>
    </w:p>
    <w:p>
      <w:pPr>
        <w:ind w:left="660" w:right="140" w:firstLine="523"/>
        <w:spacing w:after="0" w:line="24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Cash equivalents of $71.3 million as of December 31, 2019 consisted of money market funds of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corporate debt securities of $69.6 million. Cash equivalents of $72.7 million as of June 30, 2020 consisted of money market funds of $48.7 million and corporate debt securities of $24.0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380" w:firstLine="523"/>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$28.2 million and $8.1 million as of December 31, 2019 and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June 30,</w:t>
            </w:r>
          </w:p>
        </w:tc>
      </w:t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5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10"/>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w:t>
            </w:r>
          </w:p>
        </w:tc>
      </w:tr>
      <w:tr>
        <w:trPr>
          <w:trHeight w:val="27"/>
        </w:trPr>
        <w:tc>
          <w:tcPr>
            <w:tcW w:w="5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1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
        </w:trPr>
        <w:tc>
          <w:tcPr>
            <w:tcW w:w="5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six months ended June 30, 2019 and 2020 was $186 and $182,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6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86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786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 services</w:t>
            </w:r>
          </w:p>
        </w:tc>
        <w:tc>
          <w:tcPr>
            <w:tcW w:w="2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00" w:type="dxa"/>
            <w:vAlign w:val="bottom"/>
          </w:tcPr>
          <w:p>
            <w:pPr>
              <w:spacing w:after="0"/>
              <w:rPr>
                <w:sz w:val="17"/>
                <w:szCs w:val="17"/>
                <w:color w:val="auto"/>
              </w:rPr>
            </w:pPr>
          </w:p>
        </w:tc>
        <w:tc>
          <w:tcPr>
            <w:tcW w:w="1660" w:type="dxa"/>
            <w:vAlign w:val="bottom"/>
            <w:gridSpan w:val="3"/>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liabiities</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Convertible Preferred Stock</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is authorized to issue up to 120,483,538 shares of convertible preferred stock with a par value of $0.00001 per share. 8,729,029 shares have been designated as Series Seed convertible preferred stock (Series Seed Preferred), 42,526,138 shares have been designated as Series A convertible preferred stock (Series A Preferred), 40,396,799 shares have been designated as Series B convertible preferred stock (Series B Preferred) and 28,831,572 shares have been designated as Series C convertible preferred stock (Series C Preferred). As of June 30, 2020, the Company had an aggregate of 120,393,150 shares of Series Seed Preferred, Series A Preferred, Series B Preferred and Series C Preferred, (collectively, “Preferred Stock”) issued and outstanding.</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ind w:left="338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June 30, 2020, the Preferred Stock consisted of the following (in thousands, except for share data):</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396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 Stock</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396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Preference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8,729,029</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30,593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42,526,138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40,396,799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28,831,572</w:t>
            </w:r>
          </w:p>
        </w:tc>
        <w:tc>
          <w:tcPr>
            <w:tcW w:w="380" w:type="dxa"/>
            <w:vAlign w:val="bottom"/>
          </w:tcPr>
          <w:p>
            <w:pPr>
              <w:spacing w:after="0"/>
              <w:rPr>
                <w:sz w:val="17"/>
                <w:szCs w:val="17"/>
                <w:color w:val="auto"/>
              </w:rPr>
            </w:pP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28,798,050</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61,705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28,798,050</w:t>
            </w:r>
          </w:p>
        </w:tc>
      </w:tr>
      <w:tr>
        <w:trPr>
          <w:trHeight w:val="27"/>
        </w:trPr>
        <w:tc>
          <w:tcPr>
            <w:tcW w:w="3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120,483,538</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120,393,150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120,393,150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June 30,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right="2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$0.3517 for Series Seed Preferred, $0.7078 for Series A Preferred, $1.8251 for Series B Preferred and $2.1485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660" w:firstLine="523"/>
        <w:spacing w:after="0" w:line="237"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$2.1485 per share (as adjusted for any stock splits, stock dividends, combinations, subdivisions, recapitalizations, reorganizations, reclassifications or the like). At June 30, 2020, the conversion price for each share of Series Seed Preferred, Series A Preferred, Series B Preferred and Series C Preferred is $0.3517, $0.7078, $1.8251 and $2.1485, respectively.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4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right="2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8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660" w:right="100" w:firstLine="523"/>
        <w:spacing w:after="0" w:line="238"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9" w:lineRule="exact"/>
        <w:rPr>
          <w:sz w:val="20"/>
          <w:szCs w:val="20"/>
          <w:color w:val="auto"/>
        </w:rPr>
      </w:pPr>
    </w:p>
    <w:p>
      <w:pPr>
        <w:ind w:left="660" w:right="10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$2.1485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Common Stock</w:t>
      </w:r>
    </w:p>
    <w:p>
      <w:pPr>
        <w:spacing w:after="0" w:line="104"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 Company is authorized to issue up to 175,068,944 shares of common stock with a par value of $0.00001 per share. At December 31, 2019 and June 30, 2020, there were 16,038,590 and 16,038,590 shares issued and outstanding, respectively.</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June 30, 2020,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June 30, 2020,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240" w:type="dxa"/>
            <w:vAlign w:val="bottom"/>
          </w:tcPr>
          <w:p>
            <w:pPr>
              <w:spacing w:after="0"/>
              <w:rPr>
                <w:sz w:val="15"/>
                <w:szCs w:val="15"/>
                <w:color w:val="auto"/>
              </w:rPr>
            </w:pPr>
          </w:p>
        </w:tc>
        <w:tc>
          <w:tcPr>
            <w:tcW w:w="126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14,573,100</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20,653,300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and outstanding</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8,058,357</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1,978,157</w:t>
            </w:r>
          </w:p>
        </w:tc>
      </w:tr>
      <w:tr>
        <w:trPr>
          <w:trHeight w:val="27"/>
        </w:trPr>
        <w:tc>
          <w:tcPr>
            <w:tcW w:w="8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143,081,473</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143,081,473</w:t>
            </w:r>
          </w:p>
        </w:tc>
      </w:tr>
      <w:tr>
        <w:trPr>
          <w:trHeight w:val="20"/>
        </w:trPr>
        <w:tc>
          <w:tcPr>
            <w:tcW w:w="8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Stock Plan</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In 2014, the Company adopted the 2013 Stock Plan (the “Plan”). As of June 30, 2020, there were 23,363,923 shares of common stock authorized and 1,978,157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7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76"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3,669,997</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14,140,032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5,000,000</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(1,315,000)</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1,315,000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0.67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703,360</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(703,360)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0.56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(178,572)</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8,058,357</w:t>
            </w:r>
          </w:p>
        </w:tc>
        <w:tc>
          <w:tcPr>
            <w:tcW w:w="5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14,573,100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(6,273,700)</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6,273,700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0.76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193,500</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(193,500)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0.26</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June 30, 2020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1,978,157</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20,653,300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9,884,600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0.34</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11,509,852</w:t>
            </w: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2020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Vested (unaudited)</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11,268,495</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0.34</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6.27</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Exercisable (unaudited)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12,240,192</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0.36</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6.36</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F-39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The aggregate intrinsic value of options vested and expected to vest and exercisable as of June 30, 2020 is calculated based on the difference between the exercise price and the current fair value of our common stock. The intrinsic value of options exercised in 2019 was $20. There were no stock option exercises in 2020.</w:t>
      </w:r>
    </w:p>
    <w:p>
      <w:pPr>
        <w:spacing w:after="0" w:line="17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At June 30, 2020, the total compensation cost related to nonvested awards not yet recognized is $3,694. The weighted-average period over which the nonvested awards is expected to be recognized is 2.9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Stock options granted generally vest over two to four years. The unrecognized compensation cost as of June 30, 2020 is expected to be recognized over a weighted-average amortization period of 2.9 years. No income tax benefits have been recognized relating to stock-based compensation expenses and no tax benefits have been realized from exercised stock options.</w:t>
      </w:r>
    </w:p>
    <w:p>
      <w:pPr>
        <w:spacing w:after="0" w:line="16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1980" w:type="dxa"/>
            <w:vAlign w:val="bottom"/>
            <w:gridSpan w:val="3"/>
          </w:tcPr>
          <w:p>
            <w:pPr>
              <w:ind w:left="360"/>
              <w:spacing w:after="0" w:line="155" w:lineRule="exact"/>
              <w:rPr>
                <w:sz w:val="20"/>
                <w:szCs w:val="20"/>
                <w:color w:val="auto"/>
              </w:rPr>
            </w:pPr>
            <w:r>
              <w:rPr>
                <w:rFonts w:ascii="Arial" w:cs="Arial" w:eastAsia="Arial" w:hAnsi="Arial"/>
                <w:sz w:val="14"/>
                <w:szCs w:val="14"/>
                <w:b w:val="1"/>
                <w:bCs w:val="1"/>
                <w:color w:val="auto"/>
              </w:rPr>
              <w:t>2019 (unaudited)</w:t>
            </w:r>
          </w:p>
        </w:tc>
        <w:tc>
          <w:tcPr>
            <w:tcW w:w="188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2020 (unaudited)</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 average grant-date fair value of common stock</w:t>
            </w:r>
          </w:p>
        </w:tc>
        <w:tc>
          <w:tcPr>
            <w:tcW w:w="1860" w:type="dxa"/>
            <w:vAlign w:val="bottom"/>
            <w:tcBorders>
              <w:top w:val="single" w:sz="8" w:color="auto"/>
            </w:tcBorders>
            <w:gridSpan w:val="2"/>
            <w:shd w:val="clear" w:color="auto" w:fill="CCEEFF"/>
          </w:tcPr>
          <w:p>
            <w:pPr>
              <w:jc w:val="right"/>
              <w:ind w:right="615"/>
              <w:spacing w:after="0" w:line="196" w:lineRule="exact"/>
              <w:rPr>
                <w:sz w:val="20"/>
                <w:szCs w:val="20"/>
                <w:color w:val="auto"/>
              </w:rPr>
            </w:pPr>
            <w:r>
              <w:rPr>
                <w:rFonts w:ascii="Arial" w:cs="Arial" w:eastAsia="Arial" w:hAnsi="Arial"/>
                <w:sz w:val="18"/>
                <w:szCs w:val="18"/>
                <w:color w:val="auto"/>
              </w:rPr>
              <w:t>$0.67</w:t>
            </w:r>
          </w:p>
        </w:tc>
        <w:tc>
          <w:tcPr>
            <w:tcW w:w="1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$0.76</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2.51%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00" w:type="dxa"/>
            <w:vAlign w:val="bottom"/>
          </w:tcPr>
          <w:p>
            <w:pPr>
              <w:spacing w:after="0" w:line="202" w:lineRule="exact"/>
              <w:rPr>
                <w:sz w:val="20"/>
                <w:szCs w:val="20"/>
                <w:color w:val="auto"/>
              </w:rPr>
            </w:pPr>
            <w:r>
              <w:rPr>
                <w:rFonts w:ascii="Arial" w:cs="Arial" w:eastAsia="Arial" w:hAnsi="Arial"/>
                <w:sz w:val="18"/>
                <w:szCs w:val="18"/>
                <w:color w:val="auto"/>
              </w:rPr>
              <w:t>– 1.51%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6.40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15"/>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72.64%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70.70%</w:t>
            </w:r>
          </w:p>
        </w:tc>
        <w:tc>
          <w:tcPr>
            <w:tcW w:w="1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73.85%</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37"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626,610 stock options at a grant-date fair value of $0.49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nor in the six-month period ended June 30, 2020 for this option grant. The unrecognized compensation cost associated with this award was $305, a portion of which will be cumulatively caught-up upon achievement of the liquidity event.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62"/>
        </w:trPr>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85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85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r>
      <w:tr>
        <w:trPr>
          <w:trHeight w:val="203"/>
        </w:trPr>
        <w:tc>
          <w:tcPr>
            <w:tcW w:w="8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430</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During the six months ended June 30, 2019 and 2020, the Company recorded a full valuation allowance on federal and state deferred tax assets since management does not forecast the Company to be in a taxable position in the near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Net Loss per Share and Unaudited Pro Forma Net Loss Per Share</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240" w:type="dxa"/>
            <w:vAlign w:val="bottom"/>
          </w:tcPr>
          <w:p>
            <w:pPr>
              <w:spacing w:after="0"/>
              <w:rPr>
                <w:sz w:val="12"/>
                <w:szCs w:val="12"/>
                <w:color w:val="auto"/>
              </w:rPr>
            </w:pPr>
          </w:p>
        </w:tc>
        <w:tc>
          <w:tcPr>
            <w:tcW w:w="1420" w:type="dxa"/>
            <w:vAlign w:val="bottom"/>
            <w:tcBorders>
              <w:top w:val="single" w:sz="8" w:color="auto"/>
            </w:tcBorders>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rPr>
              <w:t>June 30, 2019</w:t>
            </w:r>
          </w:p>
        </w:tc>
        <w:tc>
          <w:tcPr>
            <w:tcW w:w="1280" w:type="dxa"/>
            <w:vAlign w:val="bottom"/>
            <w:tcBorders>
              <w:top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2"/>
                <w:szCs w:val="12"/>
                <w:color w:val="auto"/>
              </w:rPr>
            </w:pPr>
          </w:p>
        </w:tc>
      </w:tr>
      <w:tr>
        <w:trPr>
          <w:trHeight w:val="177"/>
        </w:trPr>
        <w:tc>
          <w:tcPr>
            <w:tcW w:w="8240" w:type="dxa"/>
            <w:vAlign w:val="bottom"/>
          </w:tcPr>
          <w:p>
            <w:pPr>
              <w:spacing w:after="0"/>
              <w:rPr>
                <w:sz w:val="15"/>
                <w:szCs w:val="15"/>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56,866</w:t>
            </w:r>
          </w:p>
        </w:tc>
        <w:tc>
          <w:tcPr>
            <w:tcW w:w="14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14,208,100</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20,653,300</w:t>
            </w: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105,860,066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141,103,316</w:t>
            </w: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Company’s convertible preferred stock nor restricted stock subject to future vesting participates in losses.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48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40" w:type="dxa"/>
            <w:vAlign w:val="bottom"/>
            <w:tcBorders>
              <w:top w:val="single" w:sz="8" w:color="auto"/>
            </w:tcBorders>
            <w:gridSpan w:val="3"/>
          </w:tcPr>
          <w:p>
            <w:pPr>
              <w:jc w:val="right"/>
              <w:ind w:right="760"/>
              <w:spacing w:after="0" w:line="141" w:lineRule="exact"/>
              <w:rPr>
                <w:sz w:val="20"/>
                <w:szCs w:val="20"/>
                <w:color w:val="auto"/>
              </w:rPr>
            </w:pPr>
            <w:r>
              <w:rPr>
                <w:rFonts w:ascii="Arial" w:cs="Arial" w:eastAsia="Arial" w:hAnsi="Arial"/>
                <w:sz w:val="14"/>
                <w:szCs w:val="14"/>
                <w:b w:val="1"/>
                <w:bCs w:val="1"/>
                <w:color w:val="auto"/>
              </w:rPr>
              <w:t>June 30, 2019</w:t>
            </w:r>
          </w:p>
        </w:tc>
        <w:tc>
          <w:tcPr>
            <w:tcW w:w="10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2"/>
                <w:szCs w:val="12"/>
                <w:color w:val="auto"/>
              </w:rPr>
            </w:pPr>
          </w:p>
        </w:tc>
      </w:tr>
      <w:tr>
        <w:trPr>
          <w:trHeight w:val="177"/>
        </w:trPr>
        <w:tc>
          <w:tcPr>
            <w:tcW w:w="48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w w:val="97"/>
              </w:rPr>
              <w:t>15,922,173</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16,038,590</w:t>
            </w:r>
          </w:p>
        </w:tc>
      </w:tr>
      <w:tr>
        <w:trPr>
          <w:trHeight w:val="27"/>
        </w:trPr>
        <w:tc>
          <w:tcPr>
            <w:tcW w:w="4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(0.95)</w:t>
            </w:r>
          </w:p>
        </w:tc>
      </w:tr>
      <w:tr>
        <w:trPr>
          <w:trHeight w:val="369"/>
        </w:trPr>
        <w:tc>
          <w:tcPr>
            <w:tcW w:w="4880" w:type="dxa"/>
            <w:vAlign w:val="bottom"/>
          </w:tcPr>
          <w:p>
            <w:pPr>
              <w:spacing w:after="0"/>
              <w:rPr>
                <w:sz w:val="24"/>
                <w:szCs w:val="24"/>
                <w:color w:val="auto"/>
              </w:rPr>
            </w:pPr>
          </w:p>
        </w:tc>
        <w:tc>
          <w:tcPr>
            <w:tcW w:w="3360" w:type="dxa"/>
            <w:vAlign w:val="bottom"/>
            <w:gridSpan w:val="2"/>
          </w:tcPr>
          <w:p>
            <w:pPr>
              <w:jc w:val="right"/>
              <w:ind w:right="2479"/>
              <w:spacing w:after="0"/>
              <w:rPr>
                <w:sz w:val="20"/>
                <w:szCs w:val="20"/>
                <w:color w:val="auto"/>
              </w:rPr>
            </w:pPr>
            <w:r>
              <w:rPr>
                <w:rFonts w:ascii="Arial" w:cs="Arial" w:eastAsia="Arial" w:hAnsi="Arial"/>
                <w:sz w:val="18"/>
                <w:szCs w:val="18"/>
                <w:color w:val="auto"/>
              </w:rPr>
              <w:t>F-41</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unaudited pro forma basic and diluted net loss per share of common stock has been prepared to give effect to the conversion of all outstanding shares of redeemable convertible preferred stock into shares of common stock as if such conversion had occurred at January 1, 2020, inclusive of 28,020,172 shares of common stock issuable upon the conversion of Series D Preferred Stock issued in July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97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Months Ended</w:t>
            </w:r>
          </w:p>
        </w:tc>
      </w:tr>
      <w:tr>
        <w:trPr>
          <w:trHeight w:val="177"/>
        </w:trPr>
        <w:tc>
          <w:tcPr>
            <w:tcW w:w="97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16,038,590</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148,413,322</w:t>
            </w:r>
          </w:p>
        </w:tc>
      </w:t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164,451,912</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(0.09)</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The Company has a consulting agreement with a member of the Board of Directors. Consulting fees paid in the six months ended June 30, 2019 and 2020 was $50 and $56, respectively. There were no amounts owed under the consulting agreement at December 31, 2019 or June 30,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events have been evaluated through July 31, 2020, which is the date the financial statements were issued.</w:t>
      </w:r>
    </w:p>
    <w:p>
      <w:pPr>
        <w:spacing w:after="0" w:line="21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the Company issued 28,020,172 shares of Series D Preferred Stock at a price of $2.4982 per share, resulting in gross proceeds of $70,000. In July 2020, the Company amended its certificate of incorporation such that it is now authorized to issue 350,217,456 shares of capital stock, including 201,747,258 shares of common stock, 8,729,029 shares of Series Seed Preferred Stock, 42,526,138 shares of Series A Preferred Stock, 40,396,799 shares of Series B Preferred Stock, 28,798,050 shares of Series C Preferred Stock and 28,020,172 shares of Series D Preferred Stock.</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584200</wp:posOffset>
            </wp:positionV>
            <wp:extent cx="699516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 registration fee, the FINRA filing fee and the exchange listing fee.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12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10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 be Paid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96"/>
        </w:trPr>
        <w:tc>
          <w:tcPr>
            <w:tcW w:w="10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listing fee</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expected to be in effect immediately prior to the completion of this offering provides for the indemnification of the registrant’s directors and officers to the fullest extent permitted under the DGCL. In addition, the amended and restated bylaws of the registrant to be in effect immediately prior to the completion of this offering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8" w:lineRule="exact"/>
        <w:rPr>
          <w:sz w:val="20"/>
          <w:szCs w:val="20"/>
          <w:color w:val="auto"/>
        </w:rPr>
      </w:pPr>
    </w:p>
    <w:p>
      <w:pPr>
        <w:ind w:left="120" w:right="140" w:firstLine="551"/>
        <w:spacing w:after="0" w:line="26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220" w:hanging="4"/>
        <w:spacing w:after="0" w:line="250" w:lineRule="auto"/>
        <w:tabs>
          <w:tab w:leader="none" w:pos="3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payments of unlawful dividends 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unlawful stock repurchases or redemptions or (iv) for any transaction from which the director derived an improper personal benefit. The registrant’s amended and restated certificate of incorporation to be in effect immediately prior to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64"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w:t>
      </w:r>
    </w:p>
    <w:p>
      <w:pPr>
        <w:spacing w:after="0" w:line="2"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auto"/>
        </w:rPr>
        <w:t>The coverage provided by these policies may apply whether or not the registrant would have the power to indemnify such person against such liability under the provisions of the DGCL.</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or Securities Act.</w:t>
      </w:r>
    </w:p>
    <w:p>
      <w:pPr>
        <w:spacing w:after="0" w:line="170" w:lineRule="exact"/>
        <w:rPr>
          <w:sz w:val="20"/>
          <w:szCs w:val="20"/>
          <w:color w:val="auto"/>
        </w:rPr>
      </w:pPr>
    </w:p>
    <w:p>
      <w:pPr>
        <w:ind w:left="120" w:right="400" w:firstLine="551"/>
        <w:spacing w:after="0" w:line="248" w:lineRule="auto"/>
        <w:rPr>
          <w:sz w:val="20"/>
          <w:szCs w:val="20"/>
          <w:color w:val="auto"/>
        </w:rPr>
      </w:pPr>
      <w:r>
        <w:rPr>
          <w:rFonts w:ascii="Arial" w:cs="Arial" w:eastAsia="Arial" w:hAnsi="Arial"/>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2017. No underwriters were involved in the sales and the certificates representing the securities issued and sold contain legends restricting transfer of the securities without registration under the Securities Act or an applicable exemption from registration.</w:t>
      </w:r>
    </w:p>
    <w:p>
      <w:pPr>
        <w:spacing w:after="0" w:line="69" w:lineRule="exact"/>
        <w:rPr>
          <w:sz w:val="20"/>
          <w:szCs w:val="20"/>
          <w:color w:val="auto"/>
        </w:rPr>
      </w:pPr>
    </w:p>
    <w:p>
      <w:pPr>
        <w:ind w:left="1300" w:right="180" w:hanging="644"/>
        <w:spacing w:after="0" w:line="27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February 2017, we issued and sold an aggregate of 40,396,799 shares of our Series B convertible preferred stock at a purchase price of $1.8251 per share for aggregate proceeds of $73.7 million to a total of nine (9) accredited investors.</w:t>
      </w:r>
    </w:p>
    <w:p>
      <w:pPr>
        <w:spacing w:after="0" w:line="50" w:lineRule="exact"/>
        <w:rPr>
          <w:rFonts w:ascii="Arial" w:cs="Arial" w:eastAsia="Arial" w:hAnsi="Arial"/>
          <w:sz w:val="18"/>
          <w:szCs w:val="18"/>
          <w:color w:val="auto"/>
        </w:rPr>
      </w:pPr>
    </w:p>
    <w:p>
      <w:pPr>
        <w:ind w:left="1300" w:hanging="644"/>
        <w:spacing w:after="0" w:line="306" w:lineRule="auto"/>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November 2019, we issued and sold an aggregate of 28,798,050 shares of our Series C convertible preferred stock at a purchase price of $2.1485 per share for aggregate proceeds of approximately $61.9 million to ten (10) accredited investors.</w:t>
      </w:r>
    </w:p>
    <w:p>
      <w:pPr>
        <w:spacing w:after="0" w:line="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580" w:hanging="644"/>
        <w:spacing w:after="0" w:line="255"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July 2020, we issued and sold an aggregate of 28,020,172 shares of our Series D convertible preferred stock at a purchase price of $2.4982 per share for aggregate proceeds of approximately $70.0 million to seven (7) accredited investors.</w:t>
      </w:r>
    </w:p>
    <w:p>
      <w:pPr>
        <w:spacing w:after="0" w:line="190" w:lineRule="exact"/>
        <w:rPr>
          <w:rFonts w:ascii="Arial" w:cs="Arial" w:eastAsia="Arial" w:hAnsi="Arial"/>
          <w:sz w:val="18"/>
          <w:szCs w:val="18"/>
          <w:color w:val="auto"/>
        </w:rPr>
      </w:pPr>
    </w:p>
    <w:p>
      <w:pPr>
        <w:ind w:left="1300" w:right="20" w:hanging="644"/>
        <w:spacing w:after="0" w:line="248"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From January 2017 through July 31, 2020, we granted to our employees, directors, consultants and other service providers stock options to purchase an aggregate of 16,264,740 shares of common stock upon the exercise of options under our 2013 Equity Incentive Plan, as amended, or 2013 Plan, at exercise prices per share ranging from $0.56 to $0.80, for an aggregate exercise price of approximately $10.68 million.</w:t>
      </w:r>
    </w:p>
    <w:p>
      <w:pPr>
        <w:spacing w:after="0" w:line="197"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From January 2017 through July 31, 2020, we issued and sold to certain of our employees, directors, consultants and other service providers an aggregate of 178,572 shares of common stock upon the exercise of options under our 2013 Plan at an exercise price per share of $0.56, for an aggregate exercise price of approximately $100,000.00.</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offers, sales and issuances of the securities described in Items 15(d) and 15(e) were exempt from registration under the Securities Act under either (i) Rule 701 in that the transactions were under compensatory benefit plans and contracts relating to compensation as provided under Rule 701 or (ii) Section 4(a)(2) of the Securities Act as transactions by an issuer not involving any public offering. The recipients of such securities were the registrant’s employees, consultants or directors and received the securities under our 2013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120" w:right="800" w:firstLine="551"/>
        <w:spacing w:after="0" w:line="276"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300" w:right="20" w:hanging="644"/>
        <w:spacing w:after="0" w:line="248"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642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77"/>
        </w:trPr>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480" w:type="dxa"/>
            <w:vAlign w:val="bottom"/>
          </w:tcPr>
          <w:p>
            <w:pPr>
              <w:spacing w:after="0"/>
              <w:rPr>
                <w:sz w:val="15"/>
                <w:szCs w:val="15"/>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27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Form of Amended and Restated Certificate of Incorporation of the Registrant, to be in effect immediately prior to the</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completion of this offering.</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Bylaws of the Registrant, as currently in effect.</w:t>
            </w: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r>
      <w:tr>
        <w:trPr>
          <w:trHeight w:val="27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Amended and Restated Investors’ Rights Agreement, dated July 17, 2020, by and among the Registrant and certain of its</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stockholders.</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Specimen common stock certificate of the Registrant.</w:t>
            </w: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2013 Equity Incentive Plan, as amended, and forms of agreement thereunder.</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2020 Equity Incentive Plan and forms of agreements thereunder, to be in effect prior to the completion of this offering.</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384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 2020, by and between the Registrant and David H. Mack, Ph.D.</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10.5+*</w:t>
            </w:r>
          </w:p>
        </w:tc>
        <w:tc>
          <w:tcPr>
            <w:tcW w:w="384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 2020, by and between the Registrant and Winston Kung.</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384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 2020, by and between the Registrant and Leila Alland, M.D.</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384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 2020, by and between the Registrant and Deepika Jalota, Pharm.D.</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3840" w:type="dxa"/>
            <w:vAlign w:val="bottom"/>
          </w:tcPr>
          <w:p>
            <w:pPr>
              <w:ind w:left="420"/>
              <w:spacing w:after="0"/>
              <w:rPr>
                <w:sz w:val="20"/>
                <w:szCs w:val="20"/>
                <w:color w:val="auto"/>
              </w:rPr>
            </w:pPr>
            <w:r>
              <w:rPr>
                <w:rFonts w:ascii="Arial" w:cs="Arial" w:eastAsia="Arial" w:hAnsi="Arial"/>
                <w:sz w:val="18"/>
                <w:szCs w:val="18"/>
                <w:color w:val="auto"/>
              </w:rPr>
              <w:t>Change in Control and Severance Policy.</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10.9+*</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Change in Control and Severance Policy Participation Agreement, dated September 19, 2019, by and between the</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Registrant and David H. Mack, Ph.D.</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Change in Control and Severance Policy Participation Agreement, dated September 19, 2019, by and between the</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Registrant and Winston Kung, Ph.D.</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w w:val="99"/>
              </w:rPr>
              <w:t>Change in Control and Severance Policy Participation Agreement, dated December 2, 2019, by and between the Registrant</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and Leila Alland, M.D.</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w w:val="99"/>
              </w:rPr>
              <w:t>Change in Control and Severance Policy Participation Agreement, dated December 2, 2019, by and between the Registrant</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and Deepika Jalota, Pharm.D.</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Consulting Agreement, dated January 1, 2016, by and between the Registrant and Arnold Levine, Ph.D.</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60" w:type="dxa"/>
            <w:vAlign w:val="bottom"/>
            <w:gridSpan w:val="4"/>
          </w:tcPr>
          <w:p>
            <w:pPr>
              <w:ind w:left="420"/>
              <w:spacing w:after="0"/>
              <w:rPr>
                <w:sz w:val="20"/>
                <w:szCs w:val="20"/>
                <w:color w:val="auto"/>
              </w:rPr>
            </w:pPr>
            <w:r>
              <w:rPr>
                <w:rFonts w:ascii="Arial" w:cs="Arial" w:eastAsia="Arial" w:hAnsi="Arial"/>
                <w:sz w:val="18"/>
                <w:szCs w:val="18"/>
                <w:color w:val="auto"/>
              </w:rPr>
              <w:t>Consulting Agreement, dated July 14, 2017, by and between the Registrant and Richard Heyman, Ph.D.</w:t>
            </w:r>
          </w:p>
        </w:tc>
      </w:tr>
      <w:tr>
        <w:trPr>
          <w:trHeight w:val="35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420" w:type="dxa"/>
            <w:vAlign w:val="bottom"/>
            <w:gridSpan w:val="3"/>
          </w:tcPr>
          <w:p>
            <w:pPr>
              <w:ind w:left="8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060"/>
          </w:cols>
          <w:pgMar w:left="320" w:top="455" w:right="51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77"/>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04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15"/>
                <w:szCs w:val="15"/>
                <w:color w:val="auto"/>
              </w:rPr>
            </w:pPr>
          </w:p>
        </w:tc>
      </w:tr>
      <w:tr>
        <w:trPr>
          <w:trHeight w:val="281"/>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9"/>
              </w:rPr>
              <w:t>Lease Agreement, dated March 3, 2015, by and between the Registrant and Cedar Brook 2005, LP, as amended by the First</w:t>
            </w: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Amendment to Lease dated April 24, 2017.</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24.1*</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Power of Attorney (see page II-6 to this Form 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8"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440" w:type="dxa"/>
            <w:vAlign w:val="bottom"/>
          </w:tcPr>
          <w:p>
            <w:pPr>
              <w:spacing w:after="0"/>
              <w:rPr>
                <w:sz w:val="20"/>
                <w:szCs w:val="20"/>
                <w:color w:val="auto"/>
              </w:rPr>
            </w:pPr>
            <w:r>
              <w:rPr>
                <w:rFonts w:ascii="Arial" w:cs="Arial" w:eastAsia="Arial" w:hAnsi="Arial"/>
                <w:sz w:val="18"/>
                <w:szCs w:val="18"/>
                <w:color w:val="auto"/>
              </w:rPr>
              <w:t>to be signed on its behalf by the undersigned, thereunto duly authorized, in the City of Cranbury, New Jersey,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7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each with the full power of substitution, for him or her and in his or her name, place and stead, in any and all capacities (including his or her capacity as a director and/or officer of registrant)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0"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5"/>
                <w:szCs w:val="15"/>
                <w:color w:val="auto"/>
              </w:rPr>
            </w:pPr>
          </w:p>
        </w:tc>
        <w:tc>
          <w:tcPr>
            <w:tcW w:w="3340" w:type="dxa"/>
            <w:vAlign w:val="bottom"/>
            <w:gridSpan w:val="2"/>
          </w:tcPr>
          <w:p>
            <w:pPr>
              <w:jc w:val="center"/>
              <w:ind w:right="3040"/>
              <w:spacing w:after="0"/>
              <w:rPr>
                <w:sz w:val="20"/>
                <w:szCs w:val="20"/>
                <w:color w:val="auto"/>
              </w:rPr>
            </w:pPr>
            <w:r>
              <w:rPr>
                <w:rFonts w:ascii="Arial" w:cs="Arial" w:eastAsia="Arial" w:hAnsi="Arial"/>
                <w:sz w:val="14"/>
                <w:szCs w:val="14"/>
                <w:b w:val="1"/>
                <w:bCs w:val="1"/>
                <w:color w:val="auto"/>
              </w:rPr>
              <w:t>Title</w:t>
            </w: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President, Chief Executive Officer and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
        </w:trPr>
        <w:tc>
          <w:tcPr>
            <w:tcW w:w="4300" w:type="dxa"/>
            <w:vAlign w:val="bottom"/>
            <w:tcBorders>
              <w:bottom w:val="single" w:sz="8" w:color="auto"/>
            </w:tcBorders>
            <w:gridSpan w:val="3"/>
          </w:tcPr>
          <w:p>
            <w:pPr>
              <w:spacing w:after="0" w:line="20" w:lineRule="exact"/>
              <w:rPr>
                <w:sz w:val="1"/>
                <w:szCs w:val="1"/>
                <w:color w:val="auto"/>
              </w:rPr>
            </w:pPr>
          </w:p>
        </w:tc>
        <w:tc>
          <w:tcPr>
            <w:tcW w:w="5620" w:type="dxa"/>
            <w:vAlign w:val="bottom"/>
            <w:gridSpan w:val="3"/>
            <w:vMerge w:val="restart"/>
          </w:tcPr>
          <w:p>
            <w:pPr>
              <w:jc w:val="center"/>
              <w:ind w:right="760"/>
              <w:spacing w:after="0"/>
              <w:rPr>
                <w:sz w:val="20"/>
                <w:szCs w:val="20"/>
                <w:color w:val="auto"/>
              </w:rPr>
            </w:pPr>
            <w:r>
              <w:rPr>
                <w:rFonts w:ascii="Arial" w:cs="Arial" w:eastAsia="Arial" w:hAnsi="Arial"/>
                <w:sz w:val="18"/>
                <w:szCs w:val="18"/>
                <w:color w:val="auto"/>
                <w:w w:val="99"/>
              </w:rPr>
              <w:t>(Principal Executive Officer)</w:t>
            </w: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David H. Mack, Ph.D.</w:t>
            </w:r>
          </w:p>
        </w:tc>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Chief Operating Officer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
        </w:trPr>
        <w:tc>
          <w:tcPr>
            <w:tcW w:w="4300" w:type="dxa"/>
            <w:vAlign w:val="bottom"/>
            <w:tcBorders>
              <w:bottom w:val="single" w:sz="8" w:color="auto"/>
            </w:tcBorders>
            <w:gridSpan w:val="3"/>
          </w:tcPr>
          <w:p>
            <w:pPr>
              <w:spacing w:after="0" w:line="20" w:lineRule="exact"/>
              <w:rPr>
                <w:sz w:val="1"/>
                <w:szCs w:val="1"/>
                <w:color w:val="auto"/>
              </w:rPr>
            </w:pPr>
          </w:p>
        </w:tc>
        <w:tc>
          <w:tcPr>
            <w:tcW w:w="5620" w:type="dxa"/>
            <w:vAlign w:val="bottom"/>
            <w:gridSpan w:val="3"/>
            <w:vMerge w:val="restart"/>
          </w:tcPr>
          <w:p>
            <w:pPr>
              <w:jc w:val="center"/>
              <w:ind w:right="740"/>
              <w:spacing w:after="0" w:line="202" w:lineRule="exact"/>
              <w:rPr>
                <w:sz w:val="20"/>
                <w:szCs w:val="20"/>
                <w:color w:val="auto"/>
              </w:rPr>
            </w:pPr>
            <w:r>
              <w:rPr>
                <w:rFonts w:ascii="Arial" w:cs="Arial" w:eastAsia="Arial" w:hAnsi="Arial"/>
                <w:sz w:val="18"/>
                <w:szCs w:val="18"/>
                <w:color w:val="auto"/>
                <w:w w:val="99"/>
              </w:rPr>
              <w:t>and Chief Financial Officer</w:t>
            </w: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300" w:type="dxa"/>
            <w:vAlign w:val="bottom"/>
            <w:gridSpan w:val="3"/>
          </w:tcPr>
          <w:p>
            <w:pPr>
              <w:jc w:val="center"/>
              <w:ind w:right="20"/>
              <w:spacing w:after="0" w:line="160" w:lineRule="exact"/>
              <w:rPr>
                <w:sz w:val="20"/>
                <w:szCs w:val="20"/>
                <w:color w:val="auto"/>
              </w:rPr>
            </w:pPr>
            <w:r>
              <w:rPr>
                <w:rFonts w:ascii="Arial" w:cs="Arial" w:eastAsia="Arial" w:hAnsi="Arial"/>
                <w:sz w:val="18"/>
                <w:szCs w:val="18"/>
                <w:color w:val="auto"/>
                <w:w w:val="99"/>
              </w:rPr>
              <w:t>Winston Kung</w:t>
            </w:r>
          </w:p>
        </w:tc>
        <w:tc>
          <w:tcPr>
            <w:tcW w:w="5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(Principal Financial and Accounting Officer)</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rPr>
              <w:t>Director and Chairman of the Board of Directors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Richard Heyman,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Arnold Levine,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99"/>
              </w:rPr>
              <w:t>Arnold Oronsky,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99"/>
              </w:rPr>
              <w:t>Thilo Schroeder,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Peter Thompson, M.D.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sectPr>
      <w:pgSz w:w="11900" w:h="16838" w:orient="portrait"/>
      <w:cols w:equalWidth="0" w:num="1">
        <w:col w:w="11060"/>
      </w:cols>
      <w:pgMar w:left="320" w:top="45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decimal"/>
      <w:start w:val="3"/>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1)"/>
      <w:numFmt w:val="lowerRoman"/>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decimal"/>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decimal"/>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1)"/>
      <w:numFmt w:val="lowerRoman"/>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1)"/>
      <w:numFmt w:val="decimal"/>
      <w:start w:val="1"/>
    </w:lvl>
  </w:abstractNum>
  <w:abstractNum w:abstractNumId="105">
    <w:nsid w:val="39B7AAA2"/>
    <w:multiLevelType w:val="hybridMultilevel"/>
    <w:lvl w:ilvl="0">
      <w:lvlJc w:val="left"/>
      <w:lvlText w:val="(%1)"/>
      <w:numFmt w:val="decimal"/>
      <w:start w:val="5"/>
    </w:lvl>
  </w:abstractNum>
  <w:abstractNum w:abstractNumId="106">
    <w:nsid w:val="2B0D8DBE"/>
    <w:multiLevelType w:val="hybridMultilevel"/>
    <w:lvl w:ilvl="0">
      <w:lvlJc w:val="left"/>
      <w:lvlText w:val="(%1)"/>
      <w:numFmt w:val="lowerRoman"/>
      <w:start w:val="2"/>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1)"/>
      <w:numFmt w:val="lowerRoman"/>
      <w:start w:val="2"/>
    </w:lvl>
  </w:abstractNum>
  <w:abstractNum w:abstractNumId="114">
    <w:nsid w:val="5675FF36"/>
    <w:multiLevelType w:val="hybridMultilevel"/>
    <w:lvl w:ilvl="0">
      <w:lvlJc w:val="left"/>
      <w:lvlText w:val="%1."/>
      <w:numFmt w:val="decimal"/>
      <w:start w:val="2"/>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lowerRoman"/>
      <w:start w:val="2"/>
    </w:lvl>
  </w:abstractNum>
  <w:abstractNum w:abstractNumId="117">
    <w:nsid w:val="2708C9AF"/>
    <w:multiLevelType w:val="hybridMultilevel"/>
    <w:lvl w:ilvl="0">
      <w:lvlJc w:val="left"/>
      <w:lvlText w:val="%1."/>
      <w:numFmt w:val="decimal"/>
      <w:start w:val="1"/>
    </w:lvl>
  </w:abstractNum>
  <w:abstractNum w:abstractNumId="118">
    <w:nsid w:val="5B25ACE2"/>
    <w:multiLevelType w:val="hybridMultilevel"/>
    <w:lvl w:ilvl="0">
      <w:lvlJc w:val="left"/>
      <w:lvlText w:val="(%1)"/>
      <w:numFmt w:val="lowerRoman"/>
      <w:start w:val="2"/>
    </w:lvl>
  </w:abstractNum>
  <w:abstractNum w:abstractNumId="119">
    <w:nsid w:val="175DFCF0"/>
    <w:multiLevelType w:val="hybridMultilevel"/>
    <w:lvl w:ilvl="0">
      <w:lvlJc w:val="left"/>
      <w:lvlText w:val="*"/>
      <w:numFmt w:val="bullet"/>
      <w:start w:val="1"/>
    </w:lvl>
  </w:abstractNum>
  <w:abstractNum w:abstractNumId="120">
    <w:nsid w:val="4F97E3E4"/>
    <w:multiLevelType w:val="hybridMultilevel"/>
    <w:lvl w:ilvl="0">
      <w:lvlJc w:val="left"/>
      <w:lvlText w:val="(%1)"/>
      <w:numFmt w:val="lowerRoman"/>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3"/>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2020-09-04T23:08:09Z</dcterms:created>
  <dcterms:modified xsi:type="dcterms:W3CDTF">2020-09-04T23:08:09Z</dcterms:modified>
</cp:coreProperties>
</file>