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69353Y 10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spacing w:after="0" w:line="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6"/>
          <w:szCs w:val="16"/>
          <w:b w:val="1"/>
          <w:bCs w:val="1"/>
          <w:color w:val="auto"/>
        </w:rPr>
        <w:t>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-99695</wp:posOffset>
            </wp:positionV>
            <wp:extent cx="285432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15430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4740" w:space="720"/>
            <w:col w:w="5780"/>
          </w:cols>
          <w:pgMar w:left="320" w:top="935" w:right="339" w:bottom="1440" w:gutter="0" w:footer="0" w:header="0"/>
        </w:sectPr>
      </w:pP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3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81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b w:val="1"/>
                <w:bCs w:val="1"/>
                <w:color w:val="auto"/>
              </w:rPr>
              <w:t>Nextech V Oncology S.C.S., SICAV-SIF</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2280" w:type="dxa"/>
            <w:vAlign w:val="bottom"/>
            <w:tcBorders>
              <w:right w:val="single" w:sz="8" w:color="auto"/>
            </w:tcBorders>
          </w:tcPr>
          <w:p>
            <w:pPr>
              <w:ind w:left="7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(SEE INSTRUCTIONS)</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0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3"/>
                <w:szCs w:val="23"/>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b w:val="1"/>
                <w:bCs w:val="1"/>
                <w:color w:val="auto"/>
              </w:rPr>
              <w:t>Luxembourg</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bottom w:val="single" w:sz="8" w:color="auto"/>
              <w:right w:val="single" w:sz="8" w:color="auto"/>
            </w:tcBorders>
            <w:gridSpan w:val="2"/>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5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4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9"/>
                <w:szCs w:val="19"/>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2,528,290</w:t>
            </w: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590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tcPr>
          <w:p>
            <w:pPr>
              <w:spacing w:after="0"/>
              <w:rPr>
                <w:sz w:val="18"/>
                <w:szCs w:val="18"/>
                <w:color w:val="auto"/>
              </w:rPr>
            </w:pPr>
          </w:p>
        </w:tc>
        <w:tc>
          <w:tcPr>
            <w:tcW w:w="590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6</w:t>
            </w:r>
          </w:p>
        </w:tc>
        <w:tc>
          <w:tcPr>
            <w:tcW w:w="59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7</w:t>
            </w:r>
          </w:p>
        </w:tc>
        <w:tc>
          <w:tcPr>
            <w:tcW w:w="590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2,528,290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8</w:t>
            </w:r>
          </w:p>
        </w:tc>
        <w:tc>
          <w:tcPr>
            <w:tcW w:w="5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2,528,290</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140" w:type="dxa"/>
            <w:vAlign w:val="bottom"/>
            <w:tcBorders>
              <w:bottom w:val="single" w:sz="8" w:color="auto"/>
            </w:tcBorders>
            <w:gridSpan w:val="3"/>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10</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w:t>
            </w:r>
          </w:p>
        </w:tc>
        <w:tc>
          <w:tcPr>
            <w:tcW w:w="2280" w:type="dxa"/>
            <w:vAlign w:val="bottom"/>
            <w:tcBorders>
              <w:right w:val="single" w:sz="8" w:color="auto"/>
            </w:tcBorders>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40" w:type="dxa"/>
            <w:vAlign w:val="bottom"/>
            <w:tcBorders>
              <w:left w:val="single" w:sz="8" w:color="auto"/>
            </w:tcBorders>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INSTRUCTIONS)</w:t>
            </w:r>
          </w:p>
        </w:tc>
        <w:tc>
          <w:tcPr>
            <w:tcW w:w="5900" w:type="dxa"/>
            <w:vAlign w:val="bottom"/>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8140" w:type="dxa"/>
            <w:vAlign w:val="bottom"/>
            <w:tcBorders>
              <w:bottom w:val="single" w:sz="8" w:color="auto"/>
            </w:tcBorders>
            <w:gridSpan w:val="3"/>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11</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5.6% (2)</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140" w:type="dxa"/>
            <w:vAlign w:val="bottom"/>
            <w:tcBorders>
              <w:bottom w:val="single" w:sz="8" w:color="auto"/>
            </w:tcBorders>
            <w:gridSpan w:val="3"/>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12</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PN</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Schedule 13G is filed by Nextech V Oncology S.C.S., SICAV-SIF (“Nextech V LP”), Nextech V GP S.à. r.l. (“Nextech V GP”), Thomas Lips (“Lips”) and Dalia Bleyer (“Bleyer” and together with Nextech V LP, Nextech V GP and Lips, collectively, the “Reporting Persons”). The Reporting Persons expressly disclaim status as a “group” for purposes of this Schedule 13G.</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 of class was calculated based on 44,773,748 shares of common stock outstanding as of November 1, 2020, as disclosed in the Issuer’s Quarterly Report on Form 10-Q for the period ended September 30, 2020, as filed with the Securities and Exchange Commission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 w:name="page3"/>
    <w:bookmarkEnd w:id="2"/>
    <w:p>
      <w:pPr>
        <w:spacing w:after="0" w:line="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6"/>
          <w:szCs w:val="16"/>
          <w:b w:val="1"/>
          <w:bCs w:val="1"/>
          <w:color w:val="auto"/>
        </w:rPr>
        <w:t>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-99695</wp:posOffset>
            </wp:positionV>
            <wp:extent cx="285432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5430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4740" w:space="720"/>
            <w:col w:w="5780"/>
          </w:cols>
          <w:pgMar w:left="320" w:top="908" w:right="339" w:bottom="1440" w:gutter="0" w:footer="0" w:header="0"/>
        </w:sectPr>
      </w:pP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3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81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b w:val="1"/>
                <w:bCs w:val="1"/>
                <w:color w:val="auto"/>
              </w:rPr>
              <w:t>Nextech V GP S.à r.l.</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2280" w:type="dxa"/>
            <w:vAlign w:val="bottom"/>
            <w:tcBorders>
              <w:right w:val="single" w:sz="8" w:color="auto"/>
            </w:tcBorders>
          </w:tcPr>
          <w:p>
            <w:pPr>
              <w:ind w:left="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(SEE INSTRUCTIONS)</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0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3"/>
                <w:szCs w:val="23"/>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b w:val="1"/>
                <w:bCs w:val="1"/>
                <w:color w:val="auto"/>
              </w:rPr>
              <w:t>Luxembourg</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bottom w:val="single" w:sz="8" w:color="auto"/>
              <w:right w:val="single" w:sz="8" w:color="auto"/>
            </w:tcBorders>
            <w:gridSpan w:val="2"/>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5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4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9"/>
                <w:szCs w:val="19"/>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2,528,290</w:t>
            </w: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590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tcPr>
          <w:p>
            <w:pPr>
              <w:spacing w:after="0"/>
              <w:rPr>
                <w:sz w:val="18"/>
                <w:szCs w:val="18"/>
                <w:color w:val="auto"/>
              </w:rPr>
            </w:pPr>
          </w:p>
        </w:tc>
        <w:tc>
          <w:tcPr>
            <w:tcW w:w="590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6</w:t>
            </w:r>
          </w:p>
        </w:tc>
        <w:tc>
          <w:tcPr>
            <w:tcW w:w="59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7</w:t>
            </w:r>
          </w:p>
        </w:tc>
        <w:tc>
          <w:tcPr>
            <w:tcW w:w="590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2,528,290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8</w:t>
            </w:r>
          </w:p>
        </w:tc>
        <w:tc>
          <w:tcPr>
            <w:tcW w:w="5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2,528,290</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140" w:type="dxa"/>
            <w:vAlign w:val="bottom"/>
            <w:tcBorders>
              <w:bottom w:val="single" w:sz="8" w:color="auto"/>
            </w:tcBorders>
            <w:gridSpan w:val="3"/>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10</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w:t>
            </w:r>
          </w:p>
        </w:tc>
        <w:tc>
          <w:tcPr>
            <w:tcW w:w="2280" w:type="dxa"/>
            <w:vAlign w:val="bottom"/>
            <w:tcBorders>
              <w:right w:val="single" w:sz="8" w:color="auto"/>
            </w:tcBorders>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40" w:type="dxa"/>
            <w:vAlign w:val="bottom"/>
            <w:tcBorders>
              <w:left w:val="single" w:sz="8" w:color="auto"/>
            </w:tcBorders>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INSTRUCTIONS)</w:t>
            </w:r>
          </w:p>
        </w:tc>
        <w:tc>
          <w:tcPr>
            <w:tcW w:w="5900" w:type="dxa"/>
            <w:vAlign w:val="bottom"/>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8140" w:type="dxa"/>
            <w:vAlign w:val="bottom"/>
            <w:tcBorders>
              <w:bottom w:val="single" w:sz="8" w:color="auto"/>
            </w:tcBorders>
            <w:gridSpan w:val="3"/>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11</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5.6% (2)</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140" w:type="dxa"/>
            <w:vAlign w:val="bottom"/>
            <w:tcBorders>
              <w:bottom w:val="single" w:sz="8" w:color="auto"/>
            </w:tcBorders>
            <w:gridSpan w:val="3"/>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12</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OO</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248"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 of class was calculated based on 44,773,748 shares of common stock outstanding as of November 1, 2020, as disclosed in the Issuer’s Quarterly Report on Form 10-Q for the period ended September 30, 2020, as filed with the Securities and Exchange Commission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spacing w:after="0" w:line="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6"/>
          <w:szCs w:val="16"/>
          <w:b w:val="1"/>
          <w:bCs w:val="1"/>
          <w:color w:val="auto"/>
        </w:rPr>
        <w:t>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-99695</wp:posOffset>
            </wp:positionV>
            <wp:extent cx="285432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5430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4740" w:space="720"/>
            <w:col w:w="5780"/>
          </w:cols>
          <w:pgMar w:left="320" w:top="935" w:right="339" w:bottom="1440" w:gutter="0" w:footer="0" w:header="0"/>
        </w:sectPr>
      </w:pP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3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81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b w:val="1"/>
                <w:bCs w:val="1"/>
                <w:color w:val="auto"/>
              </w:rPr>
              <w:t>Thomas Lips</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2280" w:type="dxa"/>
            <w:vAlign w:val="bottom"/>
            <w:tcBorders>
              <w:right w:val="single" w:sz="8" w:color="auto"/>
            </w:tcBorders>
          </w:tcPr>
          <w:p>
            <w:pPr>
              <w:ind w:left="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(SEE INSTRUCTIONS)</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0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3"/>
                <w:szCs w:val="23"/>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b w:val="1"/>
                <w:bCs w:val="1"/>
                <w:color w:val="auto"/>
              </w:rPr>
              <w:t>Switzerland</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bottom w:val="single" w:sz="8" w:color="auto"/>
              <w:right w:val="single" w:sz="8" w:color="auto"/>
            </w:tcBorders>
            <w:gridSpan w:val="2"/>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5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4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9"/>
                <w:szCs w:val="19"/>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590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tcPr>
          <w:p>
            <w:pPr>
              <w:spacing w:after="0"/>
              <w:rPr>
                <w:sz w:val="18"/>
                <w:szCs w:val="18"/>
                <w:color w:val="auto"/>
              </w:rPr>
            </w:pPr>
          </w:p>
        </w:tc>
        <w:tc>
          <w:tcPr>
            <w:tcW w:w="590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6</w:t>
            </w:r>
          </w:p>
        </w:tc>
        <w:tc>
          <w:tcPr>
            <w:tcW w:w="59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2,528,290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7</w:t>
            </w:r>
          </w:p>
        </w:tc>
        <w:tc>
          <w:tcPr>
            <w:tcW w:w="590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8</w:t>
            </w:r>
          </w:p>
        </w:tc>
        <w:tc>
          <w:tcPr>
            <w:tcW w:w="5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2,528,290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2,528,290</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140" w:type="dxa"/>
            <w:vAlign w:val="bottom"/>
            <w:tcBorders>
              <w:bottom w:val="single" w:sz="8" w:color="auto"/>
            </w:tcBorders>
            <w:gridSpan w:val="3"/>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10</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w:t>
            </w:r>
          </w:p>
        </w:tc>
        <w:tc>
          <w:tcPr>
            <w:tcW w:w="2280" w:type="dxa"/>
            <w:vAlign w:val="bottom"/>
            <w:tcBorders>
              <w:right w:val="single" w:sz="8" w:color="auto"/>
            </w:tcBorders>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40" w:type="dxa"/>
            <w:vAlign w:val="bottom"/>
            <w:tcBorders>
              <w:left w:val="single" w:sz="8" w:color="auto"/>
            </w:tcBorders>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INSTRUCTIONS)</w:t>
            </w:r>
          </w:p>
        </w:tc>
        <w:tc>
          <w:tcPr>
            <w:tcW w:w="5900" w:type="dxa"/>
            <w:vAlign w:val="bottom"/>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8140" w:type="dxa"/>
            <w:vAlign w:val="bottom"/>
            <w:tcBorders>
              <w:bottom w:val="single" w:sz="8" w:color="auto"/>
            </w:tcBorders>
            <w:gridSpan w:val="3"/>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11</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5.6% (2)</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140" w:type="dxa"/>
            <w:vAlign w:val="bottom"/>
            <w:tcBorders>
              <w:bottom w:val="single" w:sz="8" w:color="auto"/>
            </w:tcBorders>
            <w:gridSpan w:val="3"/>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12</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248"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44,773,748 shares of common stock outstanding as of November 1, 2020, as disclosed in the Issuer’s Quarterly Report on Form 10-Q for the period ended September 30, 2020, as filed with the Securities and Exchange Commission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 w:name="page5"/>
    <w:bookmarkEnd w:id="4"/>
    <w:p>
      <w:pPr>
        <w:spacing w:after="0" w:line="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6"/>
          <w:szCs w:val="16"/>
          <w:b w:val="1"/>
          <w:bCs w:val="1"/>
          <w:color w:val="auto"/>
        </w:rPr>
        <w:t>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-99695</wp:posOffset>
            </wp:positionV>
            <wp:extent cx="285432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4325" cy="15430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4740" w:space="720"/>
            <w:col w:w="5780"/>
          </w:cols>
          <w:pgMar w:left="320" w:top="908" w:right="339" w:bottom="1440" w:gutter="0" w:footer="0" w:header="0"/>
        </w:sectPr>
      </w:pP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3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814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22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b w:val="1"/>
                <w:bCs w:val="1"/>
                <w:color w:val="auto"/>
              </w:rPr>
              <w:t>Dalia Bleyer</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2280" w:type="dxa"/>
            <w:vAlign w:val="bottom"/>
            <w:tcBorders>
              <w:right w:val="single" w:sz="8" w:color="auto"/>
            </w:tcBorders>
          </w:tcPr>
          <w:p>
            <w:pPr>
              <w:ind w:left="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(SEE INSTRUCTIONS)</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90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3"/>
                <w:szCs w:val="23"/>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b w:val="1"/>
                <w:bCs w:val="1"/>
                <w:color w:val="auto"/>
              </w:rPr>
              <w:t>Lithuania</w:t>
            </w: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bottom w:val="single" w:sz="8" w:color="auto"/>
              <w:right w:val="single" w:sz="8" w:color="auto"/>
            </w:tcBorders>
            <w:gridSpan w:val="2"/>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5</w:t>
            </w:r>
          </w:p>
        </w:tc>
        <w:tc>
          <w:tcPr>
            <w:tcW w:w="5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40" w:type="dxa"/>
            <w:vAlign w:val="bottom"/>
            <w:tcBorders>
              <w:left w:val="single" w:sz="8" w:color="auto"/>
            </w:tcBorders>
          </w:tcPr>
          <w:p>
            <w:pPr>
              <w:spacing w:after="0"/>
              <w:rPr>
                <w:sz w:val="19"/>
                <w:szCs w:val="19"/>
                <w:color w:val="auto"/>
              </w:rPr>
            </w:pPr>
          </w:p>
        </w:tc>
        <w:tc>
          <w:tcPr>
            <w:tcW w:w="19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spacing w:after="0"/>
              <w:rPr>
                <w:sz w:val="19"/>
                <w:szCs w:val="19"/>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2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7"/>
              </w:rPr>
              <w:t>OWNED BY EACH</w:t>
            </w:r>
          </w:p>
        </w:tc>
        <w:tc>
          <w:tcPr>
            <w:tcW w:w="780" w:type="dxa"/>
            <w:vAlign w:val="bottom"/>
            <w:tcBorders>
              <w:right w:val="single" w:sz="8" w:color="auto"/>
            </w:tcBorders>
          </w:tcPr>
          <w:p>
            <w:pPr>
              <w:spacing w:after="0"/>
              <w:rPr>
                <w:sz w:val="18"/>
                <w:szCs w:val="18"/>
                <w:color w:val="auto"/>
              </w:rPr>
            </w:pPr>
          </w:p>
        </w:tc>
        <w:tc>
          <w:tcPr>
            <w:tcW w:w="590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780" w:type="dxa"/>
            <w:vAlign w:val="bottom"/>
            <w:tcBorders>
              <w:right w:val="single" w:sz="8" w:color="auto"/>
            </w:tcBorders>
          </w:tcPr>
          <w:p>
            <w:pPr>
              <w:spacing w:after="0"/>
              <w:rPr>
                <w:sz w:val="18"/>
                <w:szCs w:val="18"/>
                <w:color w:val="auto"/>
              </w:rPr>
            </w:pPr>
          </w:p>
        </w:tc>
        <w:tc>
          <w:tcPr>
            <w:tcW w:w="590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590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6</w:t>
            </w:r>
          </w:p>
        </w:tc>
        <w:tc>
          <w:tcPr>
            <w:tcW w:w="59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2,528,290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7</w:t>
            </w:r>
          </w:p>
        </w:tc>
        <w:tc>
          <w:tcPr>
            <w:tcW w:w="590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2"/>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340" w:type="dxa"/>
            <w:vAlign w:val="bottom"/>
            <w:tcBorders>
              <w:left w:val="single" w:sz="8" w:color="auto"/>
            </w:tcBorders>
          </w:tcPr>
          <w:p>
            <w:pPr>
              <w:spacing w:after="0"/>
              <w:rPr>
                <w:sz w:val="23"/>
                <w:szCs w:val="23"/>
                <w:color w:val="auto"/>
              </w:rPr>
            </w:pPr>
          </w:p>
        </w:tc>
        <w:tc>
          <w:tcPr>
            <w:tcW w:w="1940" w:type="dxa"/>
            <w:vAlign w:val="bottom"/>
            <w:tcBorders>
              <w:right w:val="single" w:sz="8" w:color="auto"/>
            </w:tcBorders>
            <w:gridSpan w:val="2"/>
          </w:tcPr>
          <w:p>
            <w:pPr>
              <w:spacing w:after="0"/>
              <w:rPr>
                <w:sz w:val="23"/>
                <w:szCs w:val="23"/>
                <w:color w:val="auto"/>
              </w:rPr>
            </w:pPr>
          </w:p>
        </w:tc>
        <w:tc>
          <w:tcPr>
            <w:tcW w:w="780" w:type="dxa"/>
            <w:vAlign w:val="bottom"/>
            <w:tcBorders>
              <w:right w:val="single" w:sz="8" w:color="auto"/>
            </w:tcBorders>
          </w:tcPr>
          <w:p>
            <w:pPr>
              <w:jc w:val="right"/>
              <w:ind w:right="510"/>
              <w:spacing w:after="0"/>
              <w:rPr>
                <w:sz w:val="20"/>
                <w:szCs w:val="20"/>
                <w:color w:val="auto"/>
              </w:rPr>
            </w:pPr>
            <w:r>
              <w:rPr>
                <w:rFonts w:ascii="Arial" w:cs="Arial" w:eastAsia="Arial" w:hAnsi="Arial"/>
                <w:sz w:val="18"/>
                <w:szCs w:val="18"/>
                <w:color w:val="auto"/>
              </w:rPr>
              <w:t>8</w:t>
            </w:r>
          </w:p>
        </w:tc>
        <w:tc>
          <w:tcPr>
            <w:tcW w:w="5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22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2,528,290</w:t>
            </w:r>
          </w:p>
        </w:tc>
        <w:tc>
          <w:tcPr>
            <w:tcW w:w="2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2,528,290</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140" w:type="dxa"/>
            <w:vAlign w:val="bottom"/>
            <w:tcBorders>
              <w:bottom w:val="single" w:sz="8" w:color="auto"/>
            </w:tcBorders>
            <w:gridSpan w:val="3"/>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10</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w:t>
            </w:r>
          </w:p>
        </w:tc>
        <w:tc>
          <w:tcPr>
            <w:tcW w:w="2280" w:type="dxa"/>
            <w:vAlign w:val="bottom"/>
            <w:tcBorders>
              <w:right w:val="single" w:sz="8" w:color="auto"/>
            </w:tcBorders>
            <w:vMerge w:val="restart"/>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340" w:type="dxa"/>
            <w:vAlign w:val="bottom"/>
            <w:tcBorders>
              <w:left w:val="single" w:sz="8" w:color="auto"/>
            </w:tcBorders>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2240" w:type="dxa"/>
            <w:vAlign w:val="bottom"/>
            <w:gridSpan w:val="2"/>
          </w:tcPr>
          <w:p>
            <w:pPr>
              <w:ind w:left="80"/>
              <w:spacing w:after="0"/>
              <w:rPr>
                <w:sz w:val="20"/>
                <w:szCs w:val="20"/>
                <w:color w:val="auto"/>
              </w:rPr>
            </w:pPr>
            <w:r>
              <w:rPr>
                <w:rFonts w:ascii="Arial" w:cs="Arial" w:eastAsia="Arial" w:hAnsi="Arial"/>
                <w:sz w:val="18"/>
                <w:szCs w:val="18"/>
                <w:color w:val="auto"/>
              </w:rPr>
              <w:t>INSTRUCTIONS)</w:t>
            </w:r>
          </w:p>
        </w:tc>
        <w:tc>
          <w:tcPr>
            <w:tcW w:w="5900" w:type="dxa"/>
            <w:vAlign w:val="bottom"/>
          </w:tcPr>
          <w:p>
            <w:pPr>
              <w:spacing w:after="0"/>
              <w:rPr>
                <w:sz w:val="21"/>
                <w:szCs w:val="21"/>
                <w:color w:val="auto"/>
              </w:rPr>
            </w:pPr>
          </w:p>
        </w:tc>
        <w:tc>
          <w:tcPr>
            <w:tcW w:w="2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40" w:type="dxa"/>
            <w:vAlign w:val="bottom"/>
            <w:tcBorders>
              <w:left w:val="single" w:sz="8" w:color="auto"/>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8140" w:type="dxa"/>
            <w:vAlign w:val="bottom"/>
            <w:tcBorders>
              <w:bottom w:val="single" w:sz="8" w:color="auto"/>
            </w:tcBorders>
            <w:gridSpan w:val="3"/>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11</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5.6% (2)</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140" w:type="dxa"/>
            <w:vAlign w:val="bottom"/>
            <w:tcBorders>
              <w:bottom w:val="single" w:sz="8" w:color="auto"/>
            </w:tcBorders>
            <w:gridSpan w:val="3"/>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3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9"/>
              </w:rPr>
              <w:t>12</w:t>
            </w:r>
          </w:p>
        </w:tc>
        <w:tc>
          <w:tcPr>
            <w:tcW w:w="480" w:type="dxa"/>
            <w:vAlign w:val="bottom"/>
            <w:tcBorders>
              <w:right w:val="single" w:sz="8" w:color="auto"/>
            </w:tcBorders>
          </w:tcPr>
          <w:p>
            <w:pPr>
              <w:spacing w:after="0"/>
              <w:rPr>
                <w:sz w:val="24"/>
                <w:szCs w:val="24"/>
                <w:color w:val="auto"/>
              </w:rPr>
            </w:pPr>
          </w:p>
        </w:tc>
        <w:tc>
          <w:tcPr>
            <w:tcW w:w="81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280" w:type="dxa"/>
            <w:vAlign w:val="bottom"/>
            <w:tcBorders>
              <w:right w:val="single" w:sz="8" w:color="auto"/>
            </w:tcBorders>
          </w:tcPr>
          <w:p>
            <w:pPr>
              <w:ind w:left="580"/>
              <w:spacing w:after="0"/>
              <w:rPr>
                <w:sz w:val="20"/>
                <w:szCs w:val="20"/>
                <w:color w:val="auto"/>
              </w:rPr>
            </w:pPr>
            <w:r>
              <w:rPr>
                <w:rFonts w:ascii="Arial" w:cs="Arial" w:eastAsia="Arial" w:hAnsi="Arial"/>
                <w:sz w:val="18"/>
                <w:szCs w:val="18"/>
                <w:b w:val="1"/>
                <w:bCs w:val="1"/>
                <w:color w:val="auto"/>
              </w:rPr>
              <w:t>IN</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248"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 of class was calculated based on 44,773,748 shares of common stock outstanding as of November 1, 2020, as disclosed in the Issuer’s Quarterly Report on Form 10-Q for the period ended September 30, 2020, as filed with the Securities and Exchange Commission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 w:name="page6"/>
    <w:bookmarkEnd w:id="5"/>
    <w:p>
      <w:pPr>
        <w:spacing w:after="0" w:line="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6"/>
          <w:szCs w:val="16"/>
          <w:b w:val="1"/>
          <w:bCs w:val="1"/>
          <w:color w:val="auto"/>
        </w:rPr>
        <w:t>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-99695</wp:posOffset>
            </wp:positionV>
            <wp:extent cx="28543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4325" cy="15430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4740" w:space="720"/>
            <w:col w:w="5780"/>
          </w:cols>
          <w:pgMar w:left="320" w:top="908" w:right="339" w:bottom="1440" w:gutter="0" w:footer="0" w:header="0"/>
        </w:sectPr>
      </w:pP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Introductory Note: This statement on Schedule 13G is filed on behalf of the Reporting Persons, in respect of shares of Common Stock (“Common Stock”) of PMV Pharmaceuticals, Inc. (the “Issuer”).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PMV Pharmaceuticals,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 Clarke Drive, Suite 3</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Cranbury, NJ 08512</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Items 2(a)</w:t>
      </w:r>
      <w:r>
        <w:rPr>
          <w:sz w:val="20"/>
          <w:szCs w:val="20"/>
          <w:color w:val="auto"/>
        </w:rPr>
        <w:tab/>
      </w:r>
      <w:r>
        <w:rPr>
          <w:rFonts w:ascii="Arial" w:cs="Arial" w:eastAsia="Arial" w:hAnsi="Arial"/>
          <w:sz w:val="16"/>
          <w:szCs w:val="16"/>
          <w:b w:val="1"/>
          <w:bCs w:val="1"/>
          <w:color w:val="auto"/>
        </w:rPr>
        <w:t>Name of Reporting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Nextech V Oncology S.C.S., SICAV-SIF (“Nextech V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Nextech V GP S.à r.l. (“Nextech V GP”)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Thomas Lips (“Lips”)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Dalia Bleyer (“Bleyer”)</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ectPr>
          <w:pgSz w:w="11900" w:h="16838" w:orient="portrait"/>
          <w:cols w:equalWidth="0" w:num="1">
            <w:col w:w="11240"/>
          </w:cols>
          <w:pgMar w:left="320" w:top="908" w:right="339" w:bottom="1440" w:gutter="0" w:footer="0" w:header="0"/>
          <w:type w:val="continuous"/>
        </w:sect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address of the principal business office: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 rue Lou Hemmer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L-1748 Luxembourg-Findel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Grand-Duché de Luxembourg</w:t>
      </w:r>
    </w:p>
    <w:p>
      <w:pPr>
        <w:spacing w:after="0" w:line="200"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Name</w:t>
      </w:r>
    </w:p>
    <w:p>
      <w:pPr>
        <w:spacing w:after="0" w:line="36"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Nextech V LP</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Nextech V GP</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Lips</w:t>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Bleyer</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Common stock, par value $0.00001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Citizenship or Place of Organization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1090" w:lineRule="exact"/>
        <w:rPr>
          <w:sz w:val="20"/>
          <w:szCs w:val="20"/>
          <w:color w:val="auto"/>
        </w:rPr>
      </w:pPr>
    </w:p>
    <w:p>
      <w:pPr>
        <w:sectPr>
          <w:pgSz w:w="11900" w:h="16838" w:orient="portrait"/>
          <w:cols w:equalWidth="0" w:num="2">
            <w:col w:w="3900" w:space="720"/>
            <w:col w:w="6620"/>
          </w:cols>
          <w:pgMar w:left="320" w:top="908"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40" w:type="dxa"/>
            <w:vAlign w:val="bottom"/>
          </w:tcPr>
          <w:p>
            <w:pPr>
              <w:ind w:left="300"/>
              <w:spacing w:after="0"/>
              <w:rPr>
                <w:sz w:val="20"/>
                <w:szCs w:val="20"/>
                <w:color w:val="auto"/>
              </w:rPr>
            </w:pPr>
            <w:r>
              <w:rPr>
                <w:rFonts w:ascii="Arial" w:cs="Arial" w:eastAsia="Arial" w:hAnsi="Arial"/>
                <w:sz w:val="18"/>
                <w:szCs w:val="18"/>
                <w:b w:val="1"/>
                <w:bCs w:val="1"/>
                <w:color w:val="auto"/>
              </w:rPr>
              <w:t>CUSIP No.:</w:t>
            </w:r>
          </w:p>
        </w:tc>
      </w:tr>
      <w:tr>
        <w:trPr>
          <w:trHeight w:val="432"/>
        </w:trPr>
        <w:tc>
          <w:tcPr>
            <w:tcW w:w="1000" w:type="dxa"/>
            <w:vAlign w:val="bottom"/>
          </w:tcPr>
          <w:p>
            <w:pPr>
              <w:spacing w:after="0"/>
              <w:rPr>
                <w:sz w:val="24"/>
                <w:szCs w:val="24"/>
                <w:color w:val="auto"/>
              </w:rPr>
            </w:pPr>
          </w:p>
        </w:tc>
        <w:tc>
          <w:tcPr>
            <w:tcW w:w="10240" w:type="dxa"/>
            <w:vAlign w:val="bottom"/>
          </w:tcPr>
          <w:p>
            <w:pPr>
              <w:ind w:left="300"/>
              <w:spacing w:after="0"/>
              <w:rPr>
                <w:sz w:val="20"/>
                <w:szCs w:val="20"/>
                <w:color w:val="auto"/>
              </w:rPr>
            </w:pPr>
            <w:r>
              <w:rPr>
                <w:rFonts w:ascii="Arial" w:cs="Arial" w:eastAsia="Arial" w:hAnsi="Arial"/>
                <w:sz w:val="18"/>
                <w:szCs w:val="18"/>
                <w:color w:val="auto"/>
              </w:rPr>
              <w:t>69353Y 10 3</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40" w:type="dxa"/>
            <w:vAlign w:val="bottom"/>
          </w:tcPr>
          <w:p>
            <w:pPr>
              <w:ind w:left="300"/>
              <w:spacing w:after="0"/>
              <w:rPr>
                <w:sz w:val="20"/>
                <w:szCs w:val="20"/>
                <w:color w:val="auto"/>
              </w:rPr>
            </w:pPr>
            <w:r>
              <w:rPr>
                <w:rFonts w:ascii="Arial" w:cs="Arial" w:eastAsia="Arial" w:hAnsi="Arial"/>
                <w:sz w:val="18"/>
                <w:szCs w:val="18"/>
                <w:b w:val="1"/>
                <w:bCs w:val="1"/>
                <w:color w:val="auto"/>
              </w:rPr>
              <w:t>If this statement is filed pursuant to §§ 240.13d-1(b), or 240.13d-2(b) or (c), check whether the person filings is a:</w:t>
            </w:r>
          </w:p>
        </w:tc>
      </w:tr>
      <w:tr>
        <w:trPr>
          <w:trHeight w:val="432"/>
        </w:trPr>
        <w:tc>
          <w:tcPr>
            <w:tcW w:w="1000" w:type="dxa"/>
            <w:vAlign w:val="bottom"/>
          </w:tcPr>
          <w:p>
            <w:pPr>
              <w:spacing w:after="0"/>
              <w:rPr>
                <w:sz w:val="24"/>
                <w:szCs w:val="24"/>
                <w:color w:val="auto"/>
              </w:rPr>
            </w:pPr>
          </w:p>
        </w:tc>
        <w:tc>
          <w:tcPr>
            <w:tcW w:w="10240" w:type="dxa"/>
            <w:vAlign w:val="bottom"/>
          </w:tcPr>
          <w:p>
            <w:pPr>
              <w:ind w:left="300"/>
              <w:spacing w:after="0"/>
              <w:rPr>
                <w:sz w:val="20"/>
                <w:szCs w:val="20"/>
                <w:color w:val="auto"/>
              </w:rPr>
            </w:pPr>
            <w:r>
              <w:rPr>
                <w:rFonts w:ascii="Arial" w:cs="Arial" w:eastAsia="Arial" w:hAnsi="Arial"/>
                <w:sz w:val="18"/>
                <w:szCs w:val="18"/>
                <w:color w:val="auto"/>
              </w:rPr>
              <w:t>Not applicable.</w:t>
            </w:r>
          </w:p>
        </w:tc>
      </w:tr>
      <w:tr>
        <w:trPr>
          <w:trHeight w:val="675"/>
        </w:trPr>
        <w:tc>
          <w:tcPr>
            <w:tcW w:w="100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type w:val="continuous"/>
        </w:sectPr>
      </w:pPr>
    </w:p>
    <w:bookmarkStart w:id="6" w:name="page7"/>
    <w:bookmarkEnd w:id="6"/>
    <w:p>
      <w:pPr>
        <w:spacing w:after="0" w:line="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6"/>
          <w:szCs w:val="16"/>
          <w:b w:val="1"/>
          <w:bCs w:val="1"/>
          <w:color w:val="auto"/>
        </w:rPr>
        <w:t>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-99695</wp:posOffset>
            </wp:positionV>
            <wp:extent cx="285432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54325" cy="154305"/>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2">
            <w:col w:w="4740" w:space="720"/>
            <w:col w:w="5780"/>
          </w:cols>
          <w:pgMar w:left="320" w:top="908" w:right="339" w:bottom="1440" w:gutter="0" w:footer="0" w:header="0"/>
        </w:sectPr>
      </w:pPr>
    </w:p>
    <w:p>
      <w:pPr>
        <w:spacing w:after="0" w:line="29"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The following information with respect to the ownership of Common Stock of the Issuer by the Reporting Persons filing this statement on Schedule 13G is provided as of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Shares of</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Sole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Shared</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Sole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Shared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Stock Held</w:t>
            </w: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Voting</w:t>
            </w: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Voting</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Dispositive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Dispositive</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Beneficial</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of Class</w:t>
            </w:r>
          </w:p>
        </w:tc>
      </w:tr>
      <w:tr>
        <w:trPr>
          <w:trHeight w:val="234"/>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Reporting Persons</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Directly</w:t>
            </w:r>
          </w:p>
        </w:tc>
        <w:tc>
          <w:tcPr>
            <w:tcW w:w="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Power</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Power (1)</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Power</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Power (1)</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Ownership</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(1)(2)</w:t>
            </w:r>
          </w:p>
        </w:tc>
        <w:tc>
          <w:tcPr>
            <w:tcW w:w="160" w:type="dxa"/>
            <w:vAlign w:val="bottom"/>
            <w:tcBorders>
              <w:bottom w:val="single" w:sz="8" w:color="CCEEFF"/>
            </w:tcBorders>
          </w:tcPr>
          <w:p>
            <w:pPr>
              <w:spacing w:after="0"/>
              <w:rPr>
                <w:sz w:val="20"/>
                <w:szCs w:val="20"/>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Nextech V LP</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2,528,290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2,528,290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2,528,290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2,528,290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Nextech V GP (1)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2,528,290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2,528,290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2,528,290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Lips (1)</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2,528,290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2,528,290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2,528,290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Bleyer (1)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2,528,290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2,528,290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2,528,290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bl>
    <w:p>
      <w:pPr>
        <w:spacing w:after="0" w:line="187" w:lineRule="exact"/>
        <w:rPr>
          <w:sz w:val="20"/>
          <w:szCs w:val="20"/>
          <w:color w:val="auto"/>
        </w:rPr>
      </w:pPr>
    </w:p>
    <w:p>
      <w:pPr>
        <w:jc w:val="both"/>
        <w:ind w:left="340" w:hanging="332"/>
        <w:spacing w:after="0" w:line="25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are held by Nextech V LP. Nextech V GP serves as the sole general partner of Nextech V LP and has sole voting and investment control over the shares owned by Nextech V LP and may be deemed to own beneficially the shares held by Nextech V LP. Nextech V GP owns no securities of the Issuer directly. Bleyer and Lips are members of the board of managers of Nextech V GP and share voting and dispositive power over the shares held by Nextech V LP, and may be deemed to own beneficially the shares held by Nextech V LP. The managing members own no securities of the Issuer directly.</w:t>
      </w:r>
    </w:p>
    <w:p>
      <w:pPr>
        <w:spacing w:after="0" w:line="3"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percentage is based on 44,773,748 shares of common stock outstanding as of November 1, 2020, as disclosed in the Issuer’s Quarterly Report on Form 10-Q for the period ended September 30, 2020, as filed with the Securities and Exchange Commission on November 13,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418"/>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more than five percent of the class of securities, check the following ( ).</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4"/>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Company or Control Person</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Certifications</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675"/>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type w:val="continuous"/>
        </w:sectPr>
      </w:pPr>
    </w:p>
    <w:bookmarkStart w:id="7" w:name="page8"/>
    <w:bookmarkEnd w:id="7"/>
    <w:p>
      <w:pPr>
        <w:spacing w:after="0" w:line="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xml:space="preserve">CUSIP NO. </w:t>
      </w:r>
      <w:r>
        <w:rPr>
          <w:rFonts w:ascii="Arial" w:cs="Arial" w:eastAsia="Arial" w:hAnsi="Arial"/>
          <w:sz w:val="16"/>
          <w:szCs w:val="16"/>
          <w:b w:val="1"/>
          <w:bCs w:val="1"/>
          <w:color w:val="auto"/>
        </w:rPr>
        <w:t>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86321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Arial" w:cs="Arial" w:eastAsia="Arial" w:hAnsi="Arial"/>
          <w:sz w:val="18"/>
          <w:szCs w:val="18"/>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-121920</wp:posOffset>
            </wp:positionV>
            <wp:extent cx="285432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4325" cy="15430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ectPr>
          <w:pgSz w:w="11900" w:h="16838" w:orient="portrait"/>
          <w:cols w:equalWidth="0" w:num="2">
            <w:col w:w="4320" w:space="720"/>
            <w:col w:w="6200"/>
          </w:cols>
          <w:pgMar w:left="320" w:top="908" w:right="339" w:bottom="1440" w:gutter="0" w:footer="0" w:header="0"/>
        </w:sectPr>
      </w:pPr>
    </w:p>
    <w:p>
      <w:pPr>
        <w:spacing w:after="0" w:line="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the attached statement on Schedule 13G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Nextech V Oncology S.C.S., SICAV-SIF</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Nextech V GP S.à r.l.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Dalia Bleyer</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Dalia Bleyer, Managing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Lips</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Thomas Lips, Managing Member</w:t>
            </w: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Nextech V GP S.à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Dalia Bleyer</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Dalia Bleyer, Managing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Lips</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Thomas Lips, Managing Member</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Thomas 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Lips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8" w:name="page9"/>
    <w:bookmarkEnd w:id="8"/>
    <w:p>
      <w:pPr>
        <w:spacing w:after="0" w:line="9"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6321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Joint Filing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-99695</wp:posOffset>
            </wp:positionV>
            <wp:extent cx="285432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4325" cy="15430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1031240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740" w:space="720"/>
            <w:col w:w="4679"/>
          </w:cols>
          <w:pgMar w:left="320" w:top="908" w:right="1440" w:bottom="1440" w:gutter="0" w:footer="0" w:header="0"/>
        </w:sectPr>
      </w:pPr>
    </w:p>
    <w:bookmarkStart w:id="9" w:name="page10"/>
    <w:bookmarkEnd w:id="9"/>
    <w:p>
      <w:pPr>
        <w:spacing w:after="0"/>
        <w:tabs>
          <w:tab w:leader="none" w:pos="5560" w:val="left"/>
          <w:tab w:leader="none" w:pos="10300" w:val="left"/>
        </w:tabs>
        <w:rPr>
          <w:sz w:val="20"/>
          <w:szCs w:val="20"/>
          <w:color w:val="auto"/>
        </w:rPr>
      </w:pPr>
      <w:r>
        <w:rPr>
          <w:rFonts w:ascii="Arial" w:cs="Arial" w:eastAsia="Arial" w:hAnsi="Arial"/>
          <w:sz w:val="18"/>
          <w:szCs w:val="18"/>
          <w:b w:val="1"/>
          <w:bCs w:val="1"/>
          <w:color w:val="auto"/>
        </w:rPr>
        <w:t>CUSIP No. 49705R 10 5</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6"/>
          <w:szCs w:val="16"/>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the undersigned, hereby express our agreement that the attached statement on Schedule 13G relating to the Common Stock of PMV Pharmaceuticals, Inc. is filed on behalf of each of us.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Nextech V Oncology S.C.S., SICAV-SIF</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Nextech V GP S.à r.l.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0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Dalia Bleyer</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Dalia Bleyer, Managing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Lips</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Thomas Lips, Managing Member</w:t>
            </w: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Nextech V GP S.à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Dalia Bleyer</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Dalia Bleyer, Managing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Lips</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Thomas Lips, Managing Member</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Thomas 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Lips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2021-02-16T16:05:59Z</dcterms:created>
  <dcterms:modified xsi:type="dcterms:W3CDTF">2021-02-16T16:05:59Z</dcterms:modified>
</cp:coreProperties>
</file>