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ORBIMED ADVISORS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00"/>
        <w:spacing w:after="0" w:line="365" w:lineRule="auto"/>
        <w:rPr>
          <w:sz w:val="20"/>
          <w:szCs w:val="20"/>
          <w:color w:val="auto"/>
        </w:rPr>
      </w:pPr>
      <w:r>
        <w:rPr>
          <w:rFonts w:ascii="Times New Roman" w:cs="Times New Roman" w:eastAsia="Times New Roman" w:hAnsi="Times New Roman"/>
          <w:sz w:val="17"/>
          <w:szCs w:val="17"/>
          <w:color w:val="0000FF"/>
        </w:rPr>
        <w:t>601 LEXINGTON AVENUE 54TH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PMV Pharmaceuticals,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PMVP</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2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11/22/2023</w:t>
            </w: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6"/>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4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4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 or</w:t>
            </w:r>
          </w:p>
        </w:tc>
        <w:tc>
          <w:tcPr>
            <w:tcW w:w="4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240" w:type="dxa"/>
            <w:vAlign w:val="bottom"/>
            <w:gridSpan w:val="2"/>
            <w:vMerge w:val="restart"/>
          </w:tcPr>
          <w:p>
            <w:pPr>
              <w:ind w:left="400"/>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11/22/2023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87,786</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2.23</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0</w:t>
            </w:r>
          </w:p>
        </w:tc>
        <w:tc>
          <w:tcPr>
            <w:tcW w:w="760" w:type="dxa"/>
            <w:vAlign w:val="bottom"/>
          </w:tcPr>
          <w:p>
            <w:pPr>
              <w:spacing w:after="0"/>
              <w:rPr>
                <w:sz w:val="21"/>
                <w:szCs w:val="21"/>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560" w:type="dxa"/>
            <w:vAlign w:val="bottom"/>
            <w:tcBorders>
              <w:top w:val="single" w:sz="8" w:color="2C2C2C"/>
            </w:tcBorders>
            <w:gridSpan w:val="3"/>
            <w:vMerge w:val="restart"/>
          </w:tcPr>
          <w:p>
            <w:pPr>
              <w:jc w:val="right"/>
              <w:ind w:right="580"/>
              <w:spacing w:after="0"/>
              <w:rPr>
                <w:sz w:val="20"/>
                <w:szCs w:val="20"/>
                <w:color w:val="auto"/>
              </w:rPr>
            </w:pPr>
            <w:r>
              <w:rPr>
                <w:rFonts w:ascii="Times New Roman" w:cs="Times New Roman" w:eastAsia="Times New Roman" w:hAnsi="Times New Roman"/>
                <w:sz w:val="17"/>
                <w:szCs w:val="17"/>
                <w:color w:val="0000FF"/>
              </w:rPr>
              <w:t>6,475,291</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900" w:type="dxa"/>
            <w:vAlign w:val="bottom"/>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15"/>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ORBIMED ADVISORS LLC</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OrbiMed Capital GP V LLC</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OrbiMed Genesis GP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180"/>
              <w:spacing w:after="0"/>
              <w:rPr>
                <w:sz w:val="20"/>
                <w:szCs w:val="20"/>
                <w:color w:val="auto"/>
              </w:rPr>
            </w:pPr>
            <w:r>
              <w:rPr>
                <w:rFonts w:ascii="Arial" w:cs="Arial" w:eastAsia="Arial" w:hAnsi="Arial"/>
                <w:sz w:val="13"/>
                <w:szCs w:val="13"/>
                <w:color w:val="auto"/>
              </w:rPr>
              <w:t>(First)</w:t>
            </w:r>
          </w:p>
        </w:tc>
        <w:tc>
          <w:tcPr>
            <w:tcW w:w="1740" w:type="dxa"/>
            <w:vAlign w:val="bottom"/>
          </w:tcPr>
          <w:p>
            <w:pPr>
              <w:ind w:left="3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17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12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7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180"/>
              <w:spacing w:after="0"/>
              <w:rPr>
                <w:sz w:val="20"/>
                <w:szCs w:val="20"/>
                <w:color w:val="auto"/>
              </w:rPr>
            </w:pPr>
            <w:r>
              <w:rPr>
                <w:rFonts w:ascii="Arial" w:cs="Arial" w:eastAsia="Arial" w:hAnsi="Arial"/>
                <w:sz w:val="13"/>
                <w:szCs w:val="13"/>
                <w:color w:val="auto"/>
              </w:rPr>
              <w:t>(State)</w:t>
            </w:r>
          </w:p>
        </w:tc>
        <w:tc>
          <w:tcPr>
            <w:tcW w:w="174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374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3747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Genesis Master Fund, L.P. ("Genesis Master Fund"). OrbiMed Genesis GP LLC ("Genesis GP") is the general partner of Genesis Master Fund and OrbiMed Advisors LLC ("OrbiMed Advisors"), a registered investment advisor under the Investment Advisors Act of 1940, as amended, is the managing member of Genesis GP. By virtue of such relationships, Genesis GP and OrbiMed Advisors may be deemed to have voting and investment power with respect to the securities held by Genesis Master Fund. OrbiMed Advisors exercises voting and investment power through a management committee comprised of Carl L. Gordon, Sven H. Borho, and W. Carter Neild, each of whom disclaims beneficial ownership of the shares held by Genesis Master Fund.</w:t>
      </w:r>
    </w:p>
    <w:p>
      <w:pPr>
        <w:spacing w:after="0" w:line="178" w:lineRule="exact"/>
        <w:rPr>
          <w:rFonts w:ascii="Times New Roman" w:cs="Times New Roman" w:eastAsia="Times New Roman" w:hAnsi="Times New Roman"/>
          <w:sz w:val="13"/>
          <w:szCs w:val="13"/>
          <w:color w:val="008000"/>
        </w:rPr>
      </w:pPr>
    </w:p>
    <w:p>
      <w:pPr>
        <w:ind w:right="26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 LP ("OPI V"). OrbiMed Capital GP V LLC ("GP V") is the general partner of OPI V, and OrbiMed Advisors is the managing member of GP V. By virtue of such relationships, GP V and OrbiMed Advisors may be deemed to have voting and investment power with respect to the securities held by OPI V. OrbiMed Advisors exercises this investment and voting power through a management committee comprised of Carl L. Gordon, Sven H. Borho, and W. Carter Neild, each of whom disclaims beneficial ownership of the shares held by OPI V.</w:t>
      </w:r>
    </w:p>
    <w:p>
      <w:pPr>
        <w:spacing w:after="0" w:line="24" w:lineRule="exact"/>
        <w:rPr>
          <w:rFonts w:ascii="Times New Roman" w:cs="Times New Roman" w:eastAsia="Times New Roman" w:hAnsi="Times New Roman"/>
          <w:sz w:val="13"/>
          <w:szCs w:val="13"/>
          <w:color w:val="008000"/>
        </w:rPr>
      </w:pPr>
    </w:p>
    <w:p>
      <w:pPr>
        <w:jc w:val="both"/>
        <w:ind w:right="1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GP V and Genesis GP. Each of the Reporting Persons disclaims beneficial ownership of the securities reported herein for purposes of Rule 16a-1(a) under the Securities Exchange Act of 1943, as amended (the "Exchange Act"), except to the extent of its pecuniary interest therein, if any. This report shall not be deemed an admission that any such entity is a beneficial owner of such securities for purpose of Section 16 of the Exchange Act, or for any other purpose.</w:t>
      </w:r>
    </w:p>
    <w:p>
      <w:pPr>
        <w:sectPr>
          <w:pgSz w:w="11900" w:h="16838" w:orient="portrait"/>
          <w:cols w:equalWidth="0" w:num="1">
            <w:col w:w="10880"/>
          </w:cols>
          <w:pgMar w:left="500" w:top="300" w:right="51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OrbiMed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280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OrbiMed Capital GP 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85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the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80" w:space="60"/>
            <w:col w:w="2140"/>
          </w:cols>
          <w:pgMar w:left="500" w:top="300" w:right="5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30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699382" TargetMode="External"/><Relationship Id="rId14" Type="http://schemas.openxmlformats.org/officeDocument/2006/relationships/hyperlink" Target="http://www.sec.gov/cgi-bin/browse-edgar?action=getcompany&amp;CIK=0001615374" TargetMode="External"/><Relationship Id="rId16" Type="http://schemas.openxmlformats.org/officeDocument/2006/relationships/hyperlink" Target="http://www.sec.gov/cgi-bin/browse-edgar?action=getcompany&amp;CIK=0001808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2023-11-24T15:46:32Z</dcterms:created>
  <dcterms:modified xsi:type="dcterms:W3CDTF">2023-11-24T15:46:32Z</dcterms:modified>
</cp:coreProperties>
</file>