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3,735,396.00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3,735,396.00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3,735,396.00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7"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of June 30, 2025, Sio Capital Management, LLC beneficially owned 3,735,396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with shared voting power and shared dispositive power. 2 Based on 51,952,680 shares of common stock outstanding as of May 9, 2025, as reported in the Issuer's Form 10-K filed with the SEC on March 3,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400 Alexander Park Drive, Suite 301, Princeton, NJ, 08540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60" w:hanging="912"/>
        <w:spacing w:after="0" w:line="193" w:lineRule="auto"/>
        <w:tabs>
          <w:tab w:leader="none" w:pos="96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filed on behalf of Sio Capital Management, LLC (the "Reporting Person" or "Sio") Sio is a registered investment adviser to certain affiliated funds that directly hold the shares of Common Stock to which this statement relates for the benefit of their respective investors, and in such capacity Sio has voting and dispositive power over such shares.</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Third Avenue, 2nd Floor New York, New York 10016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Sio is a Delaware limited liability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240"/>
          </w:cols>
          <w:pgMar w:left="320" w:top="166" w:right="339" w:bottom="0" w:gutter="0" w:footer="0" w:header="0"/>
          <w:type w:val="continuous"/>
        </w:sectPr>
      </w:pPr>
    </w:p>
    <w:bookmarkStart w:id="2" w:name="page3"/>
    <w:bookmarkEnd w:id="2"/>
    <w:p>
      <w:pPr>
        <w:spacing w:after="0" w:line="93"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3,735,396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7.19%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2"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0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3,735,396 - Refer to footnote 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22"/>
          <w:szCs w:val="22"/>
          <w:color w:val="auto"/>
        </w:rPr>
        <w:t>3,735,396 - Refer to footnote 3 3 Sio and Sio GP, LLC (the "GP") act as investment advisor and general partner, respectively, to various clients that are the record owners of the Common Stock reported on this Schedule 13G. Because Sio's investment discretion with respect to such clients is subject to oversight by the GP, the GP may be deemed to be the beneficial owner of the Common Stock of the Issuer owned by such clients. In addition, both Sio and the GP are controlled by Michael Castor. As such, he may be deemed to control the voting and dispositive decisions with respect to, and therefore be the beneficial owner of, the shares of Common Stock reported on this Schedule 13G. Neither the filing of this Schedule 13G nor any of its contents shall be deemed to constitute an admission by the GP or Michael Castor that such person is the beneficial owner of any of the equity securities referred to herein for purposes of Section 13(d) of the Exchange Act, or for any other purpose, and such beneficial ownership is expressly disclaimed.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932" w:orient="portrait"/>
          <w:cols w:equalWidth="0" w:num="2">
            <w:col w:w="620" w:space="300"/>
            <w:col w:w="10180"/>
          </w:cols>
          <w:pgMar w:left="360" w:top="126"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932" w:orient="portrait"/>
          <w:cols w:equalWidth="0" w:num="1">
            <w:col w:w="11100"/>
          </w:cols>
          <w:pgMar w:left="360" w:top="126" w:right="43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Sio Capital Management, LLC</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Jin W. Lee</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2025-08-13T13:08:20Z</dcterms:created>
  <dcterms:modified xsi:type="dcterms:W3CDTF">2025-08-13T13:08:20Z</dcterms:modified>
</cp:coreProperties>
</file>